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7672DC">
      <w:pPr>
        <w:pStyle w:val="12"/>
        <w:spacing w:line="360" w:lineRule="auto"/>
        <w:jc w:val="center"/>
        <w:rPr>
          <w:rFonts w:ascii="Book Antiqua" w:hAnsi="Book Antiqua"/>
          <w:b/>
          <w:bCs/>
          <w:sz w:val="23"/>
          <w:szCs w:val="23"/>
          <w:u w:val="single"/>
        </w:rPr>
      </w:pPr>
      <w:r>
        <w:rPr>
          <w:rFonts w:ascii="Book Antiqua" w:hAnsi="Book Antiqua"/>
          <w:b/>
          <w:bCs/>
          <w:sz w:val="23"/>
          <w:szCs w:val="23"/>
          <w:u w:val="single"/>
          <w:lang w:val="en-IN" w:eastAsia="en-IN"/>
        </w:rPr>
        <w:pict>
          <v:shape id="_x0000_s2051" o:spid="_x0000_s2051" o:spt="32" type="#_x0000_t32" style="position:absolute;left:0pt;margin-left:2.35pt;margin-top:72.45pt;height:0pt;width:510.25pt;z-index:251659264;mso-width-relative:page;mso-height-relative:page;" o:connectortype="straight" filled="f" coordsize="21600,21600">
            <v:path arrowok="t"/>
            <v:fill on="f" focussize="0,0"/>
            <v:stroke weight="1pt"/>
            <v:imagedata o:title=""/>
            <o:lock v:ext="edit"/>
          </v:shape>
        </w:pict>
      </w:r>
      <w:r>
        <w:rPr>
          <w:rFonts w:ascii="Book Antiqua" w:hAnsi="Book Antiqua"/>
          <w:b/>
          <w:bCs/>
          <w:sz w:val="23"/>
          <w:szCs w:val="23"/>
        </w:rPr>
        <w:drawing>
          <wp:inline distT="0" distB="0" distL="0" distR="0">
            <wp:extent cx="5753100" cy="888365"/>
            <wp:effectExtent l="19050" t="0" r="0" b="0"/>
            <wp:docPr id="2" name="Picture 1" descr="KITSW New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 descr="KITSW New.jp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58562" cy="889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12116">
      <w:pPr>
        <w:pStyle w:val="12"/>
        <w:shd w:val="clear" w:color="auto" w:fill="FBD4B4" w:themeFill="accent6" w:themeFillTint="66"/>
        <w:spacing w:line="360" w:lineRule="auto"/>
        <w:jc w:val="center"/>
        <w:rPr>
          <w:rFonts w:ascii="Book Antiqua" w:hAnsi="Book Antiqua"/>
          <w:b/>
          <w:bCs/>
          <w:szCs w:val="23"/>
          <w:u w:val="single"/>
        </w:rPr>
      </w:pPr>
      <w:r>
        <w:rPr>
          <w:rFonts w:ascii="Book Antiqua" w:hAnsi="Book Antiqua"/>
          <w:b/>
          <w:bCs/>
          <w:szCs w:val="23"/>
          <w:u w:val="single"/>
        </w:rPr>
        <w:t>Guidelines for setting quality Question Paper</w:t>
      </w:r>
    </w:p>
    <w:p w14:paraId="39C38042">
      <w:pPr>
        <w:pStyle w:val="12"/>
        <w:jc w:val="both"/>
        <w:rPr>
          <w:rFonts w:ascii="Book Antiqua" w:hAnsi="Book Antiqua"/>
          <w:sz w:val="22"/>
          <w:szCs w:val="20"/>
        </w:rPr>
      </w:pPr>
      <w:r>
        <w:rPr>
          <w:rFonts w:ascii="Book Antiqua" w:hAnsi="Book Antiqua"/>
          <w:sz w:val="22"/>
          <w:szCs w:val="20"/>
        </w:rPr>
        <w:t xml:space="preserve">You are requested to comply with the following </w:t>
      </w:r>
      <w:r>
        <w:rPr>
          <w:rFonts w:ascii="Book Antiqua" w:hAnsi="Book Antiqua"/>
          <w:b/>
          <w:bCs/>
          <w:sz w:val="22"/>
          <w:szCs w:val="20"/>
        </w:rPr>
        <w:t xml:space="preserve">Guidelines </w:t>
      </w:r>
      <w:r>
        <w:rPr>
          <w:rFonts w:ascii="Book Antiqua" w:hAnsi="Book Antiqua"/>
          <w:sz w:val="22"/>
          <w:szCs w:val="20"/>
        </w:rPr>
        <w:t xml:space="preserve">while setting the question papers. </w:t>
      </w:r>
    </w:p>
    <w:p w14:paraId="52FF278D">
      <w:pPr>
        <w:pStyle w:val="12"/>
        <w:jc w:val="center"/>
        <w:rPr>
          <w:rFonts w:ascii="Book Antiqua" w:hAnsi="Book Antiqua"/>
          <w:sz w:val="13"/>
          <w:szCs w:val="23"/>
        </w:rPr>
      </w:pPr>
    </w:p>
    <w:tbl>
      <w:tblPr>
        <w:tblStyle w:val="8"/>
        <w:tblW w:w="0" w:type="auto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21"/>
      </w:tblGrid>
      <w:tr w14:paraId="2414174E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24" w:hRule="atLeast"/>
        </w:trPr>
        <w:tc>
          <w:tcPr>
            <w:tcW w:w="10421" w:type="dxa"/>
          </w:tcPr>
          <w:p w14:paraId="219D2EE8">
            <w:pPr>
              <w:pStyle w:val="12"/>
              <w:numPr>
                <w:ilvl w:val="0"/>
                <w:numId w:val="1"/>
              </w:numPr>
              <w:ind w:left="540"/>
              <w:jc w:val="both"/>
              <w:rPr>
                <w:rFonts w:ascii="Book Antiqua" w:hAnsi="Book Antiqua"/>
                <w:sz w:val="22"/>
                <w:szCs w:val="22"/>
              </w:rPr>
            </w:pPr>
            <w:r>
              <w:rPr>
                <w:rFonts w:ascii="Book Antiqua" w:hAnsi="Book Antiqua"/>
                <w:sz w:val="22"/>
                <w:szCs w:val="22"/>
              </w:rPr>
              <w:t>The quality of Question paper indicates Quality of teaching at our institute</w:t>
            </w:r>
          </w:p>
          <w:p w14:paraId="261D363A">
            <w:pPr>
              <w:pStyle w:val="12"/>
              <w:numPr>
                <w:ilvl w:val="0"/>
                <w:numId w:val="1"/>
              </w:numPr>
              <w:ind w:left="540"/>
              <w:jc w:val="both"/>
              <w:rPr>
                <w:rFonts w:ascii="Book Antiqua" w:hAnsi="Book Antiqua"/>
                <w:sz w:val="22"/>
                <w:szCs w:val="22"/>
              </w:rPr>
            </w:pPr>
            <w:r>
              <w:rPr>
                <w:rFonts w:ascii="Book Antiqua" w:hAnsi="Book Antiqua"/>
                <w:sz w:val="22"/>
                <w:szCs w:val="22"/>
              </w:rPr>
              <w:t>Please design the questions to test higher order cognitive abilities (HOCAs); application and above levels</w:t>
            </w:r>
          </w:p>
          <w:p w14:paraId="49B60E89">
            <w:pPr>
              <w:pStyle w:val="12"/>
              <w:numPr>
                <w:ilvl w:val="0"/>
                <w:numId w:val="1"/>
              </w:numPr>
              <w:ind w:left="540"/>
              <w:jc w:val="both"/>
              <w:rPr>
                <w:rFonts w:ascii="Book Antiqua" w:hAnsi="Book Antiqua"/>
                <w:sz w:val="22"/>
                <w:szCs w:val="22"/>
              </w:rPr>
            </w:pPr>
            <w:r>
              <w:rPr>
                <w:rFonts w:ascii="Book Antiqua" w:hAnsi="Book Antiqua"/>
                <w:b/>
                <w:bCs/>
                <w:sz w:val="22"/>
                <w:szCs w:val="22"/>
                <w:u w:val="single"/>
              </w:rPr>
              <w:t>Please avoid</w:t>
            </w:r>
            <w:r>
              <w:rPr>
                <w:rFonts w:ascii="Book Antiqua" w:hAnsi="Book Antiqua"/>
                <w:sz w:val="22"/>
                <w:szCs w:val="22"/>
              </w:rPr>
              <w:t xml:space="preserve"> designing questions on lower order cognitive abilities (LOCAs) for long answer questions</w:t>
            </w:r>
          </w:p>
          <w:p w14:paraId="4872D8D4">
            <w:pPr>
              <w:pStyle w:val="12"/>
              <w:numPr>
                <w:ilvl w:val="0"/>
                <w:numId w:val="1"/>
              </w:numPr>
              <w:ind w:left="540"/>
              <w:jc w:val="both"/>
              <w:rPr>
                <w:rFonts w:ascii="Book Antiqua" w:hAnsi="Book Antiqua"/>
                <w:sz w:val="22"/>
                <w:szCs w:val="22"/>
              </w:rPr>
            </w:pPr>
            <w:r>
              <w:rPr>
                <w:rFonts w:ascii="Book Antiqua" w:hAnsi="Book Antiqua"/>
                <w:b/>
                <w:bCs/>
                <w:sz w:val="22"/>
                <w:szCs w:val="22"/>
                <w:u w:val="single"/>
              </w:rPr>
              <w:t>Please design</w:t>
            </w:r>
            <w:r>
              <w:rPr>
                <w:rFonts w:ascii="Book Antiqua" w:hAnsi="Book Antiqua"/>
                <w:sz w:val="22"/>
                <w:szCs w:val="22"/>
              </w:rPr>
              <w:t xml:space="preserve"> the questions whose outcomes are measurable</w:t>
            </w:r>
          </w:p>
          <w:p w14:paraId="51232212">
            <w:pPr>
              <w:pStyle w:val="12"/>
              <w:numPr>
                <w:ilvl w:val="0"/>
                <w:numId w:val="1"/>
              </w:numPr>
              <w:ind w:left="540"/>
              <w:jc w:val="both"/>
              <w:rPr>
                <w:rFonts w:ascii="Book Antiqua" w:hAnsi="Book Antiqua"/>
                <w:sz w:val="22"/>
                <w:szCs w:val="22"/>
              </w:rPr>
            </w:pPr>
            <w:r>
              <w:rPr>
                <w:rFonts w:ascii="Book Antiqua" w:hAnsi="Book Antiqua"/>
                <w:b/>
                <w:bCs/>
                <w:sz w:val="22"/>
                <w:szCs w:val="22"/>
                <w:u w:val="single"/>
              </w:rPr>
              <w:t>Please set</w:t>
            </w:r>
            <w:r>
              <w:rPr>
                <w:rFonts w:ascii="Book Antiqua" w:hAnsi="Book Antiqua"/>
                <w:sz w:val="22"/>
                <w:szCs w:val="22"/>
              </w:rPr>
              <w:t xml:space="preserve"> a valid, reliable and error-free (VRE) question paper which empower students to succeed in placements and higher education</w:t>
            </w:r>
          </w:p>
          <w:p w14:paraId="1B829D96">
            <w:pPr>
              <w:pStyle w:val="12"/>
              <w:numPr>
                <w:ilvl w:val="0"/>
                <w:numId w:val="1"/>
              </w:numPr>
              <w:ind w:left="540"/>
              <w:jc w:val="both"/>
              <w:rPr>
                <w:rFonts w:ascii="Book Antiqua" w:hAnsi="Book Antiqua"/>
                <w:sz w:val="22"/>
                <w:szCs w:val="22"/>
              </w:rPr>
            </w:pPr>
            <w:r>
              <w:rPr>
                <w:rFonts w:ascii="Book Antiqua" w:hAnsi="Book Antiqua"/>
                <w:sz w:val="22"/>
                <w:szCs w:val="22"/>
              </w:rPr>
              <w:t>Every long answer question designed to assess students' HOCAs</w:t>
            </w:r>
            <w:r>
              <w:rPr>
                <w:rFonts w:hint="default" w:ascii="Book Antiqua" w:hAnsi="Book Antiqua"/>
                <w:sz w:val="22"/>
                <w:szCs w:val="22"/>
                <w:lang w:val="en-US"/>
              </w:rPr>
              <w:t xml:space="preserve">. If there are sub-questions then, </w:t>
            </w:r>
            <w:r>
              <w:rPr>
                <w:rFonts w:ascii="Book Antiqua" w:hAnsi="Book Antiqua"/>
                <w:sz w:val="22"/>
                <w:szCs w:val="22"/>
              </w:rPr>
              <w:t>LOCAs that precede the HOCA, relevant to the CO</w:t>
            </w:r>
            <w:r>
              <w:rPr>
                <w:rFonts w:hint="default" w:ascii="Book Antiqua" w:hAnsi="Book Antiqua"/>
                <w:sz w:val="22"/>
                <w:szCs w:val="22"/>
                <w:lang w:val="en-US"/>
              </w:rPr>
              <w:t xml:space="preserve"> may be included.</w:t>
            </w:r>
          </w:p>
          <w:p w14:paraId="685871D6">
            <w:pPr>
              <w:pStyle w:val="12"/>
              <w:numPr>
                <w:ilvl w:val="0"/>
                <w:numId w:val="1"/>
              </w:numPr>
              <w:ind w:left="540"/>
              <w:rPr>
                <w:rFonts w:ascii="Book Antiqua" w:hAnsi="Book Antiqua"/>
                <w:sz w:val="22"/>
                <w:szCs w:val="22"/>
              </w:rPr>
            </w:pPr>
            <w:r>
              <w:rPr>
                <w:rFonts w:ascii="Book Antiqua" w:hAnsi="Book Antiqua"/>
                <w:b/>
                <w:bCs/>
                <w:sz w:val="22"/>
                <w:szCs w:val="22"/>
                <w:u w:val="single"/>
              </w:rPr>
              <w:t>Avoid</w:t>
            </w:r>
            <w:r>
              <w:rPr>
                <w:rFonts w:ascii="Book Antiqua" w:hAnsi="Book Antiqua"/>
                <w:sz w:val="22"/>
                <w:szCs w:val="22"/>
              </w:rPr>
              <w:t xml:space="preserve"> giving single-liner questions</w:t>
            </w:r>
          </w:p>
        </w:tc>
      </w:tr>
    </w:tbl>
    <w:p w14:paraId="4BCCF1A5">
      <w:pPr>
        <w:pStyle w:val="12"/>
        <w:ind w:firstLine="720"/>
        <w:jc w:val="both"/>
        <w:rPr>
          <w:rFonts w:ascii="Book Antiqua" w:hAnsi="Book Antiqua"/>
          <w:sz w:val="8"/>
          <w:szCs w:val="10"/>
        </w:rPr>
      </w:pPr>
    </w:p>
    <w:p w14:paraId="105F20A2">
      <w:pPr>
        <w:pStyle w:val="12"/>
        <w:numPr>
          <w:ilvl w:val="2"/>
          <w:numId w:val="2"/>
        </w:numPr>
        <w:spacing w:after="60"/>
        <w:ind w:left="426" w:hanging="426"/>
        <w:jc w:val="both"/>
        <w:rPr>
          <w:rFonts w:ascii="Book Antiqua" w:hAnsi="Book Antiqua"/>
          <w:sz w:val="22"/>
          <w:szCs w:val="20"/>
        </w:rPr>
      </w:pPr>
      <w:r>
        <w:rPr>
          <w:rFonts w:ascii="Book Antiqua" w:hAnsi="Book Antiqua"/>
          <w:sz w:val="22"/>
          <w:szCs w:val="20"/>
        </w:rPr>
        <w:t>Prepare two different sets of question papers from prescribed syllabus.</w:t>
      </w:r>
    </w:p>
    <w:p w14:paraId="2C73AA97">
      <w:pPr>
        <w:pStyle w:val="12"/>
        <w:numPr>
          <w:ilvl w:val="2"/>
          <w:numId w:val="2"/>
        </w:numPr>
        <w:spacing w:after="60"/>
        <w:ind w:left="426" w:hanging="426"/>
        <w:jc w:val="both"/>
        <w:rPr>
          <w:rFonts w:ascii="Book Antiqua" w:hAnsi="Book Antiqua"/>
          <w:sz w:val="22"/>
          <w:szCs w:val="20"/>
        </w:rPr>
      </w:pPr>
      <w:r>
        <w:rPr>
          <w:rFonts w:ascii="Book Antiqua" w:hAnsi="Book Antiqua"/>
          <w:sz w:val="22"/>
          <w:szCs w:val="20"/>
        </w:rPr>
        <w:t>Ensure that the questions in the paper shall be fairly distributed over the whole syllabus of study and not concentrated on any one or a few portions only and strictly adhere to the template enclosed.</w:t>
      </w:r>
    </w:p>
    <w:p w14:paraId="6C641E1F">
      <w:pPr>
        <w:pStyle w:val="12"/>
        <w:numPr>
          <w:ilvl w:val="2"/>
          <w:numId w:val="2"/>
        </w:numPr>
        <w:spacing w:after="60"/>
        <w:ind w:left="426" w:hanging="426"/>
        <w:jc w:val="both"/>
        <w:rPr>
          <w:rFonts w:ascii="Book Antiqua" w:hAnsi="Book Antiqua"/>
          <w:sz w:val="22"/>
          <w:szCs w:val="20"/>
        </w:rPr>
      </w:pPr>
      <w:r>
        <w:rPr>
          <w:rFonts w:ascii="Book Antiqua" w:hAnsi="Book Antiqua"/>
          <w:sz w:val="22"/>
          <w:szCs w:val="20"/>
        </w:rPr>
        <w:t xml:space="preserve">Set the questions, as indicated in enclosed template, to comply with specified </w:t>
      </w:r>
    </w:p>
    <w:p w14:paraId="57E47F1A">
      <w:pPr>
        <w:pStyle w:val="12"/>
        <w:numPr>
          <w:ilvl w:val="0"/>
          <w:numId w:val="3"/>
        </w:numPr>
        <w:jc w:val="both"/>
        <w:rPr>
          <w:rFonts w:ascii="Book Antiqua" w:hAnsi="Book Antiqua"/>
          <w:sz w:val="22"/>
          <w:szCs w:val="20"/>
        </w:rPr>
      </w:pPr>
      <w:r>
        <w:rPr>
          <w:rFonts w:ascii="Book Antiqua" w:hAnsi="Book Antiqua"/>
          <w:sz w:val="22"/>
          <w:szCs w:val="20"/>
        </w:rPr>
        <w:t xml:space="preserve">Marks </w:t>
      </w:r>
      <w:r>
        <w:rPr>
          <w:rFonts w:hint="default" w:ascii="Book Antiqua" w:hAnsi="Book Antiqua"/>
          <w:sz w:val="22"/>
          <w:szCs w:val="20"/>
          <w:lang w:val="en-US"/>
        </w:rPr>
        <w:t>for sub-questions</w:t>
      </w:r>
    </w:p>
    <w:p w14:paraId="73ECDB63">
      <w:pPr>
        <w:pStyle w:val="12"/>
        <w:numPr>
          <w:ilvl w:val="0"/>
          <w:numId w:val="3"/>
        </w:numPr>
        <w:jc w:val="both"/>
        <w:rPr>
          <w:rFonts w:ascii="Book Antiqua" w:hAnsi="Book Antiqua"/>
          <w:sz w:val="22"/>
          <w:szCs w:val="20"/>
        </w:rPr>
      </w:pPr>
      <w:r>
        <w:rPr>
          <w:rFonts w:ascii="Book Antiqua" w:hAnsi="Book Antiqua"/>
          <w:sz w:val="22"/>
          <w:szCs w:val="20"/>
        </w:rPr>
        <w:t>Cognitive Domain Learning Levels (CDLL) according to Blooms Revised Taxonomy (BRT)</w:t>
      </w:r>
    </w:p>
    <w:p w14:paraId="60A96816">
      <w:pPr>
        <w:pStyle w:val="12"/>
        <w:numPr>
          <w:ilvl w:val="0"/>
          <w:numId w:val="3"/>
        </w:numPr>
        <w:jc w:val="both"/>
        <w:rPr>
          <w:rFonts w:ascii="Book Antiqua" w:hAnsi="Book Antiqua"/>
          <w:sz w:val="22"/>
          <w:szCs w:val="20"/>
        </w:rPr>
      </w:pPr>
      <w:r>
        <w:rPr>
          <w:rFonts w:ascii="Book Antiqua" w:hAnsi="Book Antiqua"/>
          <w:sz w:val="22"/>
          <w:szCs w:val="20"/>
        </w:rPr>
        <w:t>Course Outcomes (COs)</w:t>
      </w:r>
    </w:p>
    <w:p w14:paraId="0ADE4971">
      <w:pPr>
        <w:pStyle w:val="12"/>
        <w:numPr>
          <w:ilvl w:val="2"/>
          <w:numId w:val="2"/>
        </w:numPr>
        <w:ind w:left="442" w:hanging="450"/>
        <w:jc w:val="both"/>
        <w:rPr>
          <w:rFonts w:ascii="Book Antiqua" w:hAnsi="Book Antiqua"/>
          <w:sz w:val="22"/>
          <w:szCs w:val="22"/>
        </w:rPr>
      </w:pPr>
      <w:r>
        <w:rPr>
          <w:rFonts w:ascii="Book Antiqua" w:hAnsi="Book Antiqua"/>
          <w:bCs/>
          <w:sz w:val="22"/>
          <w:szCs w:val="22"/>
        </w:rPr>
        <w:t xml:space="preserve">Your question paper should have validity and reliability. For a valid and reliable assessment, you are requested to set questions whose outcomes are measurable. </w:t>
      </w:r>
    </w:p>
    <w:p w14:paraId="0CB4182B">
      <w:pPr>
        <w:pStyle w:val="12"/>
        <w:numPr>
          <w:ilvl w:val="2"/>
          <w:numId w:val="2"/>
        </w:numPr>
        <w:spacing w:after="60"/>
        <w:ind w:left="432" w:hanging="432"/>
        <w:jc w:val="both"/>
        <w:rPr>
          <w:rFonts w:ascii="Book Antiqua" w:hAnsi="Book Antiqua"/>
          <w:sz w:val="22"/>
          <w:szCs w:val="22"/>
        </w:rPr>
      </w:pPr>
      <w:r>
        <w:rPr>
          <w:rFonts w:ascii="Book Antiqua" w:hAnsi="Book Antiqua"/>
          <w:sz w:val="22"/>
          <w:szCs w:val="22"/>
        </w:rPr>
        <w:t>Avoid ambiguity, repetition of questions or replication from the model question paper.</w:t>
      </w:r>
    </w:p>
    <w:p w14:paraId="0B743181">
      <w:pPr>
        <w:pStyle w:val="12"/>
        <w:numPr>
          <w:ilvl w:val="2"/>
          <w:numId w:val="2"/>
        </w:numPr>
        <w:spacing w:after="60"/>
        <w:ind w:left="432" w:hanging="432"/>
        <w:jc w:val="both"/>
        <w:rPr>
          <w:rFonts w:ascii="Book Antiqua" w:hAnsi="Book Antiqua"/>
          <w:sz w:val="22"/>
          <w:szCs w:val="20"/>
        </w:rPr>
      </w:pPr>
      <w:r>
        <w:rPr>
          <w:rFonts w:ascii="Book Antiqua" w:hAnsi="Book Antiqua"/>
          <w:sz w:val="22"/>
          <w:szCs w:val="20"/>
        </w:rPr>
        <w:t>Avoid all kinds of abbreviations. If used, please make a special mention.</w:t>
      </w:r>
    </w:p>
    <w:p w14:paraId="740FF239">
      <w:pPr>
        <w:pStyle w:val="12"/>
        <w:numPr>
          <w:ilvl w:val="2"/>
          <w:numId w:val="2"/>
        </w:numPr>
        <w:spacing w:after="60"/>
        <w:ind w:left="432" w:hanging="432"/>
        <w:jc w:val="both"/>
        <w:rPr>
          <w:rFonts w:ascii="Book Antiqua" w:hAnsi="Book Antiqua"/>
          <w:sz w:val="22"/>
          <w:szCs w:val="22"/>
        </w:rPr>
      </w:pPr>
      <w:r>
        <w:rPr>
          <w:rFonts w:ascii="Book Antiqua" w:hAnsi="Book Antiqua"/>
          <w:sz w:val="22"/>
          <w:szCs w:val="22"/>
        </w:rPr>
        <w:t>Draw the figures / drawing / circuit diagram wherever necessary and label the diagrams indicating dimensions, etc., clearly and properly.</w:t>
      </w:r>
    </w:p>
    <w:p w14:paraId="6D20707F">
      <w:pPr>
        <w:pStyle w:val="12"/>
        <w:numPr>
          <w:ilvl w:val="2"/>
          <w:numId w:val="2"/>
        </w:numPr>
        <w:spacing w:after="60"/>
        <w:ind w:left="432" w:hanging="432"/>
        <w:jc w:val="both"/>
        <w:rPr>
          <w:rFonts w:ascii="Book Antiqua" w:hAnsi="Book Antiqua"/>
          <w:sz w:val="22"/>
          <w:szCs w:val="20"/>
        </w:rPr>
      </w:pPr>
      <w:r>
        <w:rPr>
          <w:rFonts w:ascii="Book Antiqua" w:hAnsi="Book Antiqua"/>
          <w:sz w:val="22"/>
          <w:szCs w:val="20"/>
        </w:rPr>
        <w:t>Indicate clearly on the question paper (in instructions), the need of any code book/handbook/data book/graph sheets required by the candidate for answering the questions.</w:t>
      </w:r>
    </w:p>
    <w:p w14:paraId="22CC7549">
      <w:pPr>
        <w:pStyle w:val="12"/>
        <w:numPr>
          <w:ilvl w:val="2"/>
          <w:numId w:val="2"/>
        </w:numPr>
        <w:spacing w:after="60"/>
        <w:ind w:left="432" w:hanging="432"/>
        <w:jc w:val="both"/>
        <w:rPr>
          <w:rFonts w:ascii="Book Antiqua" w:hAnsi="Book Antiqua"/>
          <w:sz w:val="22"/>
          <w:szCs w:val="20"/>
        </w:rPr>
      </w:pPr>
      <w:r>
        <w:rPr>
          <w:rFonts w:ascii="Book Antiqua" w:hAnsi="Book Antiqua"/>
          <w:sz w:val="22"/>
          <w:szCs w:val="20"/>
        </w:rPr>
        <w:t>Ensure that the question pa</w:t>
      </w:r>
      <w:bookmarkStart w:id="0" w:name="_GoBack"/>
      <w:bookmarkEnd w:id="0"/>
      <w:r>
        <w:rPr>
          <w:rFonts w:ascii="Book Antiqua" w:hAnsi="Book Antiqua"/>
          <w:sz w:val="22"/>
          <w:szCs w:val="20"/>
        </w:rPr>
        <w:t>per does not contain any objectionable or unlawful contents.</w:t>
      </w:r>
    </w:p>
    <w:p w14:paraId="1C8A1796">
      <w:pPr>
        <w:pStyle w:val="12"/>
        <w:spacing w:after="60"/>
        <w:ind w:left="432"/>
        <w:jc w:val="both"/>
        <w:rPr>
          <w:rFonts w:ascii="Book Antiqua" w:hAnsi="Book Antiqua"/>
          <w:sz w:val="4"/>
          <w:szCs w:val="6"/>
        </w:rPr>
      </w:pPr>
    </w:p>
    <w:p w14:paraId="78B7A80F">
      <w:pPr>
        <w:pStyle w:val="12"/>
        <w:numPr>
          <w:ilvl w:val="2"/>
          <w:numId w:val="2"/>
        </w:numPr>
        <w:ind w:left="426" w:hanging="426"/>
        <w:jc w:val="both"/>
        <w:rPr>
          <w:rFonts w:ascii="Book Antiqua" w:hAnsi="Book Antiqua"/>
          <w:sz w:val="22"/>
          <w:szCs w:val="20"/>
        </w:rPr>
      </w:pPr>
      <w:r>
        <w:rPr>
          <w:rFonts w:ascii="Book Antiqua" w:hAnsi="Book Antiqua"/>
          <w:sz w:val="22"/>
          <w:szCs w:val="20"/>
        </w:rPr>
        <w:t>Course content of each unit, in every course, shall have specific Course Outcome (CO), {shown in Table-1} and each question is to be prepared to test the students’ knowledge and skills as per indicated Cognitive Domain Learning Level (CDLL), {shown in Table-2} targeting the stated CO, as specified in the template.</w:t>
      </w:r>
    </w:p>
    <w:p w14:paraId="38B74E19">
      <w:pPr>
        <w:pStyle w:val="12"/>
        <w:ind w:left="426"/>
        <w:jc w:val="both"/>
        <w:rPr>
          <w:rFonts w:ascii="Book Antiqua" w:hAnsi="Book Antiqua"/>
          <w:sz w:val="10"/>
          <w:szCs w:val="20"/>
        </w:rPr>
      </w:pPr>
    </w:p>
    <w:p w14:paraId="6B3BD84A">
      <w:pPr>
        <w:pStyle w:val="12"/>
        <w:tabs>
          <w:tab w:val="left" w:pos="1418"/>
          <w:tab w:val="left" w:pos="6237"/>
        </w:tabs>
        <w:spacing w:line="276" w:lineRule="auto"/>
        <w:ind w:left="426"/>
        <w:jc w:val="both"/>
        <w:rPr>
          <w:rFonts w:ascii="Book Antiqua" w:hAnsi="Book Antiqua"/>
          <w:b/>
          <w:sz w:val="20"/>
          <w:szCs w:val="20"/>
        </w:rPr>
      </w:pPr>
      <w:r>
        <w:rPr>
          <w:rFonts w:ascii="Book Antiqua" w:hAnsi="Book Antiqua"/>
          <w:sz w:val="20"/>
          <w:szCs w:val="20"/>
        </w:rPr>
        <w:tab/>
      </w:r>
      <w:r>
        <w:rPr>
          <w:rFonts w:ascii="Book Antiqua" w:hAnsi="Book Antiqua"/>
          <w:b/>
          <w:sz w:val="20"/>
          <w:szCs w:val="20"/>
          <w:u w:val="single"/>
        </w:rPr>
        <w:t>Table-1</w:t>
      </w:r>
      <w:r>
        <w:rPr>
          <w:rFonts w:ascii="Book Antiqua" w:hAnsi="Book Antiqua"/>
          <w:b/>
          <w:sz w:val="20"/>
          <w:szCs w:val="20"/>
        </w:rPr>
        <w:tab/>
      </w:r>
      <w:r>
        <w:rPr>
          <w:rFonts w:ascii="Book Antiqua" w:hAnsi="Book Antiqua"/>
          <w:b/>
          <w:sz w:val="20"/>
          <w:szCs w:val="20"/>
          <w:u w:val="single"/>
        </w:rPr>
        <w:t>Table-2</w:t>
      </w:r>
    </w:p>
    <w:p w14:paraId="71E58C76">
      <w:pPr>
        <w:pStyle w:val="12"/>
        <w:tabs>
          <w:tab w:val="left" w:pos="1418"/>
          <w:tab w:val="left" w:pos="6237"/>
        </w:tabs>
        <w:spacing w:line="360" w:lineRule="auto"/>
        <w:jc w:val="both"/>
        <w:rPr>
          <w:rFonts w:ascii="Book Antiqua" w:hAnsi="Book Antiqua"/>
          <w:sz w:val="2"/>
          <w:szCs w:val="20"/>
        </w:rPr>
      </w:pPr>
    </w:p>
    <w:tbl>
      <w:tblPr>
        <w:tblStyle w:val="8"/>
        <w:tblW w:w="0" w:type="auto"/>
        <w:tblInd w:w="25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0"/>
        <w:gridCol w:w="2464"/>
      </w:tblGrid>
      <w:tr w14:paraId="6B281F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1010" w:type="dxa"/>
          </w:tcPr>
          <w:p w14:paraId="0E4A7532">
            <w:pPr>
              <w:pStyle w:val="12"/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  <w:r>
              <w:rPr>
                <w:rFonts w:ascii="Book Antiqua" w:hAnsi="Book Antiqua"/>
                <w:b/>
                <w:sz w:val="20"/>
                <w:szCs w:val="20"/>
              </w:rPr>
              <w:t>CO</w:t>
            </w:r>
          </w:p>
        </w:tc>
        <w:tc>
          <w:tcPr>
            <w:tcW w:w="2464" w:type="dxa"/>
          </w:tcPr>
          <w:p w14:paraId="597EA90C">
            <w:pPr>
              <w:pStyle w:val="12"/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  <w:r>
              <w:rPr>
                <w:rFonts w:ascii="Book Antiqua" w:hAnsi="Book Antiqua"/>
                <w:b/>
                <w:sz w:val="20"/>
                <w:szCs w:val="20"/>
              </w:rPr>
              <w:t>Covering the contents of</w:t>
            </w:r>
          </w:p>
        </w:tc>
      </w:tr>
      <w:tr w14:paraId="60BB53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1010" w:type="dxa"/>
          </w:tcPr>
          <w:p w14:paraId="7D58F1A2">
            <w:pPr>
              <w:pStyle w:val="12"/>
              <w:jc w:val="center"/>
              <w:rPr>
                <w:rFonts w:ascii="Book Antiqua" w:hAnsi="Book Antiqua"/>
                <w:sz w:val="20"/>
                <w:szCs w:val="20"/>
              </w:rPr>
            </w:pPr>
            <w:r>
              <w:rPr>
                <w:rFonts w:ascii="Book Antiqua" w:hAnsi="Book Antiqua"/>
                <w:sz w:val="20"/>
                <w:szCs w:val="20"/>
              </w:rPr>
              <w:t>CO1</w:t>
            </w:r>
          </w:p>
        </w:tc>
        <w:tc>
          <w:tcPr>
            <w:tcW w:w="2464" w:type="dxa"/>
          </w:tcPr>
          <w:p w14:paraId="583ABEEC">
            <w:pPr>
              <w:pStyle w:val="12"/>
              <w:jc w:val="center"/>
              <w:rPr>
                <w:rFonts w:ascii="Book Antiqua" w:hAnsi="Book Antiqua"/>
                <w:sz w:val="20"/>
                <w:szCs w:val="20"/>
              </w:rPr>
            </w:pPr>
            <w:r>
              <w:rPr>
                <w:rFonts w:ascii="Book Antiqua" w:hAnsi="Book Antiqua"/>
                <w:sz w:val="20"/>
                <w:szCs w:val="20"/>
              </w:rPr>
              <w:t>UNIT-I</w:t>
            </w:r>
          </w:p>
        </w:tc>
      </w:tr>
      <w:tr w14:paraId="628C22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1010" w:type="dxa"/>
          </w:tcPr>
          <w:p w14:paraId="0D779C93">
            <w:pPr>
              <w:pStyle w:val="12"/>
              <w:jc w:val="center"/>
              <w:rPr>
                <w:rFonts w:ascii="Book Antiqua" w:hAnsi="Book Antiqua"/>
                <w:sz w:val="20"/>
                <w:szCs w:val="20"/>
              </w:rPr>
            </w:pPr>
            <w:r>
              <w:rPr>
                <w:rFonts w:ascii="Book Antiqua" w:hAnsi="Book Antiqua"/>
                <w:sz w:val="20"/>
                <w:szCs w:val="20"/>
              </w:rPr>
              <w:t>CO2</w:t>
            </w:r>
          </w:p>
        </w:tc>
        <w:tc>
          <w:tcPr>
            <w:tcW w:w="2464" w:type="dxa"/>
          </w:tcPr>
          <w:p w14:paraId="40BE6096">
            <w:pPr>
              <w:pStyle w:val="12"/>
              <w:jc w:val="center"/>
              <w:rPr>
                <w:rFonts w:ascii="Book Antiqua" w:hAnsi="Book Antiqua"/>
                <w:sz w:val="20"/>
                <w:szCs w:val="20"/>
              </w:rPr>
            </w:pPr>
            <w:r>
              <w:rPr>
                <w:rFonts w:ascii="Book Antiqua" w:hAnsi="Book Antiqua"/>
                <w:sz w:val="20"/>
                <w:szCs w:val="20"/>
              </w:rPr>
              <w:t>UNIT-II</w:t>
            </w:r>
          </w:p>
        </w:tc>
      </w:tr>
      <w:tr w14:paraId="4F0428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1010" w:type="dxa"/>
          </w:tcPr>
          <w:p w14:paraId="350BB1B8">
            <w:pPr>
              <w:pStyle w:val="12"/>
              <w:jc w:val="center"/>
              <w:rPr>
                <w:rFonts w:ascii="Book Antiqua" w:hAnsi="Book Antiqua"/>
                <w:sz w:val="20"/>
                <w:szCs w:val="20"/>
              </w:rPr>
            </w:pPr>
            <w:r>
              <w:rPr>
                <w:rFonts w:ascii="Book Antiqua" w:hAnsi="Book Antiqua"/>
                <w:sz w:val="20"/>
                <w:szCs w:val="20"/>
              </w:rPr>
              <w:t>CO3</w:t>
            </w:r>
          </w:p>
        </w:tc>
        <w:tc>
          <w:tcPr>
            <w:tcW w:w="2464" w:type="dxa"/>
          </w:tcPr>
          <w:p w14:paraId="1CADB4F7">
            <w:pPr>
              <w:pStyle w:val="12"/>
              <w:jc w:val="center"/>
              <w:rPr>
                <w:rFonts w:ascii="Book Antiqua" w:hAnsi="Book Antiqua"/>
                <w:sz w:val="20"/>
                <w:szCs w:val="20"/>
              </w:rPr>
            </w:pPr>
            <w:r>
              <w:rPr>
                <w:rFonts w:ascii="Book Antiqua" w:hAnsi="Book Antiqua"/>
                <w:sz w:val="20"/>
                <w:szCs w:val="20"/>
              </w:rPr>
              <w:t>UNIT-III</w:t>
            </w:r>
          </w:p>
        </w:tc>
      </w:tr>
      <w:tr w14:paraId="43A94F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1010" w:type="dxa"/>
          </w:tcPr>
          <w:p w14:paraId="6D8E7B29">
            <w:pPr>
              <w:pStyle w:val="12"/>
              <w:jc w:val="center"/>
              <w:rPr>
                <w:rFonts w:ascii="Book Antiqua" w:hAnsi="Book Antiqua"/>
                <w:sz w:val="20"/>
                <w:szCs w:val="20"/>
              </w:rPr>
            </w:pPr>
            <w:r>
              <w:rPr>
                <w:rFonts w:ascii="Book Antiqua" w:hAnsi="Book Antiqua"/>
                <w:sz w:val="20"/>
                <w:szCs w:val="20"/>
              </w:rPr>
              <w:t>CO4</w:t>
            </w:r>
          </w:p>
        </w:tc>
        <w:tc>
          <w:tcPr>
            <w:tcW w:w="2464" w:type="dxa"/>
          </w:tcPr>
          <w:p w14:paraId="0E17D73F">
            <w:pPr>
              <w:pStyle w:val="12"/>
              <w:jc w:val="center"/>
              <w:rPr>
                <w:rFonts w:ascii="Book Antiqua" w:hAnsi="Book Antiqua"/>
                <w:sz w:val="20"/>
                <w:szCs w:val="20"/>
              </w:rPr>
            </w:pPr>
            <w:r>
              <w:rPr>
                <w:rFonts w:ascii="Book Antiqua" w:hAnsi="Book Antiqua"/>
                <w:sz w:val="20"/>
                <w:szCs w:val="20"/>
              </w:rPr>
              <w:t>UNIT-IV</w:t>
            </w:r>
          </w:p>
        </w:tc>
      </w:tr>
    </w:tbl>
    <w:tbl>
      <w:tblPr>
        <w:tblStyle w:val="8"/>
        <w:tblpPr w:leftFromText="180" w:rightFromText="180" w:vertAnchor="text" w:horzAnchor="margin" w:tblpXSpec="right" w:tblpY="-1401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959"/>
        <w:gridCol w:w="1701"/>
        <w:gridCol w:w="3544"/>
      </w:tblGrid>
      <w:tr w14:paraId="52937D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9" w:hRule="atLeast"/>
        </w:trPr>
        <w:tc>
          <w:tcPr>
            <w:tcW w:w="959" w:type="dxa"/>
          </w:tcPr>
          <w:p w14:paraId="5157C8C8">
            <w:pPr>
              <w:spacing w:after="0" w:line="240" w:lineRule="auto"/>
              <w:jc w:val="center"/>
              <w:rPr>
                <w:rFonts w:ascii="Book Antiqua" w:hAnsi="Book Antiqua" w:cs="Times New Roman"/>
                <w:sz w:val="20"/>
                <w:szCs w:val="20"/>
              </w:rPr>
            </w:pPr>
            <w:r>
              <w:rPr>
                <w:rFonts w:ascii="Book Antiqua" w:hAnsi="Book Antiqua" w:cs="Times New Roman"/>
                <w:sz w:val="20"/>
                <w:szCs w:val="20"/>
              </w:rPr>
              <w:t>Level-1</w:t>
            </w:r>
          </w:p>
        </w:tc>
        <w:tc>
          <w:tcPr>
            <w:tcW w:w="1701" w:type="dxa"/>
            <w:vAlign w:val="center"/>
          </w:tcPr>
          <w:p w14:paraId="2FBE7A7F">
            <w:pPr>
              <w:spacing w:after="0" w:line="240" w:lineRule="auto"/>
              <w:jc w:val="both"/>
              <w:rPr>
                <w:rFonts w:ascii="Book Antiqua" w:hAnsi="Book Antiqua" w:cs="Times New Roman"/>
                <w:sz w:val="20"/>
                <w:szCs w:val="20"/>
              </w:rPr>
            </w:pPr>
            <w:r>
              <w:rPr>
                <w:rFonts w:ascii="Book Antiqua" w:hAnsi="Book Antiqua" w:cs="Times New Roman"/>
                <w:sz w:val="20"/>
                <w:szCs w:val="20"/>
              </w:rPr>
              <w:t>Remember (R)</w:t>
            </w:r>
          </w:p>
        </w:tc>
        <w:tc>
          <w:tcPr>
            <w:tcW w:w="3544" w:type="dxa"/>
            <w:vMerge w:val="restart"/>
            <w:vAlign w:val="center"/>
          </w:tcPr>
          <w:p w14:paraId="396E2BCF">
            <w:pPr>
              <w:spacing w:after="0" w:line="276" w:lineRule="auto"/>
              <w:jc w:val="both"/>
              <w:rPr>
                <w:rFonts w:ascii="Book Antiqua" w:hAnsi="Book Antiqua" w:cs="Times New Roman"/>
                <w:sz w:val="20"/>
                <w:szCs w:val="20"/>
              </w:rPr>
            </w:pPr>
            <w:r>
              <w:rPr>
                <w:rFonts w:ascii="Book Antiqua" w:hAnsi="Book Antiqua" w:cs="Times New Roman"/>
                <w:sz w:val="20"/>
                <w:szCs w:val="20"/>
              </w:rPr>
              <w:t xml:space="preserve"> Fundamental Knowledge</w:t>
            </w:r>
          </w:p>
        </w:tc>
      </w:tr>
      <w:tr w14:paraId="70F20E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9" w:hRule="atLeast"/>
        </w:trPr>
        <w:tc>
          <w:tcPr>
            <w:tcW w:w="959" w:type="dxa"/>
          </w:tcPr>
          <w:p w14:paraId="7F45D814">
            <w:pPr>
              <w:spacing w:after="0" w:line="240" w:lineRule="auto"/>
              <w:jc w:val="center"/>
              <w:rPr>
                <w:rFonts w:ascii="Book Antiqua" w:hAnsi="Book Antiqua" w:cs="Times New Roman"/>
                <w:sz w:val="20"/>
                <w:szCs w:val="20"/>
              </w:rPr>
            </w:pPr>
            <w:r>
              <w:rPr>
                <w:rFonts w:ascii="Book Antiqua" w:hAnsi="Book Antiqua" w:cs="Times New Roman"/>
                <w:sz w:val="20"/>
                <w:szCs w:val="20"/>
              </w:rPr>
              <w:t>Level-2</w:t>
            </w:r>
          </w:p>
        </w:tc>
        <w:tc>
          <w:tcPr>
            <w:tcW w:w="1701" w:type="dxa"/>
            <w:vAlign w:val="center"/>
          </w:tcPr>
          <w:p w14:paraId="357F6962">
            <w:pPr>
              <w:spacing w:after="0" w:line="240" w:lineRule="auto"/>
              <w:jc w:val="both"/>
              <w:rPr>
                <w:rFonts w:ascii="Book Antiqua" w:hAnsi="Book Antiqua" w:cs="Times New Roman"/>
                <w:sz w:val="20"/>
                <w:szCs w:val="20"/>
              </w:rPr>
            </w:pPr>
            <w:r>
              <w:rPr>
                <w:rFonts w:ascii="Book Antiqua" w:hAnsi="Book Antiqua" w:cs="Times New Roman"/>
                <w:sz w:val="20"/>
                <w:szCs w:val="20"/>
              </w:rPr>
              <w:t>Understand (U)</w:t>
            </w:r>
          </w:p>
        </w:tc>
        <w:tc>
          <w:tcPr>
            <w:tcW w:w="3544" w:type="dxa"/>
            <w:vMerge w:val="continue"/>
            <w:vAlign w:val="center"/>
          </w:tcPr>
          <w:p w14:paraId="73FAA0A7">
            <w:pPr>
              <w:spacing w:after="0" w:line="276" w:lineRule="auto"/>
              <w:jc w:val="both"/>
              <w:rPr>
                <w:rFonts w:ascii="Book Antiqua" w:hAnsi="Book Antiqua" w:cs="Times New Roman"/>
                <w:sz w:val="20"/>
                <w:szCs w:val="20"/>
              </w:rPr>
            </w:pPr>
          </w:p>
        </w:tc>
      </w:tr>
      <w:tr w14:paraId="01B763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9" w:hRule="atLeast"/>
        </w:trPr>
        <w:tc>
          <w:tcPr>
            <w:tcW w:w="959" w:type="dxa"/>
          </w:tcPr>
          <w:p w14:paraId="1123D4DE">
            <w:pPr>
              <w:spacing w:after="0" w:line="240" w:lineRule="auto"/>
              <w:jc w:val="center"/>
              <w:rPr>
                <w:rFonts w:ascii="Book Antiqua" w:hAnsi="Book Antiqua" w:cs="Times New Roman"/>
                <w:sz w:val="20"/>
                <w:szCs w:val="20"/>
              </w:rPr>
            </w:pPr>
            <w:r>
              <w:rPr>
                <w:rFonts w:ascii="Book Antiqua" w:hAnsi="Book Antiqua" w:cs="Times New Roman"/>
                <w:sz w:val="20"/>
                <w:szCs w:val="20"/>
              </w:rPr>
              <w:t>Level-3</w:t>
            </w:r>
          </w:p>
        </w:tc>
        <w:tc>
          <w:tcPr>
            <w:tcW w:w="1701" w:type="dxa"/>
            <w:vAlign w:val="center"/>
          </w:tcPr>
          <w:p w14:paraId="26AA0651">
            <w:pPr>
              <w:spacing w:after="0" w:line="240" w:lineRule="auto"/>
              <w:jc w:val="both"/>
              <w:rPr>
                <w:rFonts w:ascii="Book Antiqua" w:hAnsi="Book Antiqua" w:cs="Times New Roman"/>
                <w:sz w:val="20"/>
                <w:szCs w:val="20"/>
              </w:rPr>
            </w:pPr>
            <w:r>
              <w:rPr>
                <w:rFonts w:ascii="Book Antiqua" w:hAnsi="Book Antiqua" w:cs="Times New Roman"/>
                <w:sz w:val="20"/>
                <w:szCs w:val="20"/>
              </w:rPr>
              <w:t>Apply (Ap)</w:t>
            </w:r>
          </w:p>
        </w:tc>
        <w:tc>
          <w:tcPr>
            <w:tcW w:w="3544" w:type="dxa"/>
            <w:vMerge w:val="restart"/>
            <w:vAlign w:val="center"/>
          </w:tcPr>
          <w:p w14:paraId="63C117B5">
            <w:pPr>
              <w:spacing w:after="0" w:line="276" w:lineRule="auto"/>
              <w:rPr>
                <w:rFonts w:ascii="Book Antiqua" w:hAnsi="Book Antiqua" w:cs="Times New Roman"/>
                <w:sz w:val="20"/>
                <w:szCs w:val="20"/>
              </w:rPr>
            </w:pPr>
            <w:r>
              <w:rPr>
                <w:rFonts w:ascii="Book Antiqua" w:hAnsi="Book Antiqua" w:cs="Times New Roman"/>
                <w:sz w:val="20"/>
                <w:szCs w:val="20"/>
              </w:rPr>
              <w:t xml:space="preserve"> Knowledge on Application &amp; Analysis</w:t>
            </w:r>
          </w:p>
        </w:tc>
      </w:tr>
      <w:tr w14:paraId="725F34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9" w:hRule="atLeast"/>
        </w:trPr>
        <w:tc>
          <w:tcPr>
            <w:tcW w:w="959" w:type="dxa"/>
          </w:tcPr>
          <w:p w14:paraId="7362C3CC">
            <w:pPr>
              <w:spacing w:after="0" w:line="240" w:lineRule="auto"/>
              <w:jc w:val="center"/>
              <w:rPr>
                <w:rFonts w:ascii="Book Antiqua" w:hAnsi="Book Antiqua" w:cs="Times New Roman"/>
                <w:sz w:val="20"/>
                <w:szCs w:val="20"/>
              </w:rPr>
            </w:pPr>
            <w:r>
              <w:rPr>
                <w:rFonts w:ascii="Book Antiqua" w:hAnsi="Book Antiqua" w:cs="Times New Roman"/>
                <w:sz w:val="20"/>
                <w:szCs w:val="20"/>
              </w:rPr>
              <w:t>Level-4</w:t>
            </w:r>
          </w:p>
        </w:tc>
        <w:tc>
          <w:tcPr>
            <w:tcW w:w="1701" w:type="dxa"/>
            <w:vAlign w:val="center"/>
          </w:tcPr>
          <w:p w14:paraId="2EFE6F03">
            <w:pPr>
              <w:spacing w:after="0" w:line="240" w:lineRule="auto"/>
              <w:jc w:val="both"/>
              <w:rPr>
                <w:rFonts w:ascii="Book Antiqua" w:hAnsi="Book Antiqua" w:cs="Times New Roman"/>
                <w:sz w:val="20"/>
                <w:szCs w:val="20"/>
              </w:rPr>
            </w:pPr>
            <w:r>
              <w:rPr>
                <w:rFonts w:ascii="Book Antiqua" w:hAnsi="Book Antiqua" w:cs="Times New Roman"/>
                <w:sz w:val="20"/>
                <w:szCs w:val="20"/>
              </w:rPr>
              <w:t>Analyze (An)</w:t>
            </w:r>
          </w:p>
        </w:tc>
        <w:tc>
          <w:tcPr>
            <w:tcW w:w="3544" w:type="dxa"/>
            <w:vMerge w:val="continue"/>
            <w:vAlign w:val="center"/>
          </w:tcPr>
          <w:p w14:paraId="71F580E8">
            <w:pPr>
              <w:spacing w:after="0" w:line="276" w:lineRule="auto"/>
              <w:jc w:val="both"/>
              <w:rPr>
                <w:rFonts w:ascii="Book Antiqua" w:hAnsi="Book Antiqua" w:cs="Times New Roman"/>
                <w:sz w:val="20"/>
                <w:szCs w:val="20"/>
              </w:rPr>
            </w:pPr>
          </w:p>
        </w:tc>
      </w:tr>
      <w:tr w14:paraId="39DE02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9" w:hRule="atLeast"/>
        </w:trPr>
        <w:tc>
          <w:tcPr>
            <w:tcW w:w="959" w:type="dxa"/>
          </w:tcPr>
          <w:p w14:paraId="49749602">
            <w:pPr>
              <w:spacing w:after="0" w:line="240" w:lineRule="auto"/>
              <w:jc w:val="center"/>
              <w:rPr>
                <w:rFonts w:ascii="Book Antiqua" w:hAnsi="Book Antiqua" w:cs="Times New Roman"/>
                <w:sz w:val="20"/>
                <w:szCs w:val="20"/>
              </w:rPr>
            </w:pPr>
            <w:r>
              <w:rPr>
                <w:rFonts w:ascii="Book Antiqua" w:hAnsi="Book Antiqua" w:cs="Times New Roman"/>
                <w:sz w:val="20"/>
                <w:szCs w:val="20"/>
              </w:rPr>
              <w:t>Level-5</w:t>
            </w:r>
          </w:p>
        </w:tc>
        <w:tc>
          <w:tcPr>
            <w:tcW w:w="1701" w:type="dxa"/>
            <w:vAlign w:val="center"/>
          </w:tcPr>
          <w:p w14:paraId="18AB9762">
            <w:pPr>
              <w:spacing w:after="0" w:line="240" w:lineRule="auto"/>
              <w:jc w:val="both"/>
              <w:rPr>
                <w:rFonts w:ascii="Book Antiqua" w:hAnsi="Book Antiqua" w:cs="Times New Roman"/>
                <w:sz w:val="20"/>
                <w:szCs w:val="20"/>
              </w:rPr>
            </w:pPr>
            <w:r>
              <w:rPr>
                <w:rFonts w:ascii="Book Antiqua" w:hAnsi="Book Antiqua" w:cs="Times New Roman"/>
                <w:sz w:val="20"/>
                <w:szCs w:val="20"/>
              </w:rPr>
              <w:t>Evaluate (E)</w:t>
            </w:r>
          </w:p>
        </w:tc>
        <w:tc>
          <w:tcPr>
            <w:tcW w:w="3544" w:type="dxa"/>
            <w:vMerge w:val="restart"/>
            <w:vAlign w:val="center"/>
          </w:tcPr>
          <w:p w14:paraId="09DB371D">
            <w:pPr>
              <w:spacing w:after="0" w:line="276" w:lineRule="auto"/>
              <w:jc w:val="both"/>
              <w:rPr>
                <w:rFonts w:ascii="Book Antiqua" w:hAnsi="Book Antiqua" w:cs="Times New Roman"/>
                <w:sz w:val="20"/>
                <w:szCs w:val="20"/>
              </w:rPr>
            </w:pPr>
            <w:r>
              <w:rPr>
                <w:rFonts w:ascii="Book Antiqua" w:hAnsi="Book Antiqua" w:cs="Times New Roman"/>
                <w:sz w:val="20"/>
                <w:szCs w:val="20"/>
              </w:rPr>
              <w:t xml:space="preserve">Critical Thinking </w:t>
            </w:r>
          </w:p>
        </w:tc>
      </w:tr>
      <w:tr w14:paraId="775CCF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" w:hRule="atLeast"/>
        </w:trPr>
        <w:tc>
          <w:tcPr>
            <w:tcW w:w="959" w:type="dxa"/>
          </w:tcPr>
          <w:p w14:paraId="152496C0">
            <w:pPr>
              <w:spacing w:after="0" w:line="240" w:lineRule="auto"/>
              <w:jc w:val="center"/>
              <w:rPr>
                <w:rFonts w:ascii="Book Antiqua" w:hAnsi="Book Antiqua" w:cs="Times New Roman"/>
                <w:sz w:val="20"/>
                <w:szCs w:val="20"/>
              </w:rPr>
            </w:pPr>
            <w:r>
              <w:rPr>
                <w:rFonts w:ascii="Book Antiqua" w:hAnsi="Book Antiqua" w:cs="Times New Roman"/>
                <w:sz w:val="20"/>
                <w:szCs w:val="20"/>
              </w:rPr>
              <w:t>Level-6</w:t>
            </w:r>
          </w:p>
        </w:tc>
        <w:tc>
          <w:tcPr>
            <w:tcW w:w="1701" w:type="dxa"/>
          </w:tcPr>
          <w:p w14:paraId="37B7EF22">
            <w:pPr>
              <w:spacing w:after="0" w:line="240" w:lineRule="auto"/>
              <w:jc w:val="both"/>
              <w:rPr>
                <w:rFonts w:ascii="Book Antiqua" w:hAnsi="Book Antiqua" w:cs="Times New Roman"/>
                <w:sz w:val="20"/>
                <w:szCs w:val="20"/>
              </w:rPr>
            </w:pPr>
            <w:r>
              <w:rPr>
                <w:rFonts w:ascii="Book Antiqua" w:hAnsi="Book Antiqua" w:cs="Times New Roman"/>
                <w:sz w:val="20"/>
                <w:szCs w:val="20"/>
              </w:rPr>
              <w:t>Create (C)</w:t>
            </w:r>
          </w:p>
        </w:tc>
        <w:tc>
          <w:tcPr>
            <w:tcW w:w="3544" w:type="dxa"/>
            <w:vMerge w:val="continue"/>
          </w:tcPr>
          <w:p w14:paraId="265DCBB6">
            <w:pPr>
              <w:spacing w:after="0" w:line="240" w:lineRule="auto"/>
              <w:jc w:val="both"/>
              <w:rPr>
                <w:rFonts w:ascii="Book Antiqua" w:hAnsi="Book Antiqua" w:cs="Times New Roman"/>
                <w:sz w:val="20"/>
                <w:szCs w:val="20"/>
              </w:rPr>
            </w:pPr>
          </w:p>
        </w:tc>
      </w:tr>
    </w:tbl>
    <w:p w14:paraId="3E8689D6">
      <w:pPr>
        <w:pStyle w:val="12"/>
        <w:jc w:val="both"/>
        <w:rPr>
          <w:rFonts w:ascii="Book Antiqua" w:hAnsi="Book Antiqua"/>
          <w:sz w:val="20"/>
          <w:szCs w:val="20"/>
        </w:rPr>
      </w:pPr>
    </w:p>
    <w:p w14:paraId="4A629F33">
      <w:pPr>
        <w:pStyle w:val="12"/>
        <w:numPr>
          <w:ilvl w:val="2"/>
          <w:numId w:val="2"/>
        </w:numPr>
        <w:spacing w:after="60"/>
        <w:ind w:left="432" w:hanging="432"/>
        <w:jc w:val="both"/>
        <w:rPr>
          <w:rFonts w:ascii="Book Antiqua" w:hAnsi="Book Antiqua"/>
          <w:sz w:val="22"/>
          <w:szCs w:val="20"/>
        </w:rPr>
      </w:pPr>
      <w:r>
        <w:rPr>
          <w:rFonts w:ascii="Book Antiqua" w:hAnsi="Book Antiqua"/>
          <w:sz w:val="22"/>
          <w:szCs w:val="20"/>
        </w:rPr>
        <w:t xml:space="preserve">The maximum marks for the question paper is </w:t>
      </w:r>
      <w:r>
        <w:rPr>
          <w:rFonts w:ascii="Book Antiqua" w:hAnsi="Book Antiqua"/>
          <w:b/>
          <w:bCs/>
          <w:sz w:val="22"/>
          <w:szCs w:val="20"/>
        </w:rPr>
        <w:t xml:space="preserve">60 Marks </w:t>
      </w:r>
      <w:r>
        <w:rPr>
          <w:rFonts w:ascii="Book Antiqua" w:hAnsi="Book Antiqua"/>
          <w:sz w:val="22"/>
          <w:szCs w:val="20"/>
        </w:rPr>
        <w:t xml:space="preserve">and the duration of the examination is                 </w:t>
      </w:r>
      <w:r>
        <w:rPr>
          <w:rFonts w:ascii="Book Antiqua" w:hAnsi="Book Antiqua"/>
          <w:b/>
          <w:bCs/>
          <w:sz w:val="22"/>
          <w:szCs w:val="20"/>
        </w:rPr>
        <w:t>3 hours.</w:t>
      </w:r>
    </w:p>
    <w:p w14:paraId="448233CE">
      <w:pPr>
        <w:pStyle w:val="12"/>
        <w:numPr>
          <w:ilvl w:val="2"/>
          <w:numId w:val="2"/>
        </w:numPr>
        <w:spacing w:after="60"/>
        <w:ind w:left="432" w:hanging="432"/>
        <w:jc w:val="both"/>
        <w:rPr>
          <w:rFonts w:ascii="Book Antiqua" w:hAnsi="Book Antiqua"/>
          <w:sz w:val="22"/>
          <w:szCs w:val="20"/>
        </w:rPr>
      </w:pPr>
      <w:r>
        <w:rPr>
          <w:rFonts w:ascii="Book Antiqua" w:hAnsi="Book Antiqua"/>
          <w:sz w:val="22"/>
          <w:szCs w:val="20"/>
        </w:rPr>
        <w:t xml:space="preserve">The paper setters shall note that the </w:t>
      </w:r>
      <w:r>
        <w:rPr>
          <w:rFonts w:ascii="Book Antiqua" w:hAnsi="Book Antiqua"/>
          <w:b/>
          <w:sz w:val="22"/>
          <w:szCs w:val="20"/>
        </w:rPr>
        <w:t>question number 1</w:t>
      </w:r>
      <w:r>
        <w:rPr>
          <w:rFonts w:ascii="Book Antiqua" w:hAnsi="Book Antiqua"/>
          <w:b/>
          <w:bCs/>
          <w:sz w:val="22"/>
          <w:szCs w:val="20"/>
        </w:rPr>
        <w:t xml:space="preserve"> </w:t>
      </w:r>
      <w:r>
        <w:rPr>
          <w:rFonts w:ascii="Book Antiqua" w:hAnsi="Book Antiqua"/>
          <w:sz w:val="22"/>
          <w:szCs w:val="20"/>
        </w:rPr>
        <w:t xml:space="preserve">should contain </w:t>
      </w:r>
      <w:r>
        <w:rPr>
          <w:rFonts w:ascii="Book Antiqua" w:hAnsi="Book Antiqua"/>
          <w:b/>
          <w:bCs/>
          <w:sz w:val="22"/>
          <w:szCs w:val="20"/>
        </w:rPr>
        <w:t xml:space="preserve">Twelve </w:t>
      </w:r>
      <w:r>
        <w:rPr>
          <w:rFonts w:ascii="Book Antiqua" w:hAnsi="Book Antiqua"/>
          <w:sz w:val="22"/>
          <w:szCs w:val="20"/>
        </w:rPr>
        <w:t>short answer questions</w:t>
      </w:r>
      <w:r>
        <w:rPr>
          <w:rFonts w:ascii="Book Antiqua" w:hAnsi="Book Antiqua"/>
          <w:b/>
          <w:bCs/>
          <w:sz w:val="22"/>
          <w:szCs w:val="20"/>
        </w:rPr>
        <w:t xml:space="preserve">, carrying each one mark, </w:t>
      </w:r>
      <w:r>
        <w:rPr>
          <w:rFonts w:ascii="Book Antiqua" w:hAnsi="Book Antiqua"/>
          <w:sz w:val="22"/>
          <w:szCs w:val="20"/>
        </w:rPr>
        <w:t>covering all four Units of the syllabus as per template. Set these questions whose outcomes are measurable.</w:t>
      </w:r>
    </w:p>
    <w:p w14:paraId="520A3C3A">
      <w:pPr>
        <w:pStyle w:val="12"/>
        <w:numPr>
          <w:ilvl w:val="2"/>
          <w:numId w:val="2"/>
        </w:numPr>
        <w:spacing w:after="60"/>
        <w:ind w:left="432" w:hanging="432"/>
        <w:jc w:val="both"/>
        <w:rPr>
          <w:rFonts w:ascii="Book Antiqua" w:hAnsi="Book Antiqua"/>
          <w:sz w:val="22"/>
          <w:szCs w:val="20"/>
        </w:rPr>
      </w:pPr>
      <w:r>
        <w:rPr>
          <w:rFonts w:ascii="Book Antiqua" w:hAnsi="Book Antiqua"/>
          <w:b/>
          <w:sz w:val="22"/>
          <w:szCs w:val="20"/>
        </w:rPr>
        <w:t>Question numbers 2 to 5,</w:t>
      </w:r>
      <w:r>
        <w:rPr>
          <w:rFonts w:ascii="Book Antiqua" w:hAnsi="Book Antiqua"/>
          <w:sz w:val="22"/>
          <w:szCs w:val="20"/>
        </w:rPr>
        <w:t xml:space="preserve"> will have internal choice as indicated in the template.  </w:t>
      </w:r>
    </w:p>
    <w:p w14:paraId="6DB56777">
      <w:pPr>
        <w:pStyle w:val="12"/>
        <w:numPr>
          <w:ilvl w:val="2"/>
          <w:numId w:val="2"/>
        </w:numPr>
        <w:spacing w:after="60"/>
        <w:ind w:left="432" w:hanging="432"/>
        <w:jc w:val="both"/>
        <w:rPr>
          <w:rFonts w:ascii="Book Antiqua" w:hAnsi="Book Antiqua"/>
          <w:sz w:val="22"/>
          <w:szCs w:val="20"/>
        </w:rPr>
      </w:pPr>
      <w:r>
        <w:rPr>
          <w:rFonts w:ascii="Book Antiqua" w:hAnsi="Book Antiqua"/>
          <w:sz w:val="22"/>
          <w:szCs w:val="20"/>
        </w:rPr>
        <w:t>Ensure confidentiality regarding question papers and the contents therein.</w:t>
      </w:r>
    </w:p>
    <w:p w14:paraId="634F3DBC">
      <w:pPr>
        <w:pStyle w:val="12"/>
        <w:jc w:val="both"/>
        <w:rPr>
          <w:rFonts w:ascii="Book Antiqua" w:hAnsi="Book Antiqua"/>
          <w:sz w:val="2"/>
          <w:szCs w:val="2"/>
        </w:rPr>
      </w:pPr>
    </w:p>
    <w:p w14:paraId="720038B9">
      <w:pPr>
        <w:pStyle w:val="12"/>
        <w:spacing w:line="276" w:lineRule="auto"/>
        <w:jc w:val="both"/>
        <w:rPr>
          <w:rFonts w:ascii="Book Antiqua" w:hAnsi="Book Antiqua"/>
          <w:sz w:val="22"/>
          <w:szCs w:val="20"/>
        </w:rPr>
      </w:pPr>
      <w:r>
        <w:rPr>
          <w:rFonts w:ascii="Book Antiqua" w:hAnsi="Book Antiqua"/>
          <w:b/>
          <w:bCs/>
          <w:szCs w:val="23"/>
        </w:rPr>
        <w:t>Attention is specifically drawn to the following guidelines:</w:t>
      </w:r>
    </w:p>
    <w:p w14:paraId="0D8D12D6">
      <w:pPr>
        <w:pStyle w:val="12"/>
        <w:numPr>
          <w:ilvl w:val="0"/>
          <w:numId w:val="4"/>
        </w:numPr>
        <w:spacing w:after="14"/>
        <w:ind w:left="851" w:hanging="425"/>
        <w:jc w:val="both"/>
        <w:rPr>
          <w:rFonts w:ascii="Book Antiqua" w:hAnsi="Book Antiqua"/>
          <w:sz w:val="22"/>
          <w:szCs w:val="20"/>
        </w:rPr>
      </w:pPr>
      <w:r>
        <w:rPr>
          <w:rFonts w:ascii="Book Antiqua" w:hAnsi="Book Antiqua"/>
          <w:sz w:val="22"/>
          <w:szCs w:val="20"/>
        </w:rPr>
        <w:t>The questions are to be planned in such a way that a candidate of certain ability with good preparation can reasonably be expected to answer the required number of questions within the allotted time frame of three (3) hours.</w:t>
      </w:r>
    </w:p>
    <w:p w14:paraId="78185882">
      <w:pPr>
        <w:pStyle w:val="12"/>
        <w:numPr>
          <w:ilvl w:val="0"/>
          <w:numId w:val="4"/>
        </w:numPr>
        <w:spacing w:after="14"/>
        <w:ind w:left="851" w:hanging="425"/>
        <w:jc w:val="both"/>
        <w:rPr>
          <w:rFonts w:ascii="Book Antiqua" w:hAnsi="Book Antiqua"/>
          <w:sz w:val="22"/>
          <w:szCs w:val="20"/>
        </w:rPr>
      </w:pPr>
      <w:r>
        <w:rPr>
          <w:rFonts w:ascii="Book Antiqua" w:hAnsi="Book Antiqua"/>
          <w:sz w:val="22"/>
          <w:szCs w:val="20"/>
        </w:rPr>
        <w:t xml:space="preserve">Every question shall be clear and definite in language and meaning. </w:t>
      </w:r>
    </w:p>
    <w:p w14:paraId="590858FA">
      <w:pPr>
        <w:pStyle w:val="12"/>
        <w:numPr>
          <w:ilvl w:val="0"/>
          <w:numId w:val="4"/>
        </w:numPr>
        <w:spacing w:after="120"/>
        <w:ind w:left="850" w:hanging="425"/>
        <w:jc w:val="both"/>
        <w:rPr>
          <w:rFonts w:ascii="Book Antiqua" w:hAnsi="Book Antiqua"/>
          <w:sz w:val="22"/>
          <w:szCs w:val="20"/>
        </w:rPr>
      </w:pPr>
      <w:r>
        <w:rPr>
          <w:rFonts w:ascii="Book Antiqua" w:hAnsi="Book Antiqua"/>
          <w:sz w:val="22"/>
          <w:szCs w:val="20"/>
        </w:rPr>
        <w:t xml:space="preserve">Special care must be taken while writing mathematical symbols, equations and indexing figures. </w:t>
      </w:r>
    </w:p>
    <w:tbl>
      <w:tblPr>
        <w:tblStyle w:val="8"/>
        <w:tblW w:w="0" w:type="auto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21"/>
      </w:tblGrid>
      <w:tr w14:paraId="7E8DD9FE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21" w:type="dxa"/>
            <w:tcBorders>
              <w:top w:val="single" w:color="C0504D" w:themeColor="accent2" w:sz="12" w:space="0"/>
              <w:left w:val="single" w:color="C0504D" w:themeColor="accent2" w:sz="12" w:space="0"/>
              <w:bottom w:val="single" w:color="C0504D" w:themeColor="accent2" w:sz="12" w:space="0"/>
              <w:right w:val="single" w:color="C0504D" w:themeColor="accent2" w:sz="12" w:space="0"/>
            </w:tcBorders>
          </w:tcPr>
          <w:p w14:paraId="5674DFDE">
            <w:pPr>
              <w:pStyle w:val="12"/>
              <w:ind w:right="282"/>
              <w:jc w:val="both"/>
              <w:rPr>
                <w:rFonts w:ascii="Book Antiqua" w:hAnsi="Book Antiqua"/>
                <w:sz w:val="22"/>
                <w:szCs w:val="20"/>
              </w:rPr>
            </w:pPr>
            <w:r>
              <w:rPr>
                <w:rFonts w:ascii="Book Antiqua" w:hAnsi="Book Antiqua"/>
                <w:b/>
                <w:bCs/>
                <w:sz w:val="22"/>
                <w:szCs w:val="20"/>
              </w:rPr>
              <w:t xml:space="preserve">The question papers along with duly filled-in remuneration bill must be sent to the following           e-mail, </w:t>
            </w:r>
            <w:r>
              <w:rPr>
                <w:rFonts w:ascii="Book Antiqua" w:hAnsi="Book Antiqua" w:eastAsia="Times New Roman"/>
                <w:b/>
                <w:sz w:val="22"/>
                <w:szCs w:val="22"/>
                <w:u w:val="single"/>
              </w:rPr>
              <w:t>during the last instruction week</w:t>
            </w:r>
            <w:r>
              <w:rPr>
                <w:rFonts w:ascii="Book Antiqua" w:hAnsi="Book Antiqua" w:eastAsia="Times New Roman"/>
                <w:sz w:val="22"/>
                <w:szCs w:val="22"/>
              </w:rPr>
              <w:t xml:space="preserve"> of the course work</w:t>
            </w:r>
            <w:r>
              <w:rPr>
                <w:rFonts w:ascii="Book Antiqua" w:hAnsi="Book Antiqua" w:eastAsia="Times New Roman"/>
              </w:rPr>
              <w:t>.</w:t>
            </w:r>
          </w:p>
          <w:p w14:paraId="59FA9E0A">
            <w:pPr>
              <w:pStyle w:val="12"/>
              <w:ind w:left="720"/>
              <w:jc w:val="center"/>
            </w:pPr>
            <w:r>
              <w:fldChar w:fldCharType="begin"/>
            </w:r>
            <w:r>
              <w:instrText xml:space="preserve"> HYPERLINK "mailto:acoec@kitsw.ac.in" </w:instrText>
            </w:r>
            <w:r>
              <w:fldChar w:fldCharType="separate"/>
            </w:r>
            <w:r>
              <w:rPr>
                <w:rStyle w:val="7"/>
                <w:rFonts w:ascii="Book Antiqua" w:hAnsi="Book Antiqua"/>
                <w:b/>
                <w:bCs/>
                <w:szCs w:val="20"/>
              </w:rPr>
              <w:t>acoec@kitsw.ac.in</w:t>
            </w:r>
            <w:r>
              <w:rPr>
                <w:rStyle w:val="7"/>
                <w:rFonts w:ascii="Book Antiqua" w:hAnsi="Book Antiqua"/>
                <w:b/>
                <w:bCs/>
                <w:szCs w:val="20"/>
              </w:rPr>
              <w:fldChar w:fldCharType="end"/>
            </w:r>
          </w:p>
        </w:tc>
      </w:tr>
    </w:tbl>
    <w:p w14:paraId="0E3B74A8">
      <w:pPr>
        <w:pStyle w:val="12"/>
        <w:spacing w:line="480" w:lineRule="auto"/>
        <w:ind w:left="851"/>
        <w:jc w:val="center"/>
        <w:rPr>
          <w:sz w:val="2"/>
        </w:rPr>
      </w:pPr>
    </w:p>
    <w:p w14:paraId="34C53D47">
      <w:pPr>
        <w:pStyle w:val="12"/>
        <w:ind w:left="6237"/>
        <w:jc w:val="center"/>
        <w:rPr>
          <w:rFonts w:ascii="Book Antiqua" w:hAnsi="Book Antiqua"/>
          <w:b/>
          <w:bCs/>
          <w:sz w:val="22"/>
          <w:szCs w:val="22"/>
        </w:rPr>
      </w:pPr>
      <w:r>
        <w:rPr>
          <w:rFonts w:ascii="Book Antiqua" w:hAnsi="Book Antiqua"/>
          <w:b/>
          <w:bCs/>
          <w:sz w:val="22"/>
          <w:szCs w:val="22"/>
        </w:rPr>
        <w:t>Sd/-</w:t>
      </w:r>
    </w:p>
    <w:p w14:paraId="0DCCA5E3">
      <w:pPr>
        <w:pStyle w:val="12"/>
        <w:ind w:left="6237"/>
        <w:jc w:val="center"/>
        <w:rPr>
          <w:rFonts w:ascii="Book Antiqua" w:hAnsi="Book Antiqua"/>
          <w:b/>
          <w:bCs/>
          <w:sz w:val="22"/>
          <w:szCs w:val="22"/>
        </w:rPr>
      </w:pPr>
      <w:r>
        <w:rPr>
          <w:rFonts w:ascii="Book Antiqua" w:hAnsi="Book Antiqua"/>
          <w:b/>
          <w:bCs/>
          <w:sz w:val="22"/>
          <w:szCs w:val="22"/>
        </w:rPr>
        <w:t>Controller of Examinations, KITSW</w:t>
      </w:r>
    </w:p>
    <w:sectPr>
      <w:footerReference r:id="rId6" w:type="first"/>
      <w:headerReference r:id="rId5" w:type="default"/>
      <w:pgSz w:w="11907" w:h="16840"/>
      <w:pgMar w:top="145" w:right="851" w:bottom="270" w:left="851" w:header="93" w:footer="463" w:gutter="0"/>
      <w:cols w:space="720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Book Antiqua">
    <w:panose1 w:val="02040602050305030304"/>
    <w:charset w:val="00"/>
    <w:family w:val="roman"/>
    <w:pitch w:val="default"/>
    <w:sig w:usb0="00000287" w:usb1="00000000" w:usb2="00000000" w:usb3="00000000" w:csb0="2000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AA6FB8">
    <w:pPr>
      <w:pStyle w:val="5"/>
      <w:jc w:val="right"/>
      <w:rPr>
        <w:rFonts w:ascii="Book Antiqua" w:hAnsi="Book Antiqua"/>
        <w:sz w:val="20"/>
        <w:szCs w:val="20"/>
      </w:rPr>
    </w:pPr>
    <w:r>
      <w:rPr>
        <w:rFonts w:ascii="Book Antiqua" w:hAnsi="Book Antiqua"/>
        <w:sz w:val="20"/>
        <w:szCs w:val="20"/>
      </w:rPr>
      <w:t>P.T.O.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941349">
    <w:pPr>
      <w:pStyle w:val="6"/>
      <w:spacing w:line="360" w:lineRule="auto"/>
      <w:ind w:left="720"/>
      <w:jc w:val="right"/>
      <w:rPr>
        <w:rFonts w:ascii="Book Antiqua" w:hAnsi="Book Antiqua"/>
        <w:b/>
        <w:bCs/>
        <w:szCs w:val="23"/>
        <w:u w:val="single"/>
      </w:rPr>
    </w:pPr>
    <w:r>
      <w:rPr>
        <w:rFonts w:ascii="Book Antiqua" w:hAnsi="Book Antiqua"/>
        <w:b/>
        <w:bCs/>
        <w:szCs w:val="23"/>
      </w:rPr>
      <w:t xml:space="preserve">♦ </w:t>
    </w:r>
    <w:r>
      <w:rPr>
        <w:rFonts w:ascii="Book Antiqua" w:hAnsi="Book Antiqua"/>
        <w:b/>
        <w:bCs/>
        <w:szCs w:val="23"/>
        <w:u w:val="single"/>
      </w:rPr>
      <w:t>Guidelines for setting quality Question Paper</w:t>
    </w:r>
    <w:r>
      <w:rPr>
        <w:rFonts w:ascii="Book Antiqua" w:hAnsi="Book Antiqua"/>
        <w:b/>
        <w:bCs/>
        <w:szCs w:val="23"/>
      </w:rPr>
      <w:t xml:space="preserve"> ♦</w:t>
    </w:r>
  </w:p>
  <w:p w14:paraId="0DB49796">
    <w:pPr>
      <w:pStyle w:val="6"/>
      <w:spacing w:line="360" w:lineRule="auto"/>
      <w:jc w:val="righ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14D7547"/>
    <w:multiLevelType w:val="multilevel"/>
    <w:tmpl w:val="114D7547"/>
    <w:lvl w:ilvl="0" w:tentative="0">
      <w:start w:val="1"/>
      <w:numFmt w:val="lowerLetter"/>
      <w:lvlText w:val="%1)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D2E17A8"/>
    <w:multiLevelType w:val="multilevel"/>
    <w:tmpl w:val="1D2E17A8"/>
    <w:lvl w:ilvl="0" w:tentative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71D4C9C"/>
    <w:multiLevelType w:val="multilevel"/>
    <w:tmpl w:val="271D4C9C"/>
    <w:lvl w:ilvl="0" w:tentative="0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>
    <w:nsid w:val="55DA4E46"/>
    <w:multiLevelType w:val="multilevel"/>
    <w:tmpl w:val="55DA4E46"/>
    <w:lvl w:ilvl="0" w:tentative="0">
      <w:start w:val="1"/>
      <w:numFmt w:val="lowerRoman"/>
      <w:lvlText w:val="%1."/>
      <w:lvlJc w:val="right"/>
      <w:pPr>
        <w:ind w:left="360" w:hanging="360"/>
      </w:pPr>
    </w:lvl>
    <w:lvl w:ilvl="1" w:tentative="0">
      <w:start w:val="1"/>
      <w:numFmt w:val="lowerLetter"/>
      <w:lvlText w:val="%2."/>
      <w:lvlJc w:val="left"/>
      <w:pPr>
        <w:ind w:left="1080" w:hanging="360"/>
      </w:pPr>
    </w:lvl>
    <w:lvl w:ilvl="2" w:tentative="0">
      <w:start w:val="1"/>
      <w:numFmt w:val="decimal"/>
      <w:lvlText w:val="%3."/>
      <w:lvlJc w:val="left"/>
      <w:pPr>
        <w:ind w:left="180" w:hanging="180"/>
      </w:pPr>
      <w:rPr>
        <w:b w:val="0"/>
      </w:rPr>
    </w:lvl>
    <w:lvl w:ilvl="3" w:tentative="0">
      <w:start w:val="1"/>
      <w:numFmt w:val="lowerRoman"/>
      <w:lvlText w:val="%4."/>
      <w:lvlJc w:val="right"/>
      <w:pPr>
        <w:ind w:left="2520" w:hanging="360"/>
      </w:pPr>
    </w:lvl>
    <w:lvl w:ilvl="4" w:tentative="0">
      <w:start w:val="1"/>
      <w:numFmt w:val="lowerLetter"/>
      <w:lvlText w:val="%5."/>
      <w:lvlJc w:val="left"/>
      <w:pPr>
        <w:ind w:left="3240" w:hanging="360"/>
      </w:pPr>
    </w:lvl>
    <w:lvl w:ilvl="5" w:tentative="0">
      <w:start w:val="1"/>
      <w:numFmt w:val="lowerRoman"/>
      <w:lvlText w:val="%6."/>
      <w:lvlJc w:val="right"/>
      <w:pPr>
        <w:ind w:left="3960" w:hanging="180"/>
      </w:pPr>
    </w:lvl>
    <w:lvl w:ilvl="6" w:tentative="0">
      <w:start w:val="1"/>
      <w:numFmt w:val="decimal"/>
      <w:lvlText w:val="%7."/>
      <w:lvlJc w:val="left"/>
      <w:pPr>
        <w:ind w:left="4680" w:hanging="360"/>
      </w:pPr>
    </w:lvl>
    <w:lvl w:ilvl="7" w:tentative="0">
      <w:start w:val="1"/>
      <w:numFmt w:val="lowerLetter"/>
      <w:lvlText w:val="%8."/>
      <w:lvlJc w:val="left"/>
      <w:pPr>
        <w:ind w:left="5400" w:hanging="360"/>
      </w:pPr>
    </w:lvl>
    <w:lvl w:ilvl="8" w:tentative="0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2"/>
  </w:compat>
  <w:rsids>
    <w:rsidRoot w:val="00E32B08"/>
    <w:rsid w:val="00031419"/>
    <w:rsid w:val="000748A0"/>
    <w:rsid w:val="00082E32"/>
    <w:rsid w:val="000A57F9"/>
    <w:rsid w:val="000D3CC8"/>
    <w:rsid w:val="000F105F"/>
    <w:rsid w:val="00101892"/>
    <w:rsid w:val="001033F9"/>
    <w:rsid w:val="0010535C"/>
    <w:rsid w:val="00113FAA"/>
    <w:rsid w:val="00120108"/>
    <w:rsid w:val="00125341"/>
    <w:rsid w:val="00125EE5"/>
    <w:rsid w:val="00133CA3"/>
    <w:rsid w:val="001C6199"/>
    <w:rsid w:val="001E3A5C"/>
    <w:rsid w:val="001F5B9B"/>
    <w:rsid w:val="00202F42"/>
    <w:rsid w:val="002265E5"/>
    <w:rsid w:val="002329F1"/>
    <w:rsid w:val="0024473D"/>
    <w:rsid w:val="00244C60"/>
    <w:rsid w:val="00266ED1"/>
    <w:rsid w:val="00283A8D"/>
    <w:rsid w:val="00284F4F"/>
    <w:rsid w:val="00287CCB"/>
    <w:rsid w:val="002E640D"/>
    <w:rsid w:val="003023EB"/>
    <w:rsid w:val="003335F7"/>
    <w:rsid w:val="0034536A"/>
    <w:rsid w:val="003654BF"/>
    <w:rsid w:val="00373418"/>
    <w:rsid w:val="00375B7F"/>
    <w:rsid w:val="00381BE1"/>
    <w:rsid w:val="003A3B6A"/>
    <w:rsid w:val="003B6EA4"/>
    <w:rsid w:val="003C726A"/>
    <w:rsid w:val="003F1FE5"/>
    <w:rsid w:val="003F519C"/>
    <w:rsid w:val="003F6DD3"/>
    <w:rsid w:val="003F7808"/>
    <w:rsid w:val="0040430F"/>
    <w:rsid w:val="00455C5E"/>
    <w:rsid w:val="00460B57"/>
    <w:rsid w:val="00463813"/>
    <w:rsid w:val="00466327"/>
    <w:rsid w:val="00467356"/>
    <w:rsid w:val="004700E5"/>
    <w:rsid w:val="004D20A0"/>
    <w:rsid w:val="004D2A37"/>
    <w:rsid w:val="004E4602"/>
    <w:rsid w:val="004F270F"/>
    <w:rsid w:val="004F7CBE"/>
    <w:rsid w:val="00526D9E"/>
    <w:rsid w:val="00533907"/>
    <w:rsid w:val="00544013"/>
    <w:rsid w:val="005702C9"/>
    <w:rsid w:val="00583147"/>
    <w:rsid w:val="00585D25"/>
    <w:rsid w:val="005C121D"/>
    <w:rsid w:val="005C476C"/>
    <w:rsid w:val="005D2D00"/>
    <w:rsid w:val="005F6FC6"/>
    <w:rsid w:val="00613A92"/>
    <w:rsid w:val="006157F9"/>
    <w:rsid w:val="00621638"/>
    <w:rsid w:val="006513B4"/>
    <w:rsid w:val="00656E5F"/>
    <w:rsid w:val="00665C72"/>
    <w:rsid w:val="0066755E"/>
    <w:rsid w:val="006828D0"/>
    <w:rsid w:val="00694A0C"/>
    <w:rsid w:val="006953BE"/>
    <w:rsid w:val="006D141E"/>
    <w:rsid w:val="006F1E14"/>
    <w:rsid w:val="007106CA"/>
    <w:rsid w:val="00733423"/>
    <w:rsid w:val="00740B1B"/>
    <w:rsid w:val="00742BA4"/>
    <w:rsid w:val="00742E7F"/>
    <w:rsid w:val="00762251"/>
    <w:rsid w:val="0076604C"/>
    <w:rsid w:val="00775F0A"/>
    <w:rsid w:val="007A37EA"/>
    <w:rsid w:val="008017DA"/>
    <w:rsid w:val="00826E37"/>
    <w:rsid w:val="00833D74"/>
    <w:rsid w:val="00864ED4"/>
    <w:rsid w:val="00883CF7"/>
    <w:rsid w:val="00885E78"/>
    <w:rsid w:val="00891FBE"/>
    <w:rsid w:val="008931ED"/>
    <w:rsid w:val="008A23F0"/>
    <w:rsid w:val="008D4915"/>
    <w:rsid w:val="008D5042"/>
    <w:rsid w:val="008E7435"/>
    <w:rsid w:val="00917274"/>
    <w:rsid w:val="009540CD"/>
    <w:rsid w:val="00966E66"/>
    <w:rsid w:val="009B252B"/>
    <w:rsid w:val="009E599B"/>
    <w:rsid w:val="009E72C8"/>
    <w:rsid w:val="00A73124"/>
    <w:rsid w:val="00AA1FB9"/>
    <w:rsid w:val="00AA3CCF"/>
    <w:rsid w:val="00AC4C36"/>
    <w:rsid w:val="00AD2706"/>
    <w:rsid w:val="00AD7BB3"/>
    <w:rsid w:val="00B3187A"/>
    <w:rsid w:val="00B639E0"/>
    <w:rsid w:val="00B71C85"/>
    <w:rsid w:val="00B91FDD"/>
    <w:rsid w:val="00BB0088"/>
    <w:rsid w:val="00BB7714"/>
    <w:rsid w:val="00BD1BF5"/>
    <w:rsid w:val="00BF4033"/>
    <w:rsid w:val="00BF7D82"/>
    <w:rsid w:val="00C0429C"/>
    <w:rsid w:val="00C75F2C"/>
    <w:rsid w:val="00C9072A"/>
    <w:rsid w:val="00CA2728"/>
    <w:rsid w:val="00CB38E8"/>
    <w:rsid w:val="00D3514C"/>
    <w:rsid w:val="00D35781"/>
    <w:rsid w:val="00D36245"/>
    <w:rsid w:val="00D53FB0"/>
    <w:rsid w:val="00D62B13"/>
    <w:rsid w:val="00D93FA7"/>
    <w:rsid w:val="00DD2982"/>
    <w:rsid w:val="00DF45EF"/>
    <w:rsid w:val="00DF5E6B"/>
    <w:rsid w:val="00E30B58"/>
    <w:rsid w:val="00E32B08"/>
    <w:rsid w:val="00E44DE9"/>
    <w:rsid w:val="00E5366F"/>
    <w:rsid w:val="00E72C5C"/>
    <w:rsid w:val="00E81889"/>
    <w:rsid w:val="00E920F9"/>
    <w:rsid w:val="00EB2578"/>
    <w:rsid w:val="00EB70CF"/>
    <w:rsid w:val="00EC1ED0"/>
    <w:rsid w:val="00EF1AB5"/>
    <w:rsid w:val="00F0067F"/>
    <w:rsid w:val="00F20E67"/>
    <w:rsid w:val="00F21D42"/>
    <w:rsid w:val="00F23632"/>
    <w:rsid w:val="00F312ED"/>
    <w:rsid w:val="00F33896"/>
    <w:rsid w:val="00F379C1"/>
    <w:rsid w:val="00F412A6"/>
    <w:rsid w:val="00F479CB"/>
    <w:rsid w:val="00F515F5"/>
    <w:rsid w:val="00F60561"/>
    <w:rsid w:val="00F778B4"/>
    <w:rsid w:val="00F83050"/>
    <w:rsid w:val="00F84BF6"/>
    <w:rsid w:val="00FD6068"/>
    <w:rsid w:val="00FF117C"/>
    <w:rsid w:val="00FF5482"/>
    <w:rsid w:val="02796FC0"/>
    <w:rsid w:val="0DC52981"/>
    <w:rsid w:val="279D25D9"/>
    <w:rsid w:val="2B81239B"/>
    <w:rsid w:val="5EB36DEA"/>
    <w:rsid w:val="6A7F0083"/>
    <w:rsid w:val="6F4146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  <o:rules v:ext="edit">
        <o:r id="V:Rule1" type="connector" idref="#_x0000_s2051"/>
      </o:rules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1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5">
    <w:name w:val="footer"/>
    <w:basedOn w:val="1"/>
    <w:link w:val="10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6">
    <w:name w:val="header"/>
    <w:basedOn w:val="1"/>
    <w:link w:val="9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7">
    <w:name w:val="Hyperlink"/>
    <w:basedOn w:val="2"/>
    <w:unhideWhenUsed/>
    <w:uiPriority w:val="99"/>
    <w:rPr>
      <w:color w:val="0000FF" w:themeColor="hyperlink"/>
      <w:u w:val="single"/>
    </w:rPr>
  </w:style>
  <w:style w:type="table" w:styleId="8">
    <w:name w:val="Table Grid"/>
    <w:basedOn w:val="3"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customStyle="1" w:styleId="9">
    <w:name w:val="Header Char"/>
    <w:basedOn w:val="2"/>
    <w:link w:val="6"/>
    <w:uiPriority w:val="99"/>
  </w:style>
  <w:style w:type="character" w:customStyle="1" w:styleId="10">
    <w:name w:val="Footer Char"/>
    <w:basedOn w:val="2"/>
    <w:link w:val="5"/>
    <w:uiPriority w:val="99"/>
  </w:style>
  <w:style w:type="character" w:customStyle="1" w:styleId="11">
    <w:name w:val="Balloon Text Char"/>
    <w:basedOn w:val="2"/>
    <w:link w:val="4"/>
    <w:semiHidden/>
    <w:qFormat/>
    <w:uiPriority w:val="99"/>
    <w:rPr>
      <w:rFonts w:ascii="Tahoma" w:hAnsi="Tahoma" w:cs="Tahoma"/>
      <w:sz w:val="16"/>
      <w:szCs w:val="16"/>
    </w:rPr>
  </w:style>
  <w:style w:type="paragraph" w:customStyle="1" w:styleId="12">
    <w:name w:val="Default"/>
    <w:uiPriority w:val="0"/>
    <w:pPr>
      <w:autoSpaceDE w:val="0"/>
      <w:autoSpaceDN w:val="0"/>
      <w:adjustRightInd w:val="0"/>
      <w:spacing w:after="0" w:line="240" w:lineRule="auto"/>
    </w:pPr>
    <w:rPr>
      <w:rFonts w:ascii="Arial" w:hAnsi="Arial" w:cs="Arial" w:eastAsiaTheme="minorHAnsi"/>
      <w:color w:val="000000"/>
      <w:sz w:val="24"/>
      <w:szCs w:val="24"/>
      <w:lang w:val="en-US" w:eastAsia="en-US" w:bidi="ar-SA"/>
    </w:rPr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Unresolved Mention"/>
    <w:basedOn w:val="2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1.jpe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2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5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997E040-91CA-4357-AC0F-32C02A42E77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1005</Words>
  <Characters>5404</Characters>
  <Lines>46</Lines>
  <Paragraphs>13</Paragraphs>
  <TotalTime>1</TotalTime>
  <ScaleCrop>false</ScaleCrop>
  <LinksUpToDate>false</LinksUpToDate>
  <CharactersWithSpaces>6362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2019-10-11T02:56:00Z</dcterms:created>
  <dc:creator>Hexa byte</dc:creator>
  <cp:lastModifiedBy>Venkatesh Challa</cp:lastModifiedBy>
  <cp:lastPrinted>2019-10-21T11:51:00Z</cp:lastPrinted>
  <dcterms:modified xsi:type="dcterms:W3CDTF">2026-04-02T00:13:41Z</dcterms:modified>
  <cp:revision>106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eyJoZGlkIjoiODVmZDExNWIyZWZlMThmMGI1ODZjNzJmMGEwMDFlMzYiLCJ1c2VySWQiOiI1NjcxMjI0MTg3OTkifQ==</vt:lpwstr>
  </property>
  <property fmtid="{D5CDD505-2E9C-101B-9397-08002B2CF9AE}" pid="3" name="KSOProductBuildVer">
    <vt:lpwstr>1033-12.1.0.25242</vt:lpwstr>
  </property>
  <property fmtid="{D5CDD505-2E9C-101B-9397-08002B2CF9AE}" pid="4" name="ICV">
    <vt:lpwstr>E287E9CE8860456CBBAEF359FD0ACAF0_12</vt:lpwstr>
  </property>
</Properties>
</file>