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DESAFÍO ENTREGABLE - PROCESO DE TESTING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50116" cy="250119"/>
            <wp:effectExtent b="0" l="0" r="0" t="0"/>
            <wp:wrapSquare wrapText="bothSides" distB="19050" distT="19050" distL="19050" distR="19050"/>
            <wp:docPr descr="ícono de desafío entregable" id="1" name="image1.png"/>
            <a:graphic>
              <a:graphicData uri="http://schemas.openxmlformats.org/drawingml/2006/picture">
                <pic:pic>
                  <pic:nvPicPr>
                    <pic:cNvPr descr="ícono de desafío entreg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16" cy="250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line="240" w:lineRule="auto"/>
        <w:rPr>
          <w:rFonts w:ascii="DM Sans" w:cs="DM Sans" w:eastAsia="DM Sans" w:hAnsi="DM Sans"/>
          <w:b w:val="1"/>
          <w:sz w:val="76"/>
          <w:szCs w:val="76"/>
        </w:rPr>
      </w:pPr>
      <w:bookmarkStart w:colFirst="0" w:colLast="0" w:name="_re7dcmyq8tyn" w:id="0"/>
      <w:bookmarkEnd w:id="0"/>
      <w:r w:rsidDel="00000000" w:rsidR="00000000" w:rsidRPr="00000000">
        <w:rPr>
          <w:rFonts w:ascii="DM Sans" w:cs="DM Sans" w:eastAsia="DM Sans" w:hAnsi="DM Sans"/>
          <w:b w:val="1"/>
          <w:sz w:val="76"/>
          <w:szCs w:val="76"/>
          <w:rtl w:val="0"/>
        </w:rPr>
        <w:t xml:space="preserve">Clases con ECMAScript y ECMAScript avanzado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creará una instancia de la clase “ProductManager”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“getProducts” recién creada la instancia, debe devolver un arreglo vacío []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“addProduct” con los campos: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title: “producto prueba”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description:”Este es un producto prueba”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price:200,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thumbnail:”Sin imagen”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code:”abc123”,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stock:25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objeto debe agregarse satisfactoriamente con un id generado automáticamente SIN REPETIRSE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el método “getProducts” nuevamente, esta vez debe aparecer el producto recién agregado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llamará al método “addProduct” con los mismos campos de arriba, debe arrojar un error porque el código estará repetido.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6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evaluará que getProductById devuelva error si no encuentra el producto o el producto en caso de encontrarlo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right"/>
      <w:pPr>
        <w:ind w:left="720" w:hanging="360"/>
      </w:pPr>
      <w:rPr>
        <w:rFonts w:ascii="Helvetica Neue" w:cs="Helvetica Neue" w:eastAsia="Helvetica Neue" w:hAnsi="Helvetica Neue"/>
        <w:b w:val="1"/>
        <w:i w:val="0"/>
        <w:smallCaps w:val="0"/>
        <w:strike w:val="0"/>
        <w:color w:val="ea90ff"/>
        <w:sz w:val="27"/>
        <w:szCs w:val="27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