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8B1A1A"/>
          <w:sz w:val="52"/>
          <w:szCs w:val="52"/>
        </w:rPr>
        <w:t xml:space="preserve">BURNLENS</w:t>
      </w:r>
    </w:p>
    <w:p>
      <w:pPr>
        <w:spacing w:after="200"/>
        <w:jc w:val="center"/>
      </w:pPr>
      <w:r>
        <w:rPr>
          <w:rFonts w:ascii="Arial" w:cs="Arial" w:eastAsia="Arial" w:hAnsi="Arial"/>
          <w:color w:val="C0392B"/>
          <w:sz w:val="36"/>
          <w:szCs w:val="36"/>
        </w:rPr>
        <w:t xml:space="preserve">Phase 4: Governance Platform (Evaluate &amp; Expand)</w:t>
      </w:r>
    </w:p>
    <w:p>
      <w:pPr>
        <w:spacing w:after="100"/>
        <w:jc w:val="center"/>
      </w:pPr>
      <w:r>
        <w:rPr>
          <w:color w:val="666666"/>
          <w:sz w:val="24"/>
          <w:szCs w:val="24"/>
        </w:rPr>
        <w:t xml:space="preserve">Build Specification for AI-Assisted Development</w:t>
      </w:r>
    </w:p>
    <w:p>
      <w:pPr>
        <w:spacing w:after="100"/>
        <w:jc w:val="center"/>
      </w:pPr>
      <w:r>
        <w:rPr>
          <w:color w:val="888888"/>
          <w:sz w:val="22"/>
          <w:szCs w:val="22"/>
        </w:rPr>
        <w:t xml:space="preserve">Timeline: Q1–Q2 2027 | Duration: 12 weeks | Effort: ~10 weeks build</w:t>
      </w:r>
    </w:p>
    <w:p>
      <w:pPr>
        <w:spacing w:after="100"/>
        <w:jc w:val="center"/>
      </w:pPr>
      <w:r>
        <w:rPr>
          <w:b/>
          <w:bCs/>
          <w:color w:val="C0392B"/>
          <w:sz w:val="22"/>
          <w:szCs w:val="22"/>
        </w:rPr>
        <w:t xml:space="preserve">CONDITIONAL: Only proceed if go/no-go criteria from Phase 3 are met</w:t>
      </w:r>
    </w:p>
    <w:p>
      <w:pPr>
        <w:jc w:val="center"/>
      </w:pPr>
      <w:r>
        <w:rPr>
          <w:color w:val="888888"/>
          <w:sz w:val="22"/>
          <w:szCs w:val="22"/>
        </w:rPr>
        <w:t xml:space="preserve">Version 1.0 | April 2026 | Depends on: Phase 1 + 2 + 3 complete</w:t>
      </w:r>
    </w:p>
    <w:p>
      <w:r>
        <w:br w:type="page"/>
      </w:r>
    </w:p>
    <w:p>
      <w:pPr>
        <w:pStyle w:val="Heading1"/>
        <w:spacing w:after="150" w:before="300"/>
      </w:pPr>
      <w:r>
        <w:t xml:space="preserve">1. Go/No-Go Criteria</w:t>
      </w:r>
    </w:p>
    <w:p>
      <w:pPr>
        <w:spacing w:after="120"/>
      </w:pPr>
      <w:r>
        <w:rPr>
          <w:sz w:val="22"/>
          <w:szCs w:val="22"/>
        </w:rPr>
        <w:t xml:space="preserve">Phase 4 is conditional. This section defines the criteria that must be met before investing in these features. If criteria are not met, the recommendation is to double down on cost optimization and keep governance as a feature within BurnLens, not the core product.</w:t>
      </w:r>
    </w:p>
    <w:p>
      <w:pPr>
        <w:pStyle w:val="Heading2"/>
        <w:spacing w:after="150" w:before="300"/>
      </w:pPr>
      <w:r>
        <w:t xml:space="preserve">1.1 Required Signals (ALL must be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80"/>
        <w:gridCol w:w="2800"/>
        <w:gridCol w:w="2480"/>
      </w:tblGrid>
      <w:tr>
        <w:tc>
          <w:tcPr>
            <w:tcW w:type="dxa" w:w="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w:t>
            </w:r>
          </w:p>
        </w:tc>
        <w:tc>
          <w:tcPr>
            <w:tcW w:type="dxa" w:w="32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Criterion</w:t>
            </w:r>
          </w:p>
        </w:tc>
        <w:tc>
          <w:tcPr>
            <w:tcW w:type="dxa" w:w="2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Measurement</w:t>
            </w:r>
          </w:p>
        </w:tc>
        <w:tc>
          <w:tcPr>
            <w:tcW w:type="dxa" w:w="24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Threshold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Active guardrails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Teams with 1+ active policies in Phase 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50+ teams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Compliance report consumers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Unique users downloading reports monthly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10+ customers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Inbound feature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Requests for deeper governance features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5+ unique orgs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Revenue from governance tiers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MRR from Phase 2+3 paid tiers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&gt;$5K MRR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Retention signal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Churn rate of governance tier customers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&lt;5% monthly</w:t>
            </w:r>
          </w:p>
        </w:tc>
      </w:tr>
    </w:tbl>
    <w:p>
      <w:pPr>
        <w:spacing w:before="200"/>
      </w:pPr>
    </w:p>
    <w:p>
      <w:pPr>
        <w:pStyle w:val="Heading2"/>
        <w:spacing w:after="150" w:before="300"/>
      </w:pPr>
      <w:r>
        <w:t xml:space="preserve">1.2 Decision Framework</w:t>
      </w:r>
    </w:p>
    <w:p>
      <w:pPr>
        <w:spacing w:after="120"/>
      </w:pPr>
      <w:r>
        <w:rPr>
          <w:sz w:val="22"/>
          <w:szCs w:val="22"/>
        </w:rPr>
        <w:t xml:space="preserve">If 5/5 criteria met: Full Phase 4 build. If 3–4/5 met: Build only the most-requested features (cherry-pick from Phase 4). If &lt;3/5 met: Governance stays a feature. Focus resources on BurnLens core cost optimization and growth.</w:t>
      </w:r>
    </w:p>
    <w:p>
      <w:r>
        <w:br w:type="page"/>
      </w:r>
    </w:p>
    <w:p>
      <w:pPr>
        <w:pStyle w:val="Heading1"/>
        <w:spacing w:after="150" w:before="300"/>
      </w:pPr>
      <w:r>
        <w:t xml:space="preserve">2. Phase Overview</w:t>
      </w:r>
    </w:p>
    <w:p>
      <w:pPr>
        <w:spacing w:after="120"/>
      </w:pPr>
      <w:r>
        <w:rPr>
          <w:sz w:val="22"/>
          <w:szCs w:val="22"/>
        </w:rPr>
        <w:t xml:space="preserve">Phase 4 moves BurnLens from “AI cost tool with governance features” to “lightweight AI governance platform.” It adds pre-deployment gates, data sensitivity tagging, multi-tenant governance, framework alignment, and a public API for integration with existing GRC tooling.</w:t>
      </w:r>
    </w:p>
    <w:p>
      <w:pPr>
        <w:pStyle w:val="Heading2"/>
        <w:spacing w:after="150" w:before="300"/>
      </w:pPr>
      <w:r>
        <w:t xml:space="preserve">2.1 Success Criteria</w:t>
      </w:r>
    </w:p>
    <w:p>
      <w:pPr>
        <w:pStyle w:val="ListParagraph"/>
        <w:numPr>
          <w:ilvl w:val="0"/>
          <w:numId w:val="2"/>
        </w:numPr>
        <w:spacing w:after="60"/>
      </w:pPr>
      <w:r>
        <w:rPr>
          <w:sz w:val="22"/>
          <w:szCs w:val="22"/>
        </w:rPr>
        <w:t xml:space="preserve">CI/CD integration gates blocking unapproved models before deployment</w:t>
      </w:r>
    </w:p>
    <w:p>
      <w:pPr>
        <w:pStyle w:val="ListParagraph"/>
        <w:numPr>
          <w:ilvl w:val="0"/>
          <w:numId w:val="2"/>
        </w:numPr>
        <w:spacing w:after="60"/>
      </w:pPr>
      <w:r>
        <w:rPr>
          <w:sz w:val="22"/>
          <w:szCs w:val="22"/>
        </w:rPr>
        <w:t xml:space="preserve">Auto-detection of PII/sensitive data flowing to AI endpoints</w:t>
      </w:r>
    </w:p>
    <w:p>
      <w:pPr>
        <w:pStyle w:val="ListParagraph"/>
        <w:numPr>
          <w:ilvl w:val="0"/>
          <w:numId w:val="2"/>
        </w:numPr>
        <w:spacing w:after="60"/>
      </w:pPr>
      <w:r>
        <w:rPr>
          <w:sz w:val="22"/>
          <w:szCs w:val="22"/>
        </w:rPr>
        <w:t xml:space="preserve">Multi-tenant governance: org-level policies cascading to teams</w:t>
      </w:r>
    </w:p>
    <w:p>
      <w:pPr>
        <w:pStyle w:val="ListParagraph"/>
        <w:numPr>
          <w:ilvl w:val="0"/>
          <w:numId w:val="2"/>
        </w:numPr>
        <w:spacing w:after="60"/>
      </w:pPr>
      <w:r>
        <w:rPr>
          <w:sz w:val="22"/>
          <w:szCs w:val="22"/>
        </w:rPr>
        <w:t xml:space="preserve">Self-assessment checklists aligned to NIST AI RMF and ISO 42001</w:t>
      </w:r>
    </w:p>
    <w:p>
      <w:pPr>
        <w:pStyle w:val="ListParagraph"/>
        <w:numPr>
          <w:ilvl w:val="0"/>
          <w:numId w:val="2"/>
        </w:numPr>
        <w:spacing w:after="60"/>
      </w:pPr>
      <w:r>
        <w:rPr>
          <w:sz w:val="22"/>
          <w:szCs w:val="22"/>
        </w:rPr>
        <w:t xml:space="preserve">Public governance API consumed by 5+ external integrations</w:t>
      </w:r>
    </w:p>
    <w:p>
      <w:pPr>
        <w:pStyle w:val="ListParagraph"/>
        <w:numPr>
          <w:ilvl w:val="0"/>
          <w:numId w:val="2"/>
        </w:numPr>
        <w:spacing w:after="60"/>
      </w:pPr>
      <w:r>
        <w:rPr>
          <w:sz w:val="22"/>
          <w:szCs w:val="22"/>
        </w:rPr>
        <w:t xml:space="preserve">Price point: $399–$999/month</w:t>
      </w:r>
    </w:p>
    <w:p>
      <w:r>
        <w:br w:type="page"/>
      </w:r>
    </w:p>
    <w:p>
      <w:pPr>
        <w:pStyle w:val="Heading1"/>
        <w:spacing w:after="150" w:before="300"/>
      </w:pPr>
      <w:r>
        <w:t xml:space="preserve">3. Model Evaluation Hooks</w:t>
      </w:r>
    </w:p>
    <w:p>
      <w:pPr>
        <w:spacing w:after="120"/>
      </w:pPr>
      <w:r>
        <w:rPr>
          <w:sz w:val="22"/>
          <w:szCs w:val="22"/>
        </w:rPr>
        <w:t xml:space="preserve">Pre-deployment gates that evaluate AI models against governance criteria before they reach production. Integrates with CI/CD pipelines.</w:t>
      </w:r>
    </w:p>
    <w:p>
      <w:pPr>
        <w:pStyle w:val="Heading2"/>
        <w:spacing w:after="150" w:before="300"/>
      </w:pPr>
      <w:r>
        <w:t xml:space="preserve">3.1 Gate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Gate</w:t>
            </w:r>
          </w:p>
        </w:tc>
        <w:tc>
          <w:tcPr>
            <w:tcW w:type="dxa" w:w="38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What It Checks</w:t>
            </w:r>
          </w:p>
        </w:tc>
        <w:tc>
          <w:tcPr>
            <w:tcW w:type="dxa" w:w="32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Policy compliance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Is this model on the approved list? Does it comply with all active policies?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Pre-deploy webhook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Cost projection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Estimated monthly cost based on projected usage vs budget remaining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Pre-deploy webhook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Performance baseline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Latency, error rate, cost-per-query against defined SLOs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Post-deploy canary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Risk classification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Auto-classify risk tier based on Phase 3 criteria; block if high-risk without explicit approval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Pre-deploy webhook</w:t>
            </w:r>
          </w:p>
        </w:tc>
      </w:tr>
    </w:tbl>
    <w:p>
      <w:pPr>
        <w:pStyle w:val="Heading2"/>
        <w:spacing w:after="150" w:before="300"/>
      </w:pPr>
      <w:r>
        <w:t xml:space="preserve">3.2 CI/CD Integration</w:t>
      </w:r>
    </w:p>
    <w:p>
      <w:pPr>
        <w:spacing w:after="120"/>
      </w:pPr>
      <w:r>
        <w:rPr>
          <w:sz w:val="22"/>
          <w:szCs w:val="22"/>
        </w:rPr>
        <w:t xml:space="preserve">Webhook-based integration. BurnLens provides a /api/v1/gates/evaluate endpoint that CI/CD pipelines call with model details. Returns pass/fail/warn with reasons.</w:t>
      </w:r>
    </w:p>
    <w:p>
      <w:pPr>
        <w:spacing w:after="120"/>
      </w:pPr>
      <w:r>
        <w:rPr>
          <w:sz w:val="22"/>
          <w:szCs w:val="22"/>
        </w:rPr>
        <w:t xml:space="preserve">GitHub Actions example:</w:t>
      </w:r>
    </w:p>
    <w:p>
      <w:pPr>
        <w:spacing w:after="120"/>
        <w:rPr>
          <w:rFonts w:ascii="Courier New" w:cs="Courier New" w:eastAsia="Courier New" w:hAnsi="Courier New"/>
          <w:sz w:val="18"/>
          <w:szCs w:val="18"/>
        </w:rPr>
      </w:pPr>
      <w:r>
        <w:rPr>
          <w:rFonts w:ascii="Courier New" w:cs="Courier New" w:eastAsia="Courier New" w:hAnsi="Courier New"/>
          <w:sz w:val="18"/>
          <w:szCs w:val="18"/>
        </w:rPr>
        <w:t xml:space="preserve">- name: BurnLens governance gate
  uses: burnlens/governance-gate-action@v1
  with:
    burnlens_api_key: ${{ secrets.BURNLENS_KEY }}
    model: claude-sonnet-4-20250514
    provider: anthropic
    project: chatbot-v2
    fail_on: block  # or warn</w:t>
      </w:r>
    </w:p>
    <w:p>
      <w:r>
        <w:br w:type="page"/>
      </w:r>
    </w:p>
    <w:p>
      <w:pPr>
        <w:pStyle w:val="Heading1"/>
        <w:spacing w:after="150" w:before="300"/>
      </w:pPr>
      <w:r>
        <w:t xml:space="preserve">4. Data Sensitivity Tagging</w:t>
      </w:r>
    </w:p>
    <w:p>
      <w:pPr>
        <w:spacing w:after="120"/>
      </w:pPr>
      <w:r>
        <w:rPr>
          <w:sz w:val="22"/>
          <w:szCs w:val="22"/>
        </w:rPr>
        <w:t xml:space="preserve">Auto-detect and flag AI endpoints that process sensitive data. Privacy-preserving: uses hashing and pattern matching, never stores raw payloads.</w:t>
      </w:r>
    </w:p>
    <w:p>
      <w:pPr>
        <w:pStyle w:val="Heading2"/>
        <w:spacing w:after="150" w:before="300"/>
      </w:pPr>
      <w:r>
        <w:t xml:space="preserve">4.1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Method</w:t>
            </w:r>
          </w:p>
        </w:tc>
        <w:tc>
          <w:tcPr>
            <w:tcW w:type="dxa" w:w="38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How It Works</w:t>
            </w:r>
          </w:p>
        </w:tc>
        <w:tc>
          <w:tcPr>
            <w:tcW w:type="dxa" w:w="32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Data Types Detected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Presidio integration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Microsoft Presidio library scans request payloads (opt-in) for PII patterns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Names, emails, SSN, phone, credit card, addresses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Header analysis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Check request headers for content-type indicators of structured data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Financial data (JSON schemas), health data (FHIR)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Endpoint classification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Tag based on what service calls the AI (CRM = customer data, EHR = health data)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Inferred from calling service metadata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Manual tagging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Users tag assets with sensitivity labels through UI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Any custom sensitivity category</w:t>
            </w:r>
          </w:p>
        </w:tc>
      </w:tr>
    </w:tbl>
    <w:p>
      <w:pPr>
        <w:pStyle w:val="Heading2"/>
        <w:spacing w:after="150" w:before="300"/>
      </w:pPr>
      <w:r>
        <w:t xml:space="preserve">4.2 Privacy Architecture</w:t>
      </w:r>
    </w:p>
    <w:p>
      <w:pPr>
        <w:pStyle w:val="ListParagraph"/>
        <w:numPr>
          <w:ilvl w:val="0"/>
          <w:numId w:val="2"/>
        </w:numPr>
        <w:spacing w:after="60"/>
      </w:pPr>
      <w:r>
        <w:rPr>
          <w:sz w:val="22"/>
          <w:szCs w:val="22"/>
        </w:rPr>
        <w:t xml:space="preserve">Presidio runs LOCALLY within BurnLens deployment — no data sent to external services</w:t>
      </w:r>
    </w:p>
    <w:p>
      <w:pPr>
        <w:pStyle w:val="ListParagraph"/>
        <w:numPr>
          <w:ilvl w:val="0"/>
          <w:numId w:val="2"/>
        </w:numPr>
        <w:spacing w:after="60"/>
      </w:pPr>
      <w:r>
        <w:rPr>
          <w:sz w:val="22"/>
          <w:szCs w:val="22"/>
        </w:rPr>
        <w:t xml:space="preserve">Payload scanning is OPT-IN only — disabled by default, requires explicit enablement per team</w:t>
      </w:r>
    </w:p>
    <w:p>
      <w:pPr>
        <w:pStyle w:val="ListParagraph"/>
        <w:numPr>
          <w:ilvl w:val="0"/>
          <w:numId w:val="2"/>
        </w:numPr>
        <w:spacing w:after="60"/>
      </w:pPr>
      <w:r>
        <w:rPr>
          <w:sz w:val="22"/>
          <w:szCs w:val="22"/>
        </w:rPr>
        <w:t xml:space="preserve">BurnLens NEVER stores raw payloads — only stores sensitivity classification results (e.g., “contains_pii: true, types: [email, name]”)</w:t>
      </w:r>
    </w:p>
    <w:p>
      <w:pPr>
        <w:pStyle w:val="ListParagraph"/>
        <w:numPr>
          <w:ilvl w:val="0"/>
          <w:numId w:val="2"/>
        </w:numPr>
        <w:spacing w:after="60"/>
      </w:pPr>
      <w:r>
        <w:rPr>
          <w:sz w:val="22"/>
          <w:szCs w:val="22"/>
        </w:rPr>
        <w:t xml:space="preserve">All scanning results are stored as aggregate metadata, not individual request records</w:t>
      </w:r>
    </w:p>
    <w:p>
      <w:r>
        <w:br w:type="page"/>
      </w:r>
    </w:p>
    <w:p>
      <w:pPr>
        <w:pStyle w:val="Heading1"/>
        <w:spacing w:after="150" w:before="300"/>
      </w:pPr>
      <w:r>
        <w:t xml:space="preserve">5. Multi-Tenant Governance</w:t>
      </w:r>
    </w:p>
    <w:p>
      <w:pPr>
        <w:spacing w:after="120"/>
      </w:pPr>
      <w:r>
        <w:rPr>
          <w:sz w:val="22"/>
          <w:szCs w:val="22"/>
        </w:rPr>
        <w:t xml:space="preserve">Organization-level policies that cascade to teams, with team-level overrides where permitted.</w:t>
      </w:r>
    </w:p>
    <w:p>
      <w:pPr>
        <w:pStyle w:val="Heading2"/>
        <w:spacing w:after="150" w:before="300"/>
      </w:pPr>
      <w:r>
        <w:t xml:space="preserve">5.1 RBAC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Role</w:t>
            </w:r>
          </w:p>
        </w:tc>
        <w:tc>
          <w:tcPr>
            <w:tcW w:type="dxa" w:w="38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Permissions</w:t>
            </w:r>
          </w:p>
        </w:tc>
        <w:tc>
          <w:tcPr>
            <w:tcW w:type="dxa" w:w="32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Org Admin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Create/edit org-wide policies, view all teams, manage RBAC, export audit trails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Organization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Governance Lead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Create/edit policies within assigned scope, view compliance reports, approve models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Org or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Team Lead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View team assets, manage team-level overrides (within org constraints), approve team requests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Member</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View own team’s assets and policies, submit model requests, view own violations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Auditor (read-only)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View all assets, policies, reports, and audit trails. Cannot modify anything.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Organization</w:t>
            </w:r>
          </w:p>
        </w:tc>
      </w:tr>
    </w:tbl>
    <w:p>
      <w:pPr>
        <w:pStyle w:val="Heading2"/>
        <w:spacing w:after="150" w:before="300"/>
      </w:pPr>
      <w:r>
        <w:t xml:space="preserve">5.2 Policy Cascade Rules</w:t>
      </w:r>
    </w:p>
    <w:p>
      <w:pPr>
        <w:pStyle w:val="ListParagraph"/>
        <w:numPr>
          <w:ilvl w:val="0"/>
          <w:numId w:val="2"/>
        </w:numPr>
        <w:spacing w:after="60"/>
      </w:pPr>
      <w:r>
        <w:rPr>
          <w:sz w:val="22"/>
          <w:szCs w:val="22"/>
        </w:rPr>
        <w:t xml:space="preserve">Org-level policies apply to ALL teams unless explicitly exempted</w:t>
      </w:r>
    </w:p>
    <w:p>
      <w:pPr>
        <w:pStyle w:val="ListParagraph"/>
        <w:numPr>
          <w:ilvl w:val="0"/>
          <w:numId w:val="2"/>
        </w:numPr>
        <w:spacing w:after="60"/>
      </w:pPr>
      <w:r>
        <w:rPr>
          <w:sz w:val="22"/>
          <w:szCs w:val="22"/>
        </w:rPr>
        <w:t xml:space="preserve">Team-level policies can ADD restrictions but cannot RELAX org-level policies</w:t>
      </w:r>
    </w:p>
    <w:p>
      <w:pPr>
        <w:pStyle w:val="ListParagraph"/>
        <w:numPr>
          <w:ilvl w:val="0"/>
          <w:numId w:val="2"/>
        </w:numPr>
        <w:spacing w:after="60"/>
      </w:pPr>
      <w:r>
        <w:rPr>
          <w:sz w:val="22"/>
          <w:szCs w:val="22"/>
        </w:rPr>
        <w:t xml:space="preserve">If org policy blocks a model and team policy allows it, the org policy wins</w:t>
      </w:r>
    </w:p>
    <w:p>
      <w:pPr>
        <w:pStyle w:val="ListParagraph"/>
        <w:numPr>
          <w:ilvl w:val="0"/>
          <w:numId w:val="2"/>
        </w:numPr>
        <w:spacing w:after="60"/>
      </w:pPr>
      <w:r>
        <w:rPr>
          <w:sz w:val="22"/>
          <w:szCs w:val="22"/>
        </w:rPr>
        <w:t xml:space="preserve">Exemptions require Org Admin approval and are logged in audit trail</w:t>
      </w:r>
    </w:p>
    <w:p>
      <w:r>
        <w:br w:type="page"/>
      </w:r>
    </w:p>
    <w:p>
      <w:pPr>
        <w:pStyle w:val="Heading1"/>
        <w:spacing w:after="150" w:before="300"/>
      </w:pPr>
      <w:r>
        <w:t xml:space="preserve">6. Framework Alignment</w:t>
      </w:r>
    </w:p>
    <w:p>
      <w:pPr>
        <w:spacing w:after="120"/>
      </w:pPr>
      <w:r>
        <w:rPr>
          <w:sz w:val="22"/>
          <w:szCs w:val="22"/>
        </w:rPr>
        <w:t xml:space="preserve">Self-assessment checklists aligned to major AI governance frameworks. Not automated compliance checking — guided evaluation with evidence linking back to BurnLens data.</w:t>
      </w:r>
    </w:p>
    <w:p>
      <w:pPr>
        <w:pStyle w:val="Heading2"/>
        <w:spacing w:after="150" w:before="300"/>
      </w:pPr>
      <w:r>
        <w:t xml:space="preserve">6.1 Supported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Framework</w:t>
            </w:r>
          </w:p>
        </w:tc>
        <w:tc>
          <w:tcPr>
            <w:tcW w:type="dxa" w:w="32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Coverage</w:t>
            </w:r>
          </w:p>
        </w:tc>
        <w:tc>
          <w:tcPr>
            <w:tcW w:type="dxa" w:w="328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BurnLens Evidence Mapping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NIST AI RMF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Govern, Map, Measure, Manage functions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Asset inventory → Map, Policies → Govern, Scorecard → Measure, Violations → Manage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ISO/IEC 42001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AI management system requirements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Risk assessment → Clause 6, Monitoring → Clause 9, Improvement → Clause 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EU AI Act (lite)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Risk classification only (not full compliance)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Risk tier mapping, inventory registration, human oversight documentation</w:t>
            </w:r>
          </w:p>
        </w:tc>
      </w:tr>
    </w:tbl>
    <w:p>
      <w:pPr>
        <w:pStyle w:val="Heading2"/>
        <w:spacing w:after="150" w:before="300"/>
      </w:pPr>
      <w:r>
        <w:t xml:space="preserve">6.2 Checklist Structure</w:t>
      </w:r>
    </w:p>
    <w:p>
      <w:pPr>
        <w:spacing w:after="120"/>
      </w:pPr>
      <w:r>
        <w:rPr>
          <w:sz w:val="22"/>
          <w:szCs w:val="22"/>
        </w:rPr>
        <w:t xml:space="preserve">Each framework is broken into categories → subcategories → checklist items. Each item has: a description (what the framework requires), a status (not started / in progress / complete / not applicable), an evidence link (optional link to BurnLens report, policy, or asset that demonstrates compliance), and notes (free text for assessor comments). Checklists are versioned and snapshots are taken quarterly.</w:t>
      </w:r>
    </w:p>
    <w:p>
      <w:r>
        <w:br w:type="page"/>
      </w:r>
    </w:p>
    <w:p>
      <w:pPr>
        <w:pStyle w:val="Heading1"/>
        <w:spacing w:after="150" w:before="300"/>
      </w:pPr>
      <w:r>
        <w:t xml:space="preserve">7. Public Governance API</w:t>
      </w:r>
    </w:p>
    <w:p>
      <w:pPr>
        <w:spacing w:after="120"/>
      </w:pPr>
      <w:r>
        <w:rPr>
          <w:sz w:val="22"/>
          <w:szCs w:val="22"/>
        </w:rPr>
        <w:t xml:space="preserve">REST API for integrating BurnLens governance data with external tools (GRC platforms, SIEM dashboards, custom workflows).</w:t>
      </w:r>
    </w:p>
    <w:p>
      <w:pPr>
        <w:pStyle w:val="Heading2"/>
        <w:spacing w:after="150" w:before="300"/>
      </w:pPr>
      <w:r>
        <w:t xml:space="preserve">7.1 API Design Principles</w:t>
      </w:r>
    </w:p>
    <w:p>
      <w:pPr>
        <w:pStyle w:val="ListParagraph"/>
        <w:numPr>
          <w:ilvl w:val="0"/>
          <w:numId w:val="2"/>
        </w:numPr>
        <w:spacing w:after="60"/>
      </w:pPr>
      <w:r>
        <w:rPr>
          <w:sz w:val="22"/>
          <w:szCs w:val="22"/>
        </w:rPr>
        <w:t xml:space="preserve">Read-heavy: Most external consumers will pull data, not push it</w:t>
      </w:r>
    </w:p>
    <w:p>
      <w:pPr>
        <w:pStyle w:val="ListParagraph"/>
        <w:numPr>
          <w:ilvl w:val="0"/>
          <w:numId w:val="2"/>
        </w:numPr>
        <w:spacing w:after="60"/>
      </w:pPr>
      <w:r>
        <w:rPr>
          <w:sz w:val="22"/>
          <w:szCs w:val="22"/>
        </w:rPr>
        <w:t xml:space="preserve">Webhook events: Real-time push for policy violations, new assets, and approval decisions</w:t>
      </w:r>
    </w:p>
    <w:p>
      <w:pPr>
        <w:pStyle w:val="ListParagraph"/>
        <w:numPr>
          <w:ilvl w:val="0"/>
          <w:numId w:val="2"/>
        </w:numPr>
        <w:spacing w:after="60"/>
      </w:pPr>
      <w:r>
        <w:rPr>
          <w:sz w:val="22"/>
          <w:szCs w:val="22"/>
        </w:rPr>
        <w:t xml:space="preserve">API key auth: Separate governance API keys with scope-limited permissions</w:t>
      </w:r>
    </w:p>
    <w:p>
      <w:pPr>
        <w:pStyle w:val="ListParagraph"/>
        <w:numPr>
          <w:ilvl w:val="0"/>
          <w:numId w:val="2"/>
        </w:numPr>
        <w:spacing w:after="60"/>
      </w:pPr>
      <w:r>
        <w:rPr>
          <w:sz w:val="22"/>
          <w:szCs w:val="22"/>
        </w:rPr>
        <w:t xml:space="preserve">Rate limiting: 1000 requests/hour per API key (configurable for enterprise)</w:t>
      </w:r>
    </w:p>
    <w:p>
      <w:pPr>
        <w:pStyle w:val="ListParagraph"/>
        <w:numPr>
          <w:ilvl w:val="0"/>
          <w:numId w:val="2"/>
        </w:numPr>
        <w:spacing w:after="60"/>
      </w:pPr>
      <w:r>
        <w:rPr>
          <w:sz w:val="22"/>
          <w:szCs w:val="22"/>
        </w:rPr>
        <w:t xml:space="preserve">Versioned: /api/v1/governance/* namespace, backward-compatible changes only</w:t>
      </w:r>
    </w:p>
    <w:p>
      <w:pPr>
        <w:pStyle w:val="Heading2"/>
        <w:spacing w:after="150" w:before="300"/>
      </w:pPr>
      <w:r>
        <w:t xml:space="preserve">7.2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Event</w:t>
            </w:r>
          </w:p>
        </w:tc>
        <w:tc>
          <w:tcPr>
            <w:tcW w:type="dxa" w:w="312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Payload</w:t>
            </w:r>
          </w:p>
        </w:tc>
        <w:tc>
          <w:tcPr>
            <w:tcW w:type="dxa" w:w="312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asset.discovered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Asset details + provider +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Feed into CMDB or asset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policy.violated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Policy + asset + violation details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Create ticket in ServiceNow/Jira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approval.requested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Request details + requester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Route to external approval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approval.decided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Decision + reviewer + reason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Update external records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risk.changed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Asset + old risk + new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Trigger review in GRC platform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report.generated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Report type + download 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Auto-distribute to stakeholders</w:t>
            </w:r>
          </w:p>
        </w:tc>
      </w:tr>
    </w:tbl>
    <w:p>
      <w:r>
        <w:br w:type="page"/>
      </w:r>
    </w:p>
    <w:p>
      <w:pPr>
        <w:pStyle w:val="Heading1"/>
        <w:spacing w:after="150" w:before="300"/>
      </w:pPr>
      <w:r>
        <w:t xml:space="preserve">8. Implementation Plan (10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Week</w:t>
            </w:r>
          </w:p>
        </w:tc>
        <w:tc>
          <w:tcPr>
            <w:tcW w:type="dxa" w:w="24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Focus</w:t>
            </w:r>
          </w:p>
        </w:tc>
        <w:tc>
          <w:tcPr>
            <w:tcW w:type="dxa" w:w="30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Deliverables</w:t>
            </w:r>
          </w:p>
        </w:tc>
        <w:tc>
          <w:tcPr>
            <w:tcW w:type="dxa" w:w="276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r>
              <w:rPr>
                <w:b/>
                <w:bCs/>
                <w:color w:val="FFFFFF"/>
                <w:sz w:val="22"/>
                <w:szCs w:val="22"/>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Multi-tenant RBAC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Role model, permission system, policy cascade logic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Phase 3 complete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CI/CD gates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Gate evaluation endpoint, GitHub Action, GitLab template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Phase 2 policy engine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Data sensitivity tagging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Presidio integration, opt-in scanning, sensitivity metadata storage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Week 1 RBAC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4–5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Framework checklists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NIST AI RMF + ISO 42001 checklists, evidence linking, snapshot system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Phase 3 reports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6–7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Public API + webhooks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Governance API namespace, webhook delivery system, API key management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Weeks 1–5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8–9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Dashboard upgrades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RBAC-aware UI, gate results page, sensitivity dashboard, framework progress view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All APIs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Testing + enterprise deploy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RBAC permission tests, gate integration tests, webhook delivery tests, production deploy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333333"/>
                <w:sz w:val="22"/>
                <w:szCs w:val="22"/>
              </w:rPr>
              <w:t xml:space="preserve">All prior</w:t>
            </w:r>
          </w:p>
        </w:tc>
      </w:tr>
    </w:tbl>
    <w:p>
      <w:pPr>
        <w:spacing w:before="200"/>
      </w:pPr>
    </w:p>
    <w:p>
      <w:pPr>
        <w:pStyle w:val="Heading2"/>
        <w:spacing w:after="150" w:before="300"/>
      </w:pPr>
      <w:r>
        <w:t xml:space="preserve">8.1 Pricing</w:t>
      </w:r>
    </w:p>
    <w:p>
      <w:pPr>
        <w:spacing w:after="120"/>
      </w:pPr>
      <w:r>
        <w:rPr>
          <w:sz w:val="22"/>
          <w:szCs w:val="22"/>
        </w:rPr>
        <w:t xml:space="preserve">Enterprise ($399/mo): Everything from Growth tier + multi-tenant RBAC (up to 10 teams), CI/CD gates (up to 3 pipelines), data sensitivity tagging, NIST AI RMF checklist. Platform ($999/mo): Unlimited teams, unlimited pipelines, all framework checklists, public API access, webhook integrations, custom report branding, dedicated support, 1-year audit retention.</w:t>
      </w:r>
    </w:p>
    <w:p>
      <w:pPr>
        <w:pStyle w:val="Heading2"/>
        <w:spacing w:after="150" w:before="300"/>
      </w:pPr>
      <w:r>
        <w:t xml:space="preserve">8.2 What Happens If Phase 4 Is Not Built</w:t>
      </w:r>
    </w:p>
    <w:p>
      <w:pPr>
        <w:spacing w:after="120"/>
      </w:pPr>
      <w:r>
        <w:rPr>
          <w:sz w:val="22"/>
          <w:szCs w:val="22"/>
        </w:rPr>
        <w:t xml:space="preserve">If go/no-go criteria are not met, BurnLens continues as an AI cost optimization platform with governance features (Phases 1–3) as differentiation. The governance features still provide value as a retention mechanism and upsell driver. The product positioning stays as “know what AI you’re spending on and keep it under control” rather than “full AI governance platform.” This is a perfectly valid outcome — the market will tell you which direction to lean.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1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C0392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2026-04-10T09:56:40.777Z</dcterms:created>
  <dcterms:modified xsi:type="dcterms:W3CDTF">2026-04-10T09:56:40.778Z</dcterms:modified>
</cp:coreProperties>
</file>

<file path=docProps/custom.xml><?xml version="1.0" encoding="utf-8"?>
<Properties xmlns="http://schemas.openxmlformats.org/officeDocument/2006/custom-properties" xmlns:vt="http://schemas.openxmlformats.org/officeDocument/2006/docPropsVTypes"/>
</file>