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rPr>
                <w:b w:val="0"/>
              </w:rPr>
              <w:t>14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rPr>
                <w:b w:val="0"/>
              </w:rPr>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rPr>
                <w:b w:val="0"/>
              </w:rPr>
              <w:t>InterviewAI – Intelligent Hiring &amp; Candidate Evaluation System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r>
        <w:tc>
          <w:tcPr>
            <w:tcW w:type="dxa" w:w="4508"/>
          </w:tcPr>
          <w:p>
            <w:r>
              <w:rPr>
                <w:b/>
              </w:rPr>
              <w:t>Name</w:t>
            </w:r>
          </w:p>
        </w:tc>
        <w:tc>
          <w:tcPr>
            <w:tcW w:type="dxa" w:w="4508"/>
          </w:tcPr>
          <w:p>
            <w:r>
              <w:rPr>
                <w:b w:val="0"/>
              </w:rPr>
              <w:t>Tirumani Sai Manikanta</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