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5496"/>
          <w:sz w:val="20"/>
          <w:szCs w:val="20"/>
        </w:rPr>
        <w:t xml:space="preserve">N E X T   S T A G E   B R I E F</w:t>
      </w:r>
    </w:p>
    <w:p>
      <w:pPr>
        <w:spacing w:after="30"/>
      </w:pPr>
      <w:r>
        <w:rPr>
          <w:rFonts w:ascii="Calibri" w:cs="Calibri" w:eastAsia="Calibri" w:hAnsi="Calibri"/>
          <w:b/>
          <w:bCs/>
          <w:color w:val="1F3864"/>
          <w:sz w:val="40"/>
          <w:szCs w:val="40"/>
        </w:rPr>
        <w:t xml:space="preserve">Answer-or-Abstain Research Study</w:t>
      </w:r>
    </w:p>
    <w:p>
      <w:pPr>
        <w:pBdr>
          <w:bottom w:val="single" w:color="C9D3E4" w:sz="6" w:space="6"/>
        </w:pBdr>
        <w:spacing w:after="60"/>
      </w:pPr>
      <w:r>
        <w:rPr>
          <w:rFonts w:ascii="Calibri" w:cs="Calibri" w:eastAsia="Calibri" w:hAnsi="Calibri"/>
          <w:color w:val="44546A"/>
          <w:sz w:val="22"/>
          <w:szCs w:val="22"/>
        </w:rPr>
        <w:t xml:space="preserve">RB + SA System  ·  Take-home study and walkthrough</w:t>
      </w:r>
    </w:p>
    <w:p>
      <w:pPr>
        <w:spacing w:after="120"/>
      </w:pPr>
      <w:r>
        <w:t xml:space="preserve"/>
      </w:r>
    </w:p>
    <w:p>
      <w:pPr>
        <w:spacing w:after="130" w:line="272"/>
      </w:pPr>
      <w:r>
        <w:rPr>
          <w:rFonts w:ascii="Calibri" w:cs="Calibri" w:eastAsia="Calibri" w:hAnsi="Calibri"/>
          <w:color w:val="222222"/>
          <w:sz w:val="22"/>
          <w:szCs w:val="22"/>
        </w:rPr>
        <w:t xml:space="preserve">Thanks again for your time so far. This brief covers the next stage of the assessment: a take-home study you complete over about a week, followed by a short walkthrough call. It explains the problem, describes the system you will be working with, and sets out what to deliver. Please read it before you begin.</w:t>
      </w:r>
    </w:p>
    <w:p>
      <w:pPr>
        <w:spacing w:after="130" w:line="272"/>
      </w:pPr>
      <w:r>
        <w:rPr>
          <w:rFonts w:ascii="Calibri" w:cs="Calibri" w:eastAsia="Calibri" w:hAnsi="Calibri"/>
          <w:color w:val="222222"/>
          <w:sz w:val="22"/>
          <w:szCs w:val="22"/>
        </w:rPr>
        <w:t xml:space="preserve">Alongside this brief we are sharing a Drive folder with the current project materials — a README, the research code, and some result files. This document gives you the background; once you have read it, work through the README, then the code, then the results.</w:t>
      </w:r>
    </w:p>
    <w:p>
      <w:pPr>
        <w:pStyle w:val="Heading1"/>
      </w:pPr>
      <w:r>
        <w:t xml:space="preserve">The problem</w:t>
      </w:r>
    </w:p>
    <w:p>
      <w:pPr>
        <w:spacing w:after="130" w:line="272"/>
      </w:pPr>
      <w:r>
        <w:rPr>
          <w:rFonts w:ascii="Calibri" w:cs="Calibri" w:eastAsia="Calibri" w:hAnsi="Calibri"/>
          <w:color w:val="222222"/>
          <w:sz w:val="22"/>
          <w:szCs w:val="22"/>
        </w:rPr>
        <w:t xml:space="preserve">We are interested in when language models answer questions they should decline. A model should hold back when a question is unanswerable, rests on a false premise, or concerns an entity that does not exist. For example:</w:t>
      </w:r>
    </w:p>
    <w:p>
      <w:pPr>
        <w:pStyle w:val="ListParagraph"/>
        <w:numPr>
          <w:ilvl w:val="0"/>
          <w:numId w:val="2"/>
        </w:numPr>
        <w:spacing w:after="80" w:line="268"/>
      </w:pPr>
      <w:r>
        <w:rPr>
          <w:rFonts w:ascii="Calibri" w:cs="Calibri" w:eastAsia="Calibri" w:hAnsi="Calibri"/>
          <w:b/>
          <w:bCs/>
          <w:color w:val="222222"/>
          <w:sz w:val="22"/>
          <w:szCs w:val="22"/>
        </w:rPr>
        <w:t xml:space="preserve">“Is there life on Europa?” </w:t>
      </w:r>
      <w:r>
        <w:rPr>
          <w:rFonts w:ascii="Calibri" w:cs="Calibri" w:eastAsia="Calibri" w:hAnsi="Calibri"/>
          <w:color w:val="222222"/>
          <w:sz w:val="22"/>
          <w:szCs w:val="22"/>
        </w:rPr>
        <w:t xml:space="preserve">— there is no definitive evidence either way, so a confident claim is unwarranted.</w:t>
      </w:r>
    </w:p>
    <w:p>
      <w:pPr>
        <w:pStyle w:val="ListParagraph"/>
        <w:numPr>
          <w:ilvl w:val="0"/>
          <w:numId w:val="2"/>
        </w:numPr>
        <w:spacing w:after="80" w:line="268"/>
      </w:pPr>
      <w:r>
        <w:rPr>
          <w:rFonts w:ascii="Calibri" w:cs="Calibri" w:eastAsia="Calibri" w:hAnsi="Calibri"/>
          <w:b/>
          <w:bCs/>
          <w:color w:val="222222"/>
          <w:sz w:val="22"/>
          <w:szCs w:val="22"/>
        </w:rPr>
        <w:t xml:space="preserve">“Why does the sun orbit the Earth?” </w:t>
      </w:r>
      <w:r>
        <w:rPr>
          <w:rFonts w:ascii="Calibri" w:cs="Calibri" w:eastAsia="Calibri" w:hAnsi="Calibri"/>
          <w:color w:val="222222"/>
          <w:sz w:val="22"/>
          <w:szCs w:val="22"/>
        </w:rPr>
        <w:t xml:space="preserve">— the premise is false and should be flagged rather than answered.</w:t>
      </w:r>
    </w:p>
    <w:p>
      <w:pPr>
        <w:pStyle w:val="ListParagraph"/>
        <w:numPr>
          <w:ilvl w:val="0"/>
          <w:numId w:val="2"/>
        </w:numPr>
        <w:spacing w:after="80" w:line="268"/>
      </w:pPr>
      <w:r>
        <w:rPr>
          <w:rFonts w:ascii="Calibri" w:cs="Calibri" w:eastAsia="Calibri" w:hAnsi="Calibri"/>
          <w:b/>
          <w:bCs/>
          <w:color w:val="222222"/>
          <w:sz w:val="22"/>
          <w:szCs w:val="22"/>
        </w:rPr>
        <w:t xml:space="preserve">“What is the habitat of Snakadsau?” </w:t>
      </w:r>
      <w:r>
        <w:rPr>
          <w:rFonts w:ascii="Calibri" w:cs="Calibri" w:eastAsia="Calibri" w:hAnsi="Calibri"/>
          <w:color w:val="222222"/>
          <w:sz w:val="22"/>
          <w:szCs w:val="22"/>
        </w:rPr>
        <w:t xml:space="preserve">— the entity is made up, so inventing a plausible answer is a failure.</w:t>
      </w:r>
    </w:p>
    <w:p>
      <w:pPr>
        <w:spacing w:after="130" w:line="272"/>
      </w:pPr>
      <w:r>
        <w:rPr>
          <w:rFonts w:ascii="Calibri" w:cs="Calibri" w:eastAsia="Calibri" w:hAnsi="Calibri"/>
          <w:color w:val="222222"/>
          <w:sz w:val="22"/>
          <w:szCs w:val="22"/>
        </w:rPr>
        <w:t xml:space="preserve">The narrow goal here is not “self-awareness” in any grand sense. It is answer-or-abstain behavior: knowing when to answer, and when to recognize that a question is unknown, unanswerable, invalid, or false-premised.</w:t>
      </w:r>
    </w:p>
    <w:p>
      <w:pPr>
        <w:pStyle w:val="Heading1"/>
      </w:pPr>
      <w:r>
        <w:t xml:space="preserve">The current system</w:t>
      </w:r>
    </w:p>
    <w:p>
      <w:pPr>
        <w:spacing w:after="130" w:line="272"/>
      </w:pPr>
      <w:r>
        <w:rPr>
          <w:rFonts w:ascii="Calibri" w:cs="Calibri" w:eastAsia="Calibri" w:hAnsi="Calibri"/>
          <w:color w:val="222222"/>
          <w:sz w:val="22"/>
          <w:szCs w:val="22"/>
        </w:rPr>
        <w:t xml:space="preserve">The code builds on ReasoningBank, a memory-based method. During training the model attempts tasks, a short strategy lesson is extracted from each attempt, and the lessons are stored. At test time the system retrieves similar lessons by embedding similarity and inserts them into the prompt.</w:t>
      </w:r>
    </w:p>
    <w:p>
      <w:pPr>
        <w:spacing w:after="130" w:line="272"/>
      </w:pPr>
      <w:r>
        <w:rPr>
          <w:rFonts w:ascii="Calibri" w:cs="Calibri" w:eastAsia="Calibri" w:hAnsi="Calibri"/>
          <w:color w:val="222222"/>
          <w:sz w:val="22"/>
          <w:szCs w:val="22"/>
        </w:rPr>
        <w:t xml:space="preserve">On top of this it adds a Self-Awareness (SA) module with a few moving parts:</w:t>
      </w:r>
    </w:p>
    <w:p>
      <w:pPr>
        <w:pStyle w:val="ListParagraph"/>
        <w:numPr>
          <w:ilvl w:val="0"/>
          <w:numId w:val="2"/>
        </w:numPr>
        <w:spacing w:after="80" w:line="268"/>
      </w:pPr>
      <w:r>
        <w:rPr>
          <w:rFonts w:ascii="Calibri" w:cs="Calibri" w:eastAsia="Calibri" w:hAnsi="Calibri"/>
          <w:b/>
          <w:bCs/>
          <w:color w:val="222222"/>
          <w:sz w:val="22"/>
          <w:szCs w:val="22"/>
        </w:rPr>
        <w:t xml:space="preserve">Failure typing. </w:t>
      </w:r>
      <w:r>
        <w:rPr>
          <w:rFonts w:ascii="Calibri" w:cs="Calibri" w:eastAsia="Calibri" w:hAnsi="Calibri"/>
          <w:color w:val="222222"/>
          <w:sz w:val="22"/>
          <w:szCs w:val="22"/>
        </w:rPr>
        <w:t xml:space="preserve">After each question the system labels the outcome from the dataset label and the model’s output; it does not ask the model to judge itself.</w:t>
      </w:r>
    </w:p>
    <w:p>
      <w:pPr>
        <w:pStyle w:val="ListParagraph"/>
        <w:numPr>
          <w:ilvl w:val="0"/>
          <w:numId w:val="2"/>
        </w:numPr>
        <w:spacing w:after="80" w:line="268"/>
      </w:pPr>
      <w:r>
        <w:rPr>
          <w:rFonts w:ascii="Calibri" w:cs="Calibri" w:eastAsia="Calibri" w:hAnsi="Calibri"/>
          <w:b/>
          <w:bCs/>
          <w:color w:val="222222"/>
          <w:sz w:val="22"/>
          <w:szCs w:val="22"/>
        </w:rPr>
        <w:t xml:space="preserve">Typed lesson extraction. </w:t>
      </w:r>
      <w:r>
        <w:rPr>
          <w:rFonts w:ascii="Calibri" w:cs="Calibri" w:eastAsia="Calibri" w:hAnsi="Calibri"/>
          <w:color w:val="222222"/>
          <w:sz w:val="22"/>
          <w:szCs w:val="22"/>
        </w:rPr>
        <w:t xml:space="preserve">Each failure type gets its own extraction prompt, so the lessons are meant to be more specific than generic ReasoningBank ones.</w:t>
      </w:r>
    </w:p>
    <w:p>
      <w:pPr>
        <w:pStyle w:val="ListParagraph"/>
        <w:numPr>
          <w:ilvl w:val="0"/>
          <w:numId w:val="2"/>
        </w:numPr>
        <w:spacing w:after="80" w:line="268"/>
      </w:pPr>
      <w:r>
        <w:rPr>
          <w:rFonts w:ascii="Calibri" w:cs="Calibri" w:eastAsia="Calibri" w:hAnsi="Calibri"/>
          <w:b/>
          <w:bCs/>
          <w:color w:val="222222"/>
          <w:sz w:val="22"/>
          <w:szCs w:val="22"/>
        </w:rPr>
        <w:t xml:space="preserve">Two-level memory. </w:t>
      </w:r>
      <w:r>
        <w:rPr>
          <w:rFonts w:ascii="Calibri" w:cs="Calibri" w:eastAsia="Calibri" w:hAnsi="Calibri"/>
          <w:color w:val="222222"/>
          <w:sz w:val="22"/>
          <w:szCs w:val="22"/>
        </w:rPr>
        <w:t xml:space="preserve">Individual episodes are stored as low-level lessons; patterns that recur in a domain are promoted into higher-level standing guidelines.</w:t>
      </w:r>
    </w:p>
    <w:p>
      <w:pPr>
        <w:pStyle w:val="ListParagraph"/>
        <w:numPr>
          <w:ilvl w:val="0"/>
          <w:numId w:val="2"/>
        </w:numPr>
        <w:spacing w:after="80" w:line="268"/>
      </w:pPr>
      <w:r>
        <w:rPr>
          <w:rFonts w:ascii="Calibri" w:cs="Calibri" w:eastAsia="Calibri" w:hAnsi="Calibri"/>
          <w:b/>
          <w:bCs/>
          <w:color w:val="222222"/>
          <w:sz w:val="22"/>
          <w:szCs w:val="22"/>
        </w:rPr>
        <w:t xml:space="preserve">Retrieval over failures. </w:t>
      </w:r>
      <w:r>
        <w:rPr>
          <w:rFonts w:ascii="Calibri" w:cs="Calibri" w:eastAsia="Calibri" w:hAnsi="Calibri"/>
          <w:color w:val="222222"/>
          <w:sz w:val="22"/>
          <w:szCs w:val="22"/>
        </w:rPr>
        <w:t xml:space="preserve">During SA retrieval the system draws on failure episodes rather than correct ones.</w:t>
      </w:r>
    </w:p>
    <w:p>
      <w:pPr>
        <w:spacing w:after="120" w:before="40"/>
      </w:pPr>
      <w:r>
        <w:rPr>
          <w:rFonts w:ascii="Calibri" w:cs="Calibri" w:eastAsia="Calibri" w:hAnsi="Calibri"/>
          <w:color w:val="222222"/>
          <w:sz w:val="22"/>
          <w:szCs w:val="22"/>
        </w:rPr>
        <w:t xml:space="preserve">The four failure types are assigned deterministically: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D5DCE8" w:sz="2"/>
              <w:left w:val="single" w:color="D5DCE8" w:sz="2"/>
              <w:bottom w:val="single" w:color="D5DCE8" w:sz="2"/>
              <w:right w:val="single" w:color="D5DCE8" w:sz="2"/>
            </w:tcBorders>
            <w:shd w:fill="1F3864" w:val="clear"/>
            <w:tcMar>
              <w:top w:type="dxa" w:w="80"/>
              <w:left w:type="dxa" w:w="130"/>
              <w:bottom w:type="dxa" w:w="80"/>
              <w:right w:type="dxa" w:w="130"/>
            </w:tcMar>
            <w:vAlign w:val="center"/>
          </w:tcPr>
          <w:p>
            <w:pPr>
              <w:spacing w:after="0" w:line="264"/>
              <w:jc w:val="left"/>
            </w:pPr>
            <w:r>
              <w:rPr>
                <w:rFonts w:ascii="Calibri" w:cs="Calibri" w:eastAsia="Calibri" w:hAnsi="Calibri"/>
                <w:b/>
                <w:bCs/>
                <w:color w:val="FFFFFF"/>
                <w:sz w:val="21"/>
                <w:szCs w:val="21"/>
              </w:rPr>
              <w:t xml:space="preserve">Failure type</w:t>
            </w:r>
          </w:p>
        </w:tc>
        <w:tc>
          <w:tcPr>
            <w:tcW w:type="dxa" w:w="5860"/>
            <w:tcBorders>
              <w:top w:val="single" w:color="D5DCE8" w:sz="2"/>
              <w:left w:val="single" w:color="D5DCE8" w:sz="2"/>
              <w:bottom w:val="single" w:color="D5DCE8" w:sz="2"/>
              <w:right w:val="single" w:color="D5DCE8" w:sz="2"/>
            </w:tcBorders>
            <w:shd w:fill="1F3864" w:val="clear"/>
            <w:tcMar>
              <w:top w:type="dxa" w:w="80"/>
              <w:left w:type="dxa" w:w="130"/>
              <w:bottom w:type="dxa" w:w="80"/>
              <w:right w:type="dxa" w:w="130"/>
            </w:tcMar>
            <w:vAlign w:val="center"/>
          </w:tcPr>
          <w:p>
            <w:pPr>
              <w:spacing w:after="0" w:line="264"/>
              <w:jc w:val="left"/>
            </w:pPr>
            <w:r>
              <w:rPr>
                <w:rFonts w:ascii="Calibri" w:cs="Calibri" w:eastAsia="Calibri" w:hAnsi="Calibri"/>
                <w:b/>
                <w:bCs/>
                <w:color w:val="FFFFFF"/>
                <w:sz w:val="21"/>
                <w:szCs w:val="21"/>
              </w:rPr>
              <w:t xml:space="preserve">Meaning</w:t>
            </w:r>
          </w:p>
        </w:tc>
      </w:tr>
      <w:tr>
        <w:trPr>
          <w:cantSplit/>
        </w:trPr>
        <w:tc>
          <w:tcPr>
            <w:tcW w:type="dxa" w:w="350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left"/>
            </w:pPr>
            <w:r>
              <w:rPr>
                <w:rFonts w:ascii="Consolas" w:cs="Consolas" w:eastAsia="Consolas" w:hAnsi="Consolas"/>
                <w:b/>
                <w:bCs/>
                <w:color w:val="2E7D32"/>
                <w:sz w:val="18"/>
                <w:szCs w:val="18"/>
              </w:rPr>
              <w:t xml:space="preserve">CORRECT</w:t>
            </w:r>
          </w:p>
        </w:tc>
        <w:tc>
          <w:tcPr>
            <w:tcW w:type="dxa" w:w="586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left"/>
            </w:pPr>
            <w:r>
              <w:rPr>
                <w:rFonts w:ascii="Calibri" w:cs="Calibri" w:eastAsia="Calibri" w:hAnsi="Calibri"/>
                <w:color w:val="222222"/>
                <w:sz w:val="21"/>
                <w:szCs w:val="21"/>
              </w:rPr>
              <w:t xml:space="preserve">Right decision — the model answered when it could, or abstained when it should.</w:t>
            </w:r>
          </w:p>
        </w:tc>
      </w:tr>
      <w:tr>
        <w:trPr>
          <w:cantSplit/>
        </w:trPr>
        <w:tc>
          <w:tcPr>
            <w:tcW w:type="dxa" w:w="350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left"/>
            </w:pPr>
            <w:r>
              <w:rPr>
                <w:rFonts w:ascii="Consolas" w:cs="Consolas" w:eastAsia="Consolas" w:hAnsi="Consolas"/>
                <w:b/>
                <w:bCs/>
                <w:color w:val="B5341C"/>
                <w:sz w:val="18"/>
                <w:szCs w:val="18"/>
              </w:rPr>
              <w:t xml:space="preserve">KNOWLEDGE_BOUNDARY_MISSED</w:t>
            </w:r>
          </w:p>
        </w:tc>
        <w:tc>
          <w:tcPr>
            <w:tcW w:type="dxa" w:w="586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left"/>
            </w:pPr>
            <w:r>
              <w:rPr>
                <w:rFonts w:ascii="Calibri" w:cs="Calibri" w:eastAsia="Calibri" w:hAnsi="Calibri"/>
                <w:color w:val="222222"/>
                <w:sz w:val="21"/>
                <w:szCs w:val="21"/>
              </w:rPr>
              <w:t xml:space="preserve">Answered an unanswerable or invalid question that should have been declined.</w:t>
            </w:r>
          </w:p>
        </w:tc>
      </w:tr>
      <w:tr>
        <w:trPr>
          <w:cantSplit/>
        </w:trPr>
        <w:tc>
          <w:tcPr>
            <w:tcW w:type="dxa" w:w="350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left"/>
            </w:pPr>
            <w:r>
              <w:rPr>
                <w:rFonts w:ascii="Consolas" w:cs="Consolas" w:eastAsia="Consolas" w:hAnsi="Consolas"/>
                <w:b/>
                <w:bCs/>
                <w:color w:val="B5341C"/>
                <w:sz w:val="18"/>
                <w:szCs w:val="18"/>
              </w:rPr>
              <w:t xml:space="preserve">FALSE_IDK</w:t>
            </w:r>
          </w:p>
        </w:tc>
        <w:tc>
          <w:tcPr>
            <w:tcW w:type="dxa" w:w="586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left"/>
            </w:pPr>
            <w:r>
              <w:rPr>
                <w:rFonts w:ascii="Calibri" w:cs="Calibri" w:eastAsia="Calibri" w:hAnsi="Calibri"/>
                <w:color w:val="222222"/>
                <w:sz w:val="21"/>
                <w:szCs w:val="21"/>
              </w:rPr>
              <w:t xml:space="preserve">Abstained on a question that was answerable.</w:t>
            </w:r>
          </w:p>
        </w:tc>
      </w:tr>
      <w:tr>
        <w:trPr>
          <w:cantSplit/>
        </w:trPr>
        <w:tc>
          <w:tcPr>
            <w:tcW w:type="dxa" w:w="350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left"/>
            </w:pPr>
            <w:r>
              <w:rPr>
                <w:rFonts w:ascii="Consolas" w:cs="Consolas" w:eastAsia="Consolas" w:hAnsi="Consolas"/>
                <w:b/>
                <w:bCs/>
                <w:color w:val="B5341C"/>
                <w:sz w:val="18"/>
                <w:szCs w:val="18"/>
              </w:rPr>
              <w:t xml:space="preserve">FACTUAL_ERROR</w:t>
            </w:r>
          </w:p>
        </w:tc>
        <w:tc>
          <w:tcPr>
            <w:tcW w:type="dxa" w:w="586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left"/>
            </w:pPr>
            <w:r>
              <w:rPr>
                <w:rFonts w:ascii="Calibri" w:cs="Calibri" w:eastAsia="Calibri" w:hAnsi="Calibri"/>
                <w:color w:val="222222"/>
                <w:sz w:val="21"/>
                <w:szCs w:val="21"/>
              </w:rPr>
              <w:t xml:space="preserve">Attempted an answerable question but gave the wrong answer.</w:t>
            </w:r>
          </w:p>
        </w:tc>
      </w:tr>
    </w:tbl>
    <w:p>
      <w:pPr>
        <w:spacing w:after="130" w:before="120"/>
      </w:pPr>
      <w:r>
        <w:rPr>
          <w:rFonts w:ascii="Calibri" w:cs="Calibri" w:eastAsia="Calibri" w:hAnsi="Calibri"/>
          <w:color w:val="222222"/>
          <w:sz w:val="22"/>
          <w:szCs w:val="22"/>
        </w:rPr>
        <w:t xml:space="preserve">At test time the same questions run under three conditions: question only (baseline); question plus ReasoningBank lessons; and question plus ReasoningBank lessons, SA lessons, and standing guidelines. The headline metric is abstention F1 — catching unanswerable or invalid questions without over-refusing answerable ones.</w:t>
      </w:r>
    </w:p>
    <w:p>
      <w:pPr>
        <w:pStyle w:val="Heading1"/>
      </w:pPr>
      <w:r>
        <w:t xml:space="preserve">Reported results</w:t>
      </w:r>
    </w:p>
    <w:p>
      <w:pPr>
        <w:spacing w:after="130" w:line="272"/>
      </w:pPr>
      <w:r>
        <w:rPr>
          <w:rFonts w:ascii="Calibri" w:cs="Calibri" w:eastAsia="Calibri" w:hAnsi="Calibri"/>
          <w:color w:val="222222"/>
          <w:sz w:val="22"/>
          <w:szCs w:val="22"/>
        </w:rPr>
        <w:t xml:space="preserve">The README reports gains across several answer-or-abstain benchmarks. Treat these as claims to check, not facts to accept. Reported figures for Qwen2.5-7B: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cantSplit/>
          <w:tblHeader/>
        </w:trPr>
        <w:tc>
          <w:tcPr>
            <w:tcW w:type="dxa" w:w="2160"/>
            <w:tcBorders>
              <w:top w:val="single" w:color="D5DCE8" w:sz="2"/>
              <w:left w:val="single" w:color="D5DCE8" w:sz="2"/>
              <w:bottom w:val="single" w:color="D5DCE8" w:sz="2"/>
              <w:right w:val="single" w:color="D5DCE8" w:sz="2"/>
            </w:tcBorders>
            <w:shd w:fill="1F3864" w:val="clear"/>
            <w:tcMar>
              <w:top w:type="dxa" w:w="80"/>
              <w:left w:type="dxa" w:w="130"/>
              <w:bottom w:type="dxa" w:w="80"/>
              <w:right w:type="dxa" w:w="130"/>
            </w:tcMar>
            <w:vAlign w:val="center"/>
          </w:tcPr>
          <w:p>
            <w:pPr>
              <w:spacing w:after="0" w:line="264"/>
              <w:jc w:val="left"/>
            </w:pPr>
            <w:r>
              <w:rPr>
                <w:rFonts w:ascii="Calibri" w:cs="Calibri" w:eastAsia="Calibri" w:hAnsi="Calibri"/>
                <w:b/>
                <w:bCs/>
                <w:color w:val="FFFFFF"/>
                <w:sz w:val="21"/>
                <w:szCs w:val="21"/>
              </w:rPr>
              <w:t xml:space="preserve">Dataset</w:t>
            </w:r>
          </w:p>
        </w:tc>
        <w:tc>
          <w:tcPr>
            <w:tcW w:type="dxa" w:w="1800"/>
            <w:tcBorders>
              <w:top w:val="single" w:color="D5DCE8" w:sz="2"/>
              <w:left w:val="single" w:color="D5DCE8" w:sz="2"/>
              <w:bottom w:val="single" w:color="D5DCE8" w:sz="2"/>
              <w:right w:val="single" w:color="D5DCE8" w:sz="2"/>
            </w:tcBorders>
            <w:shd w:fill="1F3864" w:val="clear"/>
            <w:tcMar>
              <w:top w:type="dxa" w:w="80"/>
              <w:left w:type="dxa" w:w="130"/>
              <w:bottom w:type="dxa" w:w="80"/>
              <w:right w:type="dxa" w:w="130"/>
            </w:tcMar>
            <w:vAlign w:val="center"/>
          </w:tcPr>
          <w:p>
            <w:pPr>
              <w:spacing w:after="0" w:line="264"/>
              <w:jc w:val="center"/>
            </w:pPr>
            <w:r>
              <w:rPr>
                <w:rFonts w:ascii="Calibri" w:cs="Calibri" w:eastAsia="Calibri" w:hAnsi="Calibri"/>
                <w:b/>
                <w:bCs/>
                <w:color w:val="FFFFFF"/>
                <w:sz w:val="21"/>
                <w:szCs w:val="21"/>
              </w:rPr>
              <w:t xml:space="preserve">Baseline F1</w:t>
            </w:r>
          </w:p>
        </w:tc>
        <w:tc>
          <w:tcPr>
            <w:tcW w:type="dxa" w:w="1800"/>
            <w:tcBorders>
              <w:top w:val="single" w:color="D5DCE8" w:sz="2"/>
              <w:left w:val="single" w:color="D5DCE8" w:sz="2"/>
              <w:bottom w:val="single" w:color="D5DCE8" w:sz="2"/>
              <w:right w:val="single" w:color="D5DCE8" w:sz="2"/>
            </w:tcBorders>
            <w:shd w:fill="1F3864" w:val="clear"/>
            <w:tcMar>
              <w:top w:type="dxa" w:w="80"/>
              <w:left w:type="dxa" w:w="130"/>
              <w:bottom w:type="dxa" w:w="80"/>
              <w:right w:type="dxa" w:w="130"/>
            </w:tcMar>
            <w:vAlign w:val="center"/>
          </w:tcPr>
          <w:p>
            <w:pPr>
              <w:spacing w:after="0" w:line="264"/>
              <w:jc w:val="center"/>
            </w:pPr>
            <w:r>
              <w:rPr>
                <w:rFonts w:ascii="Calibri" w:cs="Calibri" w:eastAsia="Calibri" w:hAnsi="Calibri"/>
                <w:b/>
                <w:bCs/>
                <w:color w:val="FFFFFF"/>
                <w:sz w:val="21"/>
                <w:szCs w:val="21"/>
              </w:rPr>
              <w:t xml:space="preserve">RB F1</w:t>
            </w:r>
          </w:p>
        </w:tc>
        <w:tc>
          <w:tcPr>
            <w:tcW w:type="dxa" w:w="1800"/>
            <w:tcBorders>
              <w:top w:val="single" w:color="D5DCE8" w:sz="2"/>
              <w:left w:val="single" w:color="D5DCE8" w:sz="2"/>
              <w:bottom w:val="single" w:color="D5DCE8" w:sz="2"/>
              <w:right w:val="single" w:color="D5DCE8" w:sz="2"/>
            </w:tcBorders>
            <w:shd w:fill="1F3864" w:val="clear"/>
            <w:tcMar>
              <w:top w:type="dxa" w:w="80"/>
              <w:left w:type="dxa" w:w="130"/>
              <w:bottom w:type="dxa" w:w="80"/>
              <w:right w:type="dxa" w:w="130"/>
            </w:tcMar>
            <w:vAlign w:val="center"/>
          </w:tcPr>
          <w:p>
            <w:pPr>
              <w:spacing w:after="0" w:line="264"/>
              <w:jc w:val="center"/>
            </w:pPr>
            <w:r>
              <w:rPr>
                <w:rFonts w:ascii="Calibri" w:cs="Calibri" w:eastAsia="Calibri" w:hAnsi="Calibri"/>
                <w:b/>
                <w:bCs/>
                <w:color w:val="FFFFFF"/>
                <w:sz w:val="21"/>
                <w:szCs w:val="21"/>
              </w:rPr>
              <w:t xml:space="preserve">RB + SA F1</w:t>
            </w:r>
          </w:p>
        </w:tc>
        <w:tc>
          <w:tcPr>
            <w:tcW w:type="dxa" w:w="1800"/>
            <w:tcBorders>
              <w:top w:val="single" w:color="D5DCE8" w:sz="2"/>
              <w:left w:val="single" w:color="D5DCE8" w:sz="2"/>
              <w:bottom w:val="single" w:color="D5DCE8" w:sz="2"/>
              <w:right w:val="single" w:color="D5DCE8" w:sz="2"/>
            </w:tcBorders>
            <w:shd w:fill="1F3864" w:val="clear"/>
            <w:tcMar>
              <w:top w:type="dxa" w:w="80"/>
              <w:left w:type="dxa" w:w="130"/>
              <w:bottom w:type="dxa" w:w="80"/>
              <w:right w:type="dxa" w:w="130"/>
            </w:tcMar>
            <w:vAlign w:val="center"/>
          </w:tcPr>
          <w:p>
            <w:pPr>
              <w:spacing w:after="0" w:line="264"/>
              <w:jc w:val="center"/>
            </w:pPr>
            <w:r>
              <w:rPr>
                <w:rFonts w:ascii="Calibri" w:cs="Calibri" w:eastAsia="Calibri" w:hAnsi="Calibri"/>
                <w:b/>
                <w:bCs/>
                <w:color w:val="FFFFFF"/>
                <w:sz w:val="21"/>
                <w:szCs w:val="21"/>
              </w:rPr>
              <w:t xml:space="preserve">SA uplift</w:t>
            </w:r>
          </w:p>
        </w:tc>
      </w:tr>
      <w:tr>
        <w:trPr>
          <w:cantSplit/>
        </w:trPr>
        <w:tc>
          <w:tcPr>
            <w:tcW w:type="dxa" w:w="216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left"/>
            </w:pPr>
            <w:r>
              <w:rPr>
                <w:rFonts w:ascii="Calibri" w:cs="Calibri" w:eastAsia="Calibri" w:hAnsi="Calibri"/>
                <w:color w:val="222222"/>
                <w:sz w:val="21"/>
                <w:szCs w:val="21"/>
              </w:rPr>
              <w:t xml:space="preserve">SelfAware</w:t>
            </w:r>
          </w:p>
        </w:tc>
        <w:tc>
          <w:tcPr>
            <w:tcW w:type="dxa" w:w="180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center"/>
            </w:pPr>
            <w:r>
              <w:rPr>
                <w:rFonts w:ascii="Calibri" w:cs="Calibri" w:eastAsia="Calibri" w:hAnsi="Calibri"/>
                <w:color w:val="222222"/>
                <w:sz w:val="21"/>
                <w:szCs w:val="21"/>
              </w:rPr>
              <w:t xml:space="preserve">0.425</w:t>
            </w:r>
          </w:p>
        </w:tc>
        <w:tc>
          <w:tcPr>
            <w:tcW w:type="dxa" w:w="180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center"/>
            </w:pPr>
            <w:r>
              <w:rPr>
                <w:rFonts w:ascii="Calibri" w:cs="Calibri" w:eastAsia="Calibri" w:hAnsi="Calibri"/>
                <w:color w:val="222222"/>
                <w:sz w:val="21"/>
                <w:szCs w:val="21"/>
              </w:rPr>
              <w:t xml:space="preserve">0.483</w:t>
            </w:r>
          </w:p>
        </w:tc>
        <w:tc>
          <w:tcPr>
            <w:tcW w:type="dxa" w:w="180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center"/>
            </w:pPr>
            <w:r>
              <w:rPr>
                <w:rFonts w:ascii="Calibri" w:cs="Calibri" w:eastAsia="Calibri" w:hAnsi="Calibri"/>
                <w:color w:val="222222"/>
                <w:sz w:val="21"/>
                <w:szCs w:val="21"/>
              </w:rPr>
              <w:t xml:space="preserve">0.506</w:t>
            </w:r>
          </w:p>
        </w:tc>
        <w:tc>
          <w:tcPr>
            <w:tcW w:type="dxa" w:w="180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center"/>
            </w:pPr>
            <w:r>
              <w:rPr>
                <w:rFonts w:ascii="Calibri" w:cs="Calibri" w:eastAsia="Calibri" w:hAnsi="Calibri"/>
                <w:b/>
                <w:bCs/>
                <w:color w:val="2E7D32"/>
                <w:sz w:val="21"/>
                <w:szCs w:val="21"/>
              </w:rPr>
              <w:t xml:space="preserve">+0.024</w:t>
            </w:r>
          </w:p>
        </w:tc>
      </w:tr>
      <w:tr>
        <w:trPr>
          <w:cantSplit/>
        </w:trPr>
        <w:tc>
          <w:tcPr>
            <w:tcW w:type="dxa" w:w="216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left"/>
            </w:pPr>
            <w:r>
              <w:rPr>
                <w:rFonts w:ascii="Calibri" w:cs="Calibri" w:eastAsia="Calibri" w:hAnsi="Calibri"/>
                <w:color w:val="222222"/>
                <w:sz w:val="21"/>
                <w:szCs w:val="21"/>
              </w:rPr>
              <w:t xml:space="preserve">KUQ</w:t>
            </w:r>
          </w:p>
        </w:tc>
        <w:tc>
          <w:tcPr>
            <w:tcW w:type="dxa" w:w="180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center"/>
            </w:pPr>
            <w:r>
              <w:rPr>
                <w:rFonts w:ascii="Calibri" w:cs="Calibri" w:eastAsia="Calibri" w:hAnsi="Calibri"/>
                <w:color w:val="222222"/>
                <w:sz w:val="21"/>
                <w:szCs w:val="21"/>
              </w:rPr>
              <w:t xml:space="preserve">0.265</w:t>
            </w:r>
          </w:p>
        </w:tc>
        <w:tc>
          <w:tcPr>
            <w:tcW w:type="dxa" w:w="180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center"/>
            </w:pPr>
            <w:r>
              <w:rPr>
                <w:rFonts w:ascii="Calibri" w:cs="Calibri" w:eastAsia="Calibri" w:hAnsi="Calibri"/>
                <w:color w:val="222222"/>
                <w:sz w:val="21"/>
                <w:szCs w:val="21"/>
              </w:rPr>
              <w:t xml:space="preserve">0.336</w:t>
            </w:r>
          </w:p>
        </w:tc>
        <w:tc>
          <w:tcPr>
            <w:tcW w:type="dxa" w:w="180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center"/>
            </w:pPr>
            <w:r>
              <w:rPr>
                <w:rFonts w:ascii="Calibri" w:cs="Calibri" w:eastAsia="Calibri" w:hAnsi="Calibri"/>
                <w:color w:val="222222"/>
                <w:sz w:val="21"/>
                <w:szCs w:val="21"/>
              </w:rPr>
              <w:t xml:space="preserve">0.474</w:t>
            </w:r>
          </w:p>
        </w:tc>
        <w:tc>
          <w:tcPr>
            <w:tcW w:type="dxa" w:w="180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center"/>
            </w:pPr>
            <w:r>
              <w:rPr>
                <w:rFonts w:ascii="Calibri" w:cs="Calibri" w:eastAsia="Calibri" w:hAnsi="Calibri"/>
                <w:b/>
                <w:bCs/>
                <w:color w:val="2E7D32"/>
                <w:sz w:val="21"/>
                <w:szCs w:val="21"/>
              </w:rPr>
              <w:t xml:space="preserve">+0.138</w:t>
            </w:r>
          </w:p>
        </w:tc>
      </w:tr>
      <w:tr>
        <w:trPr>
          <w:cantSplit/>
        </w:trPr>
        <w:tc>
          <w:tcPr>
            <w:tcW w:type="dxa" w:w="216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left"/>
            </w:pPr>
            <w:r>
              <w:rPr>
                <w:rFonts w:ascii="Calibri" w:cs="Calibri" w:eastAsia="Calibri" w:hAnsi="Calibri"/>
                <w:color w:val="222222"/>
                <w:sz w:val="21"/>
                <w:szCs w:val="21"/>
              </w:rPr>
              <w:t xml:space="preserve">FalseQA</w:t>
            </w:r>
          </w:p>
        </w:tc>
        <w:tc>
          <w:tcPr>
            <w:tcW w:type="dxa" w:w="180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center"/>
            </w:pPr>
            <w:r>
              <w:rPr>
                <w:rFonts w:ascii="Calibri" w:cs="Calibri" w:eastAsia="Calibri" w:hAnsi="Calibri"/>
                <w:color w:val="222222"/>
                <w:sz w:val="21"/>
                <w:szCs w:val="21"/>
              </w:rPr>
              <w:t xml:space="preserve">0.680</w:t>
            </w:r>
          </w:p>
        </w:tc>
        <w:tc>
          <w:tcPr>
            <w:tcW w:type="dxa" w:w="180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center"/>
            </w:pPr>
            <w:r>
              <w:rPr>
                <w:rFonts w:ascii="Calibri" w:cs="Calibri" w:eastAsia="Calibri" w:hAnsi="Calibri"/>
                <w:color w:val="222222"/>
                <w:sz w:val="21"/>
                <w:szCs w:val="21"/>
              </w:rPr>
              <w:t xml:space="preserve">0.674</w:t>
            </w:r>
          </w:p>
        </w:tc>
        <w:tc>
          <w:tcPr>
            <w:tcW w:type="dxa" w:w="180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center"/>
            </w:pPr>
            <w:r>
              <w:rPr>
                <w:rFonts w:ascii="Calibri" w:cs="Calibri" w:eastAsia="Calibri" w:hAnsi="Calibri"/>
                <w:color w:val="222222"/>
                <w:sz w:val="21"/>
                <w:szCs w:val="21"/>
              </w:rPr>
              <w:t xml:space="preserve">0.736</w:t>
            </w:r>
          </w:p>
        </w:tc>
        <w:tc>
          <w:tcPr>
            <w:tcW w:type="dxa" w:w="1800"/>
            <w:tcBorders>
              <w:top w:val="single" w:color="D5DCE8" w:sz="2"/>
              <w:left w:val="single" w:color="D5DCE8" w:sz="2"/>
              <w:bottom w:val="single" w:color="D5DCE8" w:sz="2"/>
              <w:right w:val="single" w:color="D5DCE8" w:sz="2"/>
            </w:tcBorders>
            <w:shd w:fill="FFFFFF" w:val="clear"/>
            <w:tcMar>
              <w:top w:type="dxa" w:w="70"/>
              <w:left w:type="dxa" w:w="130"/>
              <w:bottom w:type="dxa" w:w="70"/>
              <w:right w:type="dxa" w:w="130"/>
            </w:tcMar>
            <w:vAlign w:val="center"/>
          </w:tcPr>
          <w:p>
            <w:pPr>
              <w:spacing w:after="0" w:line="262"/>
              <w:jc w:val="center"/>
            </w:pPr>
            <w:r>
              <w:rPr>
                <w:rFonts w:ascii="Calibri" w:cs="Calibri" w:eastAsia="Calibri" w:hAnsi="Calibri"/>
                <w:b/>
                <w:bCs/>
                <w:color w:val="2E7D32"/>
                <w:sz w:val="21"/>
                <w:szCs w:val="21"/>
              </w:rPr>
              <w:t xml:space="preserve">+0.062</w:t>
            </w:r>
          </w:p>
        </w:tc>
      </w:tr>
      <w:tr>
        <w:trPr>
          <w:cantSplit/>
        </w:trPr>
        <w:tc>
          <w:tcPr>
            <w:tcW w:type="dxa" w:w="216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left"/>
            </w:pPr>
            <w:r>
              <w:rPr>
                <w:rFonts w:ascii="Calibri" w:cs="Calibri" w:eastAsia="Calibri" w:hAnsi="Calibri"/>
                <w:color w:val="222222"/>
                <w:sz w:val="21"/>
                <w:szCs w:val="21"/>
              </w:rPr>
              <w:t xml:space="preserve">UnknownBench</w:t>
            </w:r>
          </w:p>
        </w:tc>
        <w:tc>
          <w:tcPr>
            <w:tcW w:type="dxa" w:w="180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center"/>
            </w:pPr>
            <w:r>
              <w:rPr>
                <w:rFonts w:ascii="Calibri" w:cs="Calibri" w:eastAsia="Calibri" w:hAnsi="Calibri"/>
                <w:color w:val="222222"/>
                <w:sz w:val="21"/>
                <w:szCs w:val="21"/>
              </w:rPr>
              <w:t xml:space="preserve">0.481</w:t>
            </w:r>
          </w:p>
        </w:tc>
        <w:tc>
          <w:tcPr>
            <w:tcW w:type="dxa" w:w="180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center"/>
            </w:pPr>
            <w:r>
              <w:rPr>
                <w:rFonts w:ascii="Calibri" w:cs="Calibri" w:eastAsia="Calibri" w:hAnsi="Calibri"/>
                <w:color w:val="222222"/>
                <w:sz w:val="21"/>
                <w:szCs w:val="21"/>
              </w:rPr>
              <w:t xml:space="preserve">0.551</w:t>
            </w:r>
          </w:p>
        </w:tc>
        <w:tc>
          <w:tcPr>
            <w:tcW w:type="dxa" w:w="180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center"/>
            </w:pPr>
            <w:r>
              <w:rPr>
                <w:rFonts w:ascii="Calibri" w:cs="Calibri" w:eastAsia="Calibri" w:hAnsi="Calibri"/>
                <w:color w:val="222222"/>
                <w:sz w:val="21"/>
                <w:szCs w:val="21"/>
              </w:rPr>
              <w:t xml:space="preserve">0.821</w:t>
            </w:r>
          </w:p>
        </w:tc>
        <w:tc>
          <w:tcPr>
            <w:tcW w:type="dxa" w:w="1800"/>
            <w:tcBorders>
              <w:top w:val="single" w:color="D5DCE8" w:sz="2"/>
              <w:left w:val="single" w:color="D5DCE8" w:sz="2"/>
              <w:bottom w:val="single" w:color="D5DCE8" w:sz="2"/>
              <w:right w:val="single" w:color="D5DCE8" w:sz="2"/>
            </w:tcBorders>
            <w:shd w:fill="F2F5FA" w:val="clear"/>
            <w:tcMar>
              <w:top w:type="dxa" w:w="70"/>
              <w:left w:type="dxa" w:w="130"/>
              <w:bottom w:type="dxa" w:w="70"/>
              <w:right w:type="dxa" w:w="130"/>
            </w:tcMar>
            <w:vAlign w:val="center"/>
          </w:tcPr>
          <w:p>
            <w:pPr>
              <w:spacing w:after="0" w:line="262"/>
              <w:jc w:val="center"/>
            </w:pPr>
            <w:r>
              <w:rPr>
                <w:rFonts w:ascii="Calibri" w:cs="Calibri" w:eastAsia="Calibri" w:hAnsi="Calibri"/>
                <w:b/>
                <w:bCs/>
                <w:color w:val="2E7D32"/>
                <w:sz w:val="21"/>
                <w:szCs w:val="21"/>
              </w:rPr>
              <w:t xml:space="preserve">+0.271</w:t>
            </w:r>
          </w:p>
        </w:tc>
      </w:tr>
    </w:tbl>
    <w:p>
      <w:pPr>
        <w:pStyle w:val="Heading1"/>
      </w:pPr>
      <w:r>
        <w:t xml:space="preserve">Your task</w:t>
      </w:r>
    </w:p>
    <w:p>
      <w:pPr>
        <w:spacing w:after="130" w:line="272"/>
      </w:pPr>
      <w:r>
        <w:rPr>
          <w:rFonts w:ascii="Calibri" w:cs="Calibri" w:eastAsia="Calibri" w:hAnsi="Calibri"/>
          <w:color w:val="222222"/>
          <w:sz w:val="22"/>
          <w:szCs w:val="22"/>
        </w:rPr>
        <w:t xml:space="preserve">Read the code and methodology closely, form a clear picture of what the system actually does, and decide for yourself where it is and is not trustworthy. We have deliberately not listed the weaknesses we think exist — finding them, and judging which ones matter, is the core of the exercise. Then propose one small robustness check, diagnostic, or extension that would make the results more believable, and implement it if you can. Small is fine: a focused, well-justified check beats a broad one.</w:t>
      </w:r>
    </w:p>
    <w:p>
      <w:pPr>
        <w:spacing w:after="130" w:line="272"/>
      </w:pPr>
      <w:r>
        <w:rPr>
          <w:rFonts w:ascii="Calibri" w:cs="Calibri" w:eastAsia="Calibri" w:hAnsi="Calibri"/>
          <w:color w:val="222222"/>
          <w:sz w:val="22"/>
          <w:szCs w:val="22"/>
        </w:rPr>
        <w:t xml:space="preserve">There is a future direction we are exploring — an agent that actively probes its own competence before deployment — but that is out of scope here. Focus on auditing the current system.</w:t>
      </w:r>
    </w:p>
    <w:p>
      <w:pPr>
        <w:pStyle w:val="Heading1"/>
      </w:pPr>
      <w:r>
        <w:t xml:space="preserve">What to deliver</w:t>
      </w:r>
    </w:p>
    <w:p>
      <w:pPr>
        <w:spacing w:after="130" w:line="272"/>
      </w:pPr>
      <w:r>
        <w:rPr>
          <w:rFonts w:ascii="Calibri" w:cs="Calibri" w:eastAsia="Calibri" w:hAnsi="Calibri"/>
          <w:color w:val="222222"/>
          <w:sz w:val="22"/>
          <w:szCs w:val="22"/>
        </w:rPr>
        <w:t xml:space="preserve">A short report covering: what the code does; how the pipeline runs from dataset loading to final metrics; the assumptions the system makes; the problems, weak points, or methodological risks you found; the one check or diagnostic you propose and why; anything you implemented or attempted and how to reproduce it; and any questions you would want to clarify with us. A brief note on where you used AI tools is enough.</w:t>
      </w:r>
    </w:p>
    <w:p>
      <w:pPr>
        <w:pStyle w:val="Heading1"/>
      </w:pPr>
      <w:r>
        <w:t xml:space="preserve">What we are looking for</w:t>
      </w:r>
    </w:p>
    <w:p>
      <w:pPr>
        <w:spacing w:after="130" w:line="272"/>
      </w:pPr>
      <w:r>
        <w:rPr>
          <w:rFonts w:ascii="Calibri" w:cs="Calibri" w:eastAsia="Calibri" w:hAnsi="Calibri"/>
          <w:color w:val="222222"/>
          <w:sz w:val="22"/>
          <w:szCs w:val="22"/>
        </w:rPr>
        <w:t xml:space="preserve">Clear thinking you can defend. We care about how you frame the problem, the choices you make and why, and how honest you are about what your analysis does and does not show — not polish or scale. We are especially interested in whether you can spot real issues, reason through competing explanations for the reported gains, and tell a genuine effect from an artifact of the setup.</w:t>
      </w:r>
    </w:p>
    <w:p>
      <w:pPr>
        <w:pStyle w:val="Heading1"/>
      </w:pPr>
      <w:r>
        <w:t xml:space="preserve">Using AI tools</w:t>
      </w:r>
    </w:p>
    <w:p>
      <w:pPr>
        <w:spacing w:after="130" w:line="272"/>
      </w:pPr>
      <w:r>
        <w:rPr>
          <w:rFonts w:ascii="Calibri" w:cs="Calibri" w:eastAsia="Calibri" w:hAnsi="Calibri"/>
          <w:color w:val="222222"/>
          <w:sz w:val="22"/>
          <w:szCs w:val="22"/>
        </w:rPr>
        <w:t xml:space="preserve">For the take-home you are welcome to use any AI tools; just note where you used them — a line in the README is enough. The thinking should be yours, and you should be able to explain and defend any part of your submission. During the walkthrough, please do not use AI assistants unless we ask, and be ready to share your screen.</w:t>
      </w:r>
    </w:p>
    <w:p>
      <w:pPr>
        <w:pStyle w:val="Heading1"/>
      </w:pPr>
      <w:r>
        <w:t xml:space="preserve">The walkthrough call</w:t>
      </w:r>
    </w:p>
    <w:p>
      <w:pPr>
        <w:spacing w:after="130" w:line="272"/>
      </w:pPr>
      <w:r>
        <w:rPr>
          <w:rFonts w:ascii="Calibri" w:cs="Calibri" w:eastAsia="Calibri" w:hAnsi="Calibri"/>
          <w:color w:val="222222"/>
          <w:sz w:val="22"/>
          <w:szCs w:val="22"/>
        </w:rPr>
        <w:t xml:space="preserve">After you submit we will have a short call, around fifteen to twenty minutes, where you walk us through your work and your choices. We may ask you to make a small change live — for instance adding a metric breakdown, adding logging, or making an ablation easier to run. It is a conversation, not a defense.</w:t>
      </w:r>
    </w:p>
    <w:p>
      <w:pPr>
        <w:spacing w:after="200" w:line="272"/>
      </w:pPr>
      <w:r>
        <w:rPr>
          <w:rFonts w:ascii="Calibri" w:cs="Calibri" w:eastAsia="Calibri" w:hAnsi="Calibri"/>
          <w:color w:val="222222"/>
          <w:sz w:val="22"/>
          <w:szCs w:val="22"/>
        </w:rPr>
        <w:t xml:space="preserve">Please reply to our last email to confirm you have read this, and send your report and any code or notes before the call. Looking forward to it.</w:t>
      </w:r>
    </w:p>
    <w:p>
      <w:pPr>
        <w:spacing w:after="0" w:line="272"/>
      </w:pPr>
      <w:r>
        <w:rPr>
          <w:rFonts w:ascii="Calibri" w:cs="Calibri" w:eastAsia="Calibri" w:hAnsi="Calibri"/>
          <w:color w:val="222222"/>
          <w:sz w:val="22"/>
          <w:szCs w:val="22"/>
        </w:rPr>
        <w:t xml:space="preserve">Best,</w:t>
      </w:r>
    </w:p>
    <w:p>
      <w:pPr>
        <w:spacing w:after="130" w:line="272"/>
      </w:pPr>
      <w:r>
        <w:rPr>
          <w:rFonts w:ascii="Calibri" w:cs="Calibri" w:eastAsia="Calibri" w:hAnsi="Calibri"/>
          <w:color w:val="222222"/>
          <w:sz w:val="22"/>
          <w:szCs w:val="22"/>
        </w:rPr>
        <w:t xml:space="preserve">Niranjan</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4" w:sz="4" w:space="4"/>
      </w:pBdr>
      <w:jc w:val="center"/>
    </w:pPr>
    <w:r>
      <w:rPr>
        <w:rFonts w:ascii="Calibri" w:cs="Calibri" w:eastAsia="Calibri" w:hAnsi="Calibri"/>
        <w:color w:val="8896AE"/>
        <w:sz w:val="16"/>
        <w:szCs w:val="16"/>
      </w:rPr>
      <w:t xml:space="preserve">Page </w:t>
    </w:r>
    <w:r>
      <w:rPr>
        <w:rFonts w:ascii="Calibri" w:cs="Calibri" w:eastAsia="Calibri" w:hAnsi="Calibri"/>
        <w:color w:val="8896AE"/>
        <w:sz w:val="16"/>
        <w:szCs w:val="16"/>
      </w:rPr>
      <w:fldChar w:fldCharType="begin"/>
      <w:instrText xml:space="preserve">PAGE</w:instrText>
      <w:fldChar w:fldCharType="separate"/>
      <w:fldChar w:fldCharType="end"/>
    </w:r>
    <w:r>
      <w:rPr>
        <w:rFonts w:ascii="Calibri" w:cs="Calibri" w:eastAsia="Calibri" w:hAnsi="Calibri"/>
        <w:color w:val="8896AE"/>
        <w:sz w:val="16"/>
        <w:szCs w:val="16"/>
      </w:rPr>
      <w:t xml:space="preserve"> of </w:t>
    </w:r>
    <w:r>
      <w:rPr>
        <w:rFonts w:ascii="Calibri" w:cs="Calibri" w:eastAsia="Calibri" w:hAnsi="Calibri"/>
        <w:color w:val="8896A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10" w:before="260"/>
      <w:outlineLvl w:val="0"/>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 Stage Brief — Answer-or-Abstain Research Study</dc:title>
  <dc:creator>Niranjan</dc:creator>
  <cp:lastModifiedBy>Un-named</cp:lastModifiedBy>
  <cp:revision>1</cp:revision>
  <dcterms:created xsi:type="dcterms:W3CDTF">2026-06-24T15:16:07.510Z</dcterms:created>
  <dcterms:modified xsi:type="dcterms:W3CDTF">2026-06-24T15:16:07.522Z</dcterms:modified>
</cp:coreProperties>
</file>

<file path=docProps/custom.xml><?xml version="1.0" encoding="utf-8"?>
<Properties xmlns="http://schemas.openxmlformats.org/officeDocument/2006/custom-properties" xmlns:vt="http://schemas.openxmlformats.org/officeDocument/2006/docPropsVTypes"/>
</file>