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6"/>
          <w:szCs w:val="36"/>
        </w:rPr>
        <w:t xml:space="preserve">Executive Summary &amp; Launch Strategy</w:t>
      </w:r>
    </w:p>
    <w:p>
      <w:pPr>
        <w:spacing w:after="60"/>
        <w:jc w:val="center"/>
      </w:pPr>
      <w:r>
        <w:rPr>
          <w:color w:val="444444"/>
          <w:sz w:val="24"/>
          <w:szCs w:val="24"/>
        </w:rPr>
        <w:t xml:space="preserve">European Dog Supplements / Longevity Brand</w:t>
      </w:r>
    </w:p>
    <w:p>
      <w:pPr>
        <w:spacing w:after="400"/>
        <w:jc w:val="center"/>
      </w:pPr>
      <w:r>
        <w:rPr>
          <w:i/>
          <w:iCs/>
          <w:sz w:val="20"/>
          <w:szCs w:val="20"/>
        </w:rPr>
        <w:t xml:space="preserve">Prepared by: Sai Sadhasivam   |   Date: August 2026</w:t>
      </w:r>
    </w:p>
    <w:p>
      <w:pPr>
        <w:pStyle w:val="Heading1"/>
        <w:spacing w:after="180" w:before="350"/>
      </w:pPr>
      <w:r>
        <w:t xml:space="preserve">Executive Summary</w:t>
      </w:r>
    </w:p>
    <w:p>
      <w:pPr>
        <w:spacing w:after="180"/>
      </w:pPr>
      <w:r>
        <w:t xml:space="preserve">This report supports the launch of a premium dog health, longevity, and wellness supplement brand in Europe, beginning with Germany and Amazon.de. It is based on 60 individually sourced facts spanning market sizing, competitive analysis, customer review mining, pricing, keyword demand, and regulatory requirements.</w:t>
      </w:r>
    </w:p>
    <w:p>
      <w:pPr>
        <w:spacing w:after="180"/>
      </w:pPr>
      <w:r>
        <w:t xml:space="preserve">Germany is the largest single dog-supplement market in Europe, with a category growing at an estimated 7-9% CAGR. The joint and mobility category is the largest and most competitive category on Amazon.de, generating an estimated EUR330,000 per year across 15 tracked products. Independent lab testing found that a meaningful share of pet joint supplements on the market do not meet their own label claims, a documented, industry-wide trust gap that a new entrant can address directly and provably.</w:t>
      </w:r>
    </w:p>
    <w:p>
      <w:pPr>
        <w:spacing w:after="180"/>
      </w:pPr>
      <w:r>
        <w:t xml:space="preserve">Cognitive and brain health support has no identified equivalent product on Amazon.de, against a mature US market and a biotech company nearing FDA approval for the first-ever canine lifespan-extension drug. This is the strongest white-space finding in the research.</w:t>
      </w:r>
    </w:p>
    <w:p>
      <w:pPr>
        <w:spacing w:after="180"/>
      </w:pPr>
      <w:r>
        <w:t xml:space="preserve">The client's stated priority, longevity and healthspan, is a real opportunity but narrower than first assessed: the closest direct competitor, mammaly, already runs a 'Langlebigkeit' (Longevity) product line, and the most common US longevity ingredient, NMN, is not authorized for sale in the EU. A compliant formula is achievable using trans-resveratrol, Nicotinamide Riboside, or L-ergothioneine instead.</w:t>
      </w:r>
    </w:p>
    <w:p>
      <w:pPr>
        <w:spacing w:after="180"/>
      </w:pPr>
      <w:r>
        <w:t xml:space="preserve">Based on an 11-criterion Opportunity Matrix, this report recommends a 5-product launch portfolio, sequenced to balance near-term demand capture against longer-term category leadership.</w:t>
      </w:r>
    </w:p>
    <w:p>
      <w:pPr>
        <w:pStyle w:val="Heading1"/>
        <w:spacing w:after="180" w:before="350"/>
      </w:pPr>
      <w:r>
        <w:t xml:space="preserve">Recommended Product Portfolio &amp; Sequence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1F4E78" w:val="clear"/>
            <w:tcMar>
              <w:top w:type="dxa" w:w="80"/>
              <w:left w:type="dxa" w:w="100"/>
              <w:bottom w:type="dxa" w:w="80"/>
              <w:right w:type="dxa" w:w="100"/>
            </w:tcMar>
          </w:tcPr>
          <w:p>
            <w:r>
              <w:rPr>
                <w:b/>
                <w:bCs/>
                <w:color w:val="FFFFFF"/>
              </w:rPr>
              <w:t xml:space="preserve">#</w:t>
            </w:r>
          </w:p>
        </w:tc>
        <w:tc>
          <w:tcPr>
            <w:tcW w:type="dxa" w:w="2400"/>
            <w:shd w:fill="1F4E78" w:val="clear"/>
            <w:tcMar>
              <w:top w:type="dxa" w:w="80"/>
              <w:left w:type="dxa" w:w="100"/>
              <w:bottom w:type="dxa" w:w="80"/>
              <w:right w:type="dxa" w:w="100"/>
            </w:tcMar>
          </w:tcPr>
          <w:p>
            <w:r>
              <w:rPr>
                <w:b/>
                <w:bCs/>
                <w:color w:val="FFFFFF"/>
              </w:rPr>
              <w:t xml:space="preserve">Product</w:t>
            </w:r>
          </w:p>
        </w:tc>
        <w:tc>
          <w:tcPr>
            <w:tcW w:type="dxa" w:w="1400"/>
            <w:shd w:fill="1F4E78" w:val="clear"/>
            <w:tcMar>
              <w:top w:type="dxa" w:w="80"/>
              <w:left w:type="dxa" w:w="100"/>
              <w:bottom w:type="dxa" w:w="80"/>
              <w:right w:type="dxa" w:w="100"/>
            </w:tcMar>
          </w:tcPr>
          <w:p>
            <w:r>
              <w:rPr>
                <w:b/>
                <w:bCs/>
                <w:color w:val="FFFFFF"/>
              </w:rPr>
              <w:t xml:space="preserve">Format</w:t>
            </w:r>
          </w:p>
        </w:tc>
        <w:tc>
          <w:tcPr>
            <w:tcW w:type="dxa" w:w="1400"/>
            <w:shd w:fill="1F4E78" w:val="clear"/>
            <w:tcMar>
              <w:top w:type="dxa" w:w="80"/>
              <w:left w:type="dxa" w:w="100"/>
              <w:bottom w:type="dxa" w:w="80"/>
              <w:right w:type="dxa" w:w="100"/>
            </w:tcMar>
          </w:tcPr>
          <w:p>
            <w:r>
              <w:rPr>
                <w:b/>
                <w:bCs/>
                <w:color w:val="FFFFFF"/>
              </w:rPr>
              <w:t xml:space="preserve">Price (EUR)</w:t>
            </w:r>
          </w:p>
        </w:tc>
        <w:tc>
          <w:tcPr>
            <w:tcW w:type="dxa" w:w="3800"/>
            <w:shd w:fill="1F4E78" w:val="clear"/>
            <w:tcMar>
              <w:top w:type="dxa" w:w="80"/>
              <w:left w:type="dxa" w:w="100"/>
              <w:bottom w:type="dxa" w:w="80"/>
              <w:right w:type="dxa" w:w="100"/>
            </w:tcMar>
          </w:tcPr>
          <w:p>
            <w:r>
              <w:rPr>
                <w:b/>
                <w:bCs/>
                <w:color w:val="FFFFFF"/>
              </w:rPr>
              <w:t xml:space="preserve">Why This Order</w:t>
            </w:r>
          </w:p>
        </w:tc>
      </w:tr>
      <w:tr>
        <w:tc>
          <w:tcPr>
            <w:tcW w:type="dxa" w:w="500"/>
            <w:shd w:fill="F2F2F2" w:val="clear"/>
            <w:tcMar>
              <w:top w:type="dxa" w:w="80"/>
              <w:left w:type="dxa" w:w="100"/>
              <w:bottom w:type="dxa" w:w="80"/>
              <w:right w:type="dxa" w:w="100"/>
            </w:tcMar>
          </w:tcPr>
          <w:p>
            <w:r>
              <w:rPr>
                <w:b w:val="false"/>
                <w:bCs w:val="false"/>
                <w:color w:val="000000"/>
              </w:rPr>
              <w:t xml:space="preserve">1</w:t>
            </w:r>
          </w:p>
        </w:tc>
        <w:tc>
          <w:tcPr>
            <w:tcW w:type="dxa" w:w="2400"/>
            <w:shd w:fill="F2F2F2" w:val="clear"/>
            <w:tcMar>
              <w:top w:type="dxa" w:w="80"/>
              <w:left w:type="dxa" w:w="100"/>
              <w:bottom w:type="dxa" w:w="80"/>
              <w:right w:type="dxa" w:w="100"/>
            </w:tcMar>
          </w:tcPr>
          <w:p>
            <w:r>
              <w:rPr>
                <w:b w:val="false"/>
                <w:bCs w:val="false"/>
                <w:color w:val="000000"/>
              </w:rPr>
              <w:t xml:space="preserve">Daily Gut Health &amp; Probiotic Chew</w:t>
            </w:r>
          </w:p>
        </w:tc>
        <w:tc>
          <w:tcPr>
            <w:tcW w:type="dxa" w:w="1400"/>
            <w:shd w:fill="F2F2F2" w:val="clear"/>
            <w:tcMar>
              <w:top w:type="dxa" w:w="80"/>
              <w:left w:type="dxa" w:w="100"/>
              <w:bottom w:type="dxa" w:w="80"/>
              <w:right w:type="dxa" w:w="100"/>
            </w:tcMar>
          </w:tcPr>
          <w:p>
            <w:r>
              <w:rPr>
                <w:b w:val="false"/>
                <w:bCs w:val="false"/>
                <w:color w:val="000000"/>
              </w:rPr>
              <w:t xml:space="preserve">Soft chew</w:t>
            </w:r>
          </w:p>
        </w:tc>
        <w:tc>
          <w:tcPr>
            <w:tcW w:type="dxa" w:w="1400"/>
            <w:shd w:fill="F2F2F2" w:val="clear"/>
            <w:tcMar>
              <w:top w:type="dxa" w:w="80"/>
              <w:left w:type="dxa" w:w="100"/>
              <w:bottom w:type="dxa" w:w="80"/>
              <w:right w:type="dxa" w:w="100"/>
            </w:tcMar>
          </w:tcPr>
          <w:p>
            <w:r>
              <w:rPr>
                <w:b w:val="false"/>
                <w:bCs w:val="false"/>
                <w:color w:val="000000"/>
              </w:rPr>
              <w:t xml:space="preserve">22-28</w:t>
            </w:r>
          </w:p>
        </w:tc>
        <w:tc>
          <w:tcPr>
            <w:tcW w:type="dxa" w:w="3800"/>
            <w:shd w:fill="F2F2F2" w:val="clear"/>
            <w:tcMar>
              <w:top w:type="dxa" w:w="80"/>
              <w:left w:type="dxa" w:w="100"/>
              <w:bottom w:type="dxa" w:w="80"/>
              <w:right w:type="dxa" w:w="100"/>
            </w:tcMar>
          </w:tcPr>
          <w:p>
            <w:r>
              <w:rPr>
                <w:b w:val="false"/>
                <w:bCs w:val="false"/>
                <w:color w:val="000000"/>
              </w:rPr>
              <w:t xml:space="preserve">Lowest risk: fragmented competition, low regulatory complexity, strong subscription fit</w:t>
            </w:r>
          </w:p>
        </w:tc>
      </w:tr>
      <w:tr>
        <w:tc>
          <w:tcPr>
            <w:tcW w:type="dxa" w:w="500"/>
            <w:tcMar>
              <w:top w:type="dxa" w:w="80"/>
              <w:left w:type="dxa" w:w="100"/>
              <w:bottom w:type="dxa" w:w="80"/>
              <w:right w:type="dxa" w:w="100"/>
            </w:tcMar>
          </w:tcPr>
          <w:p>
            <w:r>
              <w:rPr>
                <w:b w:val="false"/>
                <w:bCs w:val="false"/>
                <w:color w:val="000000"/>
              </w:rPr>
              <w:t xml:space="preserve">2</w:t>
            </w:r>
          </w:p>
        </w:tc>
        <w:tc>
          <w:tcPr>
            <w:tcW w:type="dxa" w:w="2400"/>
            <w:tcMar>
              <w:top w:type="dxa" w:w="80"/>
              <w:left w:type="dxa" w:w="100"/>
              <w:bottom w:type="dxa" w:w="80"/>
              <w:right w:type="dxa" w:w="100"/>
            </w:tcMar>
          </w:tcPr>
          <w:p>
            <w:r>
              <w:rPr>
                <w:b w:val="false"/>
                <w:bCs w:val="false"/>
                <w:color w:val="000000"/>
              </w:rPr>
              <w:t xml:space="preserve">Advanced Joint &amp; Mobility Chew</w:t>
            </w:r>
          </w:p>
        </w:tc>
        <w:tc>
          <w:tcPr>
            <w:tcW w:type="dxa" w:w="1400"/>
            <w:tcMar>
              <w:top w:type="dxa" w:w="80"/>
              <w:left w:type="dxa" w:w="100"/>
              <w:bottom w:type="dxa" w:w="80"/>
              <w:right w:type="dxa" w:w="100"/>
            </w:tcMar>
          </w:tcPr>
          <w:p>
            <w:r>
              <w:rPr>
                <w:b w:val="false"/>
                <w:bCs w:val="false"/>
                <w:color w:val="000000"/>
              </w:rPr>
              <w:t xml:space="preserve">Soft chew</w:t>
            </w:r>
          </w:p>
        </w:tc>
        <w:tc>
          <w:tcPr>
            <w:tcW w:type="dxa" w:w="1400"/>
            <w:tcMar>
              <w:top w:type="dxa" w:w="80"/>
              <w:left w:type="dxa" w:w="100"/>
              <w:bottom w:type="dxa" w:w="80"/>
              <w:right w:type="dxa" w:w="100"/>
            </w:tcMar>
          </w:tcPr>
          <w:p>
            <w:r>
              <w:rPr>
                <w:b w:val="false"/>
                <w:bCs w:val="false"/>
                <w:color w:val="000000"/>
              </w:rPr>
              <w:t xml:space="preserve">26-32</w:t>
            </w:r>
          </w:p>
        </w:tc>
        <w:tc>
          <w:tcPr>
            <w:tcW w:type="dxa" w:w="3800"/>
            <w:tcMar>
              <w:top w:type="dxa" w:w="80"/>
              <w:left w:type="dxa" w:w="100"/>
              <w:bottom w:type="dxa" w:w="80"/>
              <w:right w:type="dxa" w:w="100"/>
            </w:tcMar>
          </w:tcPr>
          <w:p>
            <w:r>
              <w:rPr>
                <w:b w:val="false"/>
                <w:bCs w:val="false"/>
                <w:color w:val="000000"/>
              </w:rPr>
              <w:t xml:space="preserve">Largest existing Amazon.de search demand - funds the brand while differentiated products are built</w:t>
            </w:r>
          </w:p>
        </w:tc>
      </w:tr>
      <w:tr>
        <w:tc>
          <w:tcPr>
            <w:tcW w:type="dxa" w:w="500"/>
            <w:shd w:fill="F2F2F2" w:val="clear"/>
            <w:tcMar>
              <w:top w:type="dxa" w:w="80"/>
              <w:left w:type="dxa" w:w="100"/>
              <w:bottom w:type="dxa" w:w="80"/>
              <w:right w:type="dxa" w:w="100"/>
            </w:tcMar>
          </w:tcPr>
          <w:p>
            <w:r>
              <w:rPr>
                <w:b w:val="false"/>
                <w:bCs w:val="false"/>
                <w:color w:val="000000"/>
              </w:rPr>
              <w:t xml:space="preserve">3</w:t>
            </w:r>
          </w:p>
        </w:tc>
        <w:tc>
          <w:tcPr>
            <w:tcW w:type="dxa" w:w="2400"/>
            <w:shd w:fill="F2F2F2" w:val="clear"/>
            <w:tcMar>
              <w:top w:type="dxa" w:w="80"/>
              <w:left w:type="dxa" w:w="100"/>
              <w:bottom w:type="dxa" w:w="80"/>
              <w:right w:type="dxa" w:w="100"/>
            </w:tcMar>
          </w:tcPr>
          <w:p>
            <w:r>
              <w:rPr>
                <w:b w:val="false"/>
                <w:bCs w:val="false"/>
                <w:color w:val="000000"/>
              </w:rPr>
              <w:t xml:space="preserve">Calm &amp; Balanced Chew</w:t>
            </w:r>
          </w:p>
        </w:tc>
        <w:tc>
          <w:tcPr>
            <w:tcW w:type="dxa" w:w="1400"/>
            <w:shd w:fill="F2F2F2" w:val="clear"/>
            <w:tcMar>
              <w:top w:type="dxa" w:w="80"/>
              <w:left w:type="dxa" w:w="100"/>
              <w:bottom w:type="dxa" w:w="80"/>
              <w:right w:type="dxa" w:w="100"/>
            </w:tcMar>
          </w:tcPr>
          <w:p>
            <w:r>
              <w:rPr>
                <w:b w:val="false"/>
                <w:bCs w:val="false"/>
                <w:color w:val="000000"/>
              </w:rPr>
              <w:t xml:space="preserve">Soft chew</w:t>
            </w:r>
          </w:p>
        </w:tc>
        <w:tc>
          <w:tcPr>
            <w:tcW w:type="dxa" w:w="1400"/>
            <w:shd w:fill="F2F2F2" w:val="clear"/>
            <w:tcMar>
              <w:top w:type="dxa" w:w="80"/>
              <w:left w:type="dxa" w:w="100"/>
              <w:bottom w:type="dxa" w:w="80"/>
              <w:right w:type="dxa" w:w="100"/>
            </w:tcMar>
          </w:tcPr>
          <w:p>
            <w:r>
              <w:rPr>
                <w:b w:val="false"/>
                <w:bCs w:val="false"/>
                <w:color w:val="000000"/>
              </w:rPr>
              <w:t xml:space="preserve">20-26</w:t>
            </w:r>
          </w:p>
        </w:tc>
        <w:tc>
          <w:tcPr>
            <w:tcW w:type="dxa" w:w="3800"/>
            <w:shd w:fill="F2F2F2" w:val="clear"/>
            <w:tcMar>
              <w:top w:type="dxa" w:w="80"/>
              <w:left w:type="dxa" w:w="100"/>
              <w:bottom w:type="dxa" w:w="80"/>
              <w:right w:type="dxa" w:w="100"/>
            </w:tcMar>
          </w:tcPr>
          <w:p>
            <w:r>
              <w:rPr>
                <w:b w:val="false"/>
                <w:bCs w:val="false"/>
                <w:color w:val="000000"/>
              </w:rPr>
              <w:t xml:space="preserve">Fragmented competition, low complexity, complements the wellness story</w:t>
            </w:r>
          </w:p>
        </w:tc>
      </w:tr>
      <w:tr>
        <w:tc>
          <w:tcPr>
            <w:tcW w:type="dxa" w:w="500"/>
            <w:tcMar>
              <w:top w:type="dxa" w:w="80"/>
              <w:left w:type="dxa" w:w="100"/>
              <w:bottom w:type="dxa" w:w="80"/>
              <w:right w:type="dxa" w:w="100"/>
            </w:tcMar>
          </w:tcPr>
          <w:p>
            <w:r>
              <w:rPr>
                <w:b w:val="false"/>
                <w:bCs w:val="false"/>
                <w:color w:val="000000"/>
              </w:rPr>
              <w:t xml:space="preserve">4</w:t>
            </w:r>
          </w:p>
        </w:tc>
        <w:tc>
          <w:tcPr>
            <w:tcW w:type="dxa" w:w="2400"/>
            <w:tcMar>
              <w:top w:type="dxa" w:w="80"/>
              <w:left w:type="dxa" w:w="100"/>
              <w:bottom w:type="dxa" w:w="80"/>
              <w:right w:type="dxa" w:w="100"/>
            </w:tcMar>
          </w:tcPr>
          <w:p>
            <w:r>
              <w:rPr>
                <w:b w:val="false"/>
                <w:bCs w:val="false"/>
                <w:color w:val="000000"/>
              </w:rPr>
              <w:t xml:space="preserve">Cognitive &amp; Senior Vitality Formula</w:t>
            </w:r>
          </w:p>
        </w:tc>
        <w:tc>
          <w:tcPr>
            <w:tcW w:type="dxa" w:w="1400"/>
            <w:tcMar>
              <w:top w:type="dxa" w:w="80"/>
              <w:left w:type="dxa" w:w="100"/>
              <w:bottom w:type="dxa" w:w="80"/>
              <w:right w:type="dxa" w:w="100"/>
            </w:tcMar>
          </w:tcPr>
          <w:p>
            <w:r>
              <w:rPr>
                <w:b w:val="false"/>
                <w:bCs w:val="false"/>
                <w:color w:val="000000"/>
              </w:rPr>
              <w:t xml:space="preserve">Chew or powder</w:t>
            </w:r>
          </w:p>
        </w:tc>
        <w:tc>
          <w:tcPr>
            <w:tcW w:type="dxa" w:w="1400"/>
            <w:tcMar>
              <w:top w:type="dxa" w:w="80"/>
              <w:left w:type="dxa" w:w="100"/>
              <w:bottom w:type="dxa" w:w="80"/>
              <w:right w:type="dxa" w:w="100"/>
            </w:tcMar>
          </w:tcPr>
          <w:p>
            <w:r>
              <w:rPr>
                <w:b w:val="false"/>
                <w:bCs w:val="false"/>
                <w:color w:val="000000"/>
              </w:rPr>
              <w:t xml:space="preserve">30-40</w:t>
            </w:r>
          </w:p>
        </w:tc>
        <w:tc>
          <w:tcPr>
            <w:tcW w:type="dxa" w:w="3800"/>
            <w:tcMar>
              <w:top w:type="dxa" w:w="80"/>
              <w:left w:type="dxa" w:w="100"/>
              <w:bottom w:type="dxa" w:w="80"/>
              <w:right w:type="dxa" w:w="100"/>
            </w:tcMar>
          </w:tcPr>
          <w:p>
            <w:r>
              <w:rPr>
                <w:b w:val="false"/>
                <w:bCs w:val="false"/>
                <w:color w:val="000000"/>
              </w:rPr>
              <w:t xml:space="preserve">Top-ranked opportunity, but German demand is unvalidated - launches once brand trust exists</w:t>
            </w:r>
          </w:p>
        </w:tc>
      </w:tr>
      <w:tr>
        <w:tc>
          <w:tcPr>
            <w:tcW w:type="dxa" w:w="500"/>
            <w:shd w:fill="F2F2F2" w:val="clear"/>
            <w:tcMar>
              <w:top w:type="dxa" w:w="80"/>
              <w:left w:type="dxa" w:w="100"/>
              <w:bottom w:type="dxa" w:w="80"/>
              <w:right w:type="dxa" w:w="100"/>
            </w:tcMar>
          </w:tcPr>
          <w:p>
            <w:r>
              <w:rPr>
                <w:b w:val="false"/>
                <w:bCs w:val="false"/>
                <w:color w:val="000000"/>
              </w:rPr>
              <w:t xml:space="preserve">5</w:t>
            </w:r>
          </w:p>
        </w:tc>
        <w:tc>
          <w:tcPr>
            <w:tcW w:type="dxa" w:w="2400"/>
            <w:shd w:fill="F2F2F2" w:val="clear"/>
            <w:tcMar>
              <w:top w:type="dxa" w:w="80"/>
              <w:left w:type="dxa" w:w="100"/>
              <w:bottom w:type="dxa" w:w="80"/>
              <w:right w:type="dxa" w:w="100"/>
            </w:tcMar>
          </w:tcPr>
          <w:p>
            <w:r>
              <w:rPr>
                <w:b w:val="false"/>
                <w:bCs w:val="false"/>
                <w:color w:val="000000"/>
              </w:rPr>
              <w:t xml:space="preserve">Longevity Cellular Health Formula</w:t>
            </w:r>
          </w:p>
        </w:tc>
        <w:tc>
          <w:tcPr>
            <w:tcW w:type="dxa" w:w="1400"/>
            <w:shd w:fill="F2F2F2" w:val="clear"/>
            <w:tcMar>
              <w:top w:type="dxa" w:w="80"/>
              <w:left w:type="dxa" w:w="100"/>
              <w:bottom w:type="dxa" w:w="80"/>
              <w:right w:type="dxa" w:w="100"/>
            </w:tcMar>
          </w:tcPr>
          <w:p>
            <w:r>
              <w:rPr>
                <w:b w:val="false"/>
                <w:bCs w:val="false"/>
                <w:color w:val="000000"/>
              </w:rPr>
              <w:t xml:space="preserve">Powder or liquid</w:t>
            </w:r>
          </w:p>
        </w:tc>
        <w:tc>
          <w:tcPr>
            <w:tcW w:type="dxa" w:w="1400"/>
            <w:shd w:fill="F2F2F2" w:val="clear"/>
            <w:tcMar>
              <w:top w:type="dxa" w:w="80"/>
              <w:left w:type="dxa" w:w="100"/>
              <w:bottom w:type="dxa" w:w="80"/>
              <w:right w:type="dxa" w:w="100"/>
            </w:tcMar>
          </w:tcPr>
          <w:p>
            <w:r>
              <w:rPr>
                <w:b w:val="false"/>
                <w:bCs w:val="false"/>
                <w:color w:val="000000"/>
              </w:rPr>
              <w:t xml:space="preserve">35-50</w:t>
            </w:r>
          </w:p>
        </w:tc>
        <w:tc>
          <w:tcPr>
            <w:tcW w:type="dxa" w:w="3800"/>
            <w:shd w:fill="F2F2F2" w:val="clear"/>
            <w:tcMar>
              <w:top w:type="dxa" w:w="80"/>
              <w:left w:type="dxa" w:w="100"/>
              <w:bottom w:type="dxa" w:w="80"/>
              <w:right w:type="dxa" w:w="100"/>
            </w:tcMar>
          </w:tcPr>
          <w:p>
            <w:r>
              <w:rPr>
                <w:b w:val="false"/>
                <w:bCs w:val="false"/>
                <w:color w:val="000000"/>
              </w:rPr>
              <w:t xml:space="preserve">Client's top priority, but highest regulatory complexity and a now-identified direct competitor (mammaly) - launches once ingredient authorizations are fully confirmed</w:t>
            </w:r>
          </w:p>
        </w:tc>
      </w:tr>
    </w:tbl>
    <w:p>
      <w:pPr>
        <w:spacing w:after="180"/>
      </w:pPr>
      <w:r>
        <w:t xml:space="preserve"/>
      </w:r>
    </w:p>
    <w:p>
      <w:pPr>
        <w:spacing w:after="180"/>
      </w:pPr>
      <w:r>
        <w:t xml:space="preserve">Note: the client specifically flagged longevity as a priority category, and a reasonable case exists for sequencing it earlier despite the risks noted above. This sequence reflects a risk-management judgment and is worth discussing directly before being finalized.</w:t>
      </w:r>
    </w:p>
    <w:p>
      <w:r>
        <w:br w:type="page"/>
      </w:r>
    </w:p>
    <w:p>
      <w:pPr>
        <w:pStyle w:val="Heading1"/>
        <w:spacing w:after="180" w:before="350"/>
      </w:pPr>
      <w:r>
        <w:t xml:space="preserve">Germany-First Launch Strategy</w:t>
      </w:r>
    </w:p>
    <w:p>
      <w:pPr>
        <w:pStyle w:val="Heading2"/>
        <w:spacing w:after="120" w:before="250"/>
      </w:pPr>
      <w:r>
        <w:t xml:space="preserve">Phase 1: Germany Launch (Amazon.de-first)</w:t>
      </w:r>
    </w:p>
    <w:p>
      <w:pPr>
        <w:pStyle w:val="ListParagraph"/>
        <w:numPr>
          <w:ilvl w:val="0"/>
          <w:numId w:val="1"/>
        </w:numPr>
        <w:spacing w:after="90"/>
      </w:pPr>
      <w:r>
        <w:t xml:space="preserve">Launch Products 1 and 2 together or in close succession.</w:t>
      </w:r>
    </w:p>
    <w:p>
      <w:pPr>
        <w:pStyle w:val="ListParagraph"/>
        <w:numPr>
          <w:ilvl w:val="0"/>
          <w:numId w:val="1"/>
        </w:numPr>
        <w:spacing w:after="90"/>
      </w:pPr>
      <w:r>
        <w:t xml:space="preserve">Complete BVL feed business registration and confirm labeling responsibility before any product ships.</w:t>
      </w:r>
    </w:p>
    <w:p>
      <w:pPr>
        <w:pStyle w:val="ListParagraph"/>
        <w:numPr>
          <w:ilvl w:val="0"/>
          <w:numId w:val="1"/>
        </w:numPr>
        <w:spacing w:after="90"/>
      </w:pPr>
      <w:r>
        <w:t xml:space="preserve">Establish a batch-level Certificate of Analysis / third-party lab verification program as a brand-wide standard from day one - this is the single most defensible differentiator identified in the research.</w:t>
      </w:r>
    </w:p>
    <w:p>
      <w:pPr>
        <w:pStyle w:val="ListParagraph"/>
        <w:numPr>
          <w:ilvl w:val="0"/>
          <w:numId w:val="1"/>
        </w:numPr>
        <w:spacing w:after="90"/>
      </w:pPr>
      <w:r>
        <w:t xml:space="preserve">Prioritize Amazon.de as the primary channel, informed by Curapet's move to an Amazon-exclusive model, while maintaining a simple DTC subscription site as a secondary channel from the start.</w:t>
      </w:r>
    </w:p>
    <w:p>
      <w:pPr>
        <w:pStyle w:val="Heading2"/>
        <w:spacing w:after="120" w:before="250"/>
      </w:pPr>
      <w:r>
        <w:t xml:space="preserve">Phase 2: Germany Expansion &amp; Differentiation</w:t>
      </w:r>
    </w:p>
    <w:p>
      <w:pPr>
        <w:pStyle w:val="ListParagraph"/>
        <w:numPr>
          <w:ilvl w:val="0"/>
          <w:numId w:val="1"/>
        </w:numPr>
        <w:spacing w:after="90"/>
      </w:pPr>
      <w:r>
        <w:t xml:space="preserve">Launch Product 3 once initial review volume and brand trust are established.</w:t>
      </w:r>
    </w:p>
    <w:p>
      <w:pPr>
        <w:pStyle w:val="ListParagraph"/>
        <w:numPr>
          <w:ilvl w:val="0"/>
          <w:numId w:val="1"/>
        </w:numPr>
        <w:spacing w:after="90"/>
      </w:pPr>
      <w:r>
        <w:t xml:space="preserve">Launch Product 4 only after validating German demand at smaller scale, given this category has no proven German search-demand baseline.</w:t>
      </w:r>
    </w:p>
    <w:p>
      <w:pPr>
        <w:pStyle w:val="ListParagraph"/>
        <w:numPr>
          <w:ilvl w:val="0"/>
          <w:numId w:val="1"/>
        </w:numPr>
        <w:spacing w:after="90"/>
      </w:pPr>
      <w:r>
        <w:t xml:space="preserve">Expand into Austria and Switzerland at this stage, following mammaly's own DACH expansion pattern.</w:t>
      </w:r>
    </w:p>
    <w:p>
      <w:pPr>
        <w:pStyle w:val="Heading2"/>
        <w:spacing w:after="120" w:before="250"/>
      </w:pPr>
      <w:r>
        <w:t xml:space="preserve">Phase 3: Longevity Launch &amp; Wider European Expansion</w:t>
      </w:r>
    </w:p>
    <w:p>
      <w:pPr>
        <w:pStyle w:val="ListParagraph"/>
        <w:numPr>
          <w:ilvl w:val="0"/>
          <w:numId w:val="1"/>
        </w:numPr>
        <w:spacing w:after="90"/>
      </w:pPr>
      <w:r>
        <w:t xml:space="preserve">Launch Product 5 once all ingredient-supplier Novel Food authorizations are fully confirmed.</w:t>
      </w:r>
    </w:p>
    <w:p>
      <w:pPr>
        <w:pStyle w:val="ListParagraph"/>
        <w:numPr>
          <w:ilvl w:val="0"/>
          <w:numId w:val="1"/>
        </w:numPr>
        <w:spacing w:after="90"/>
      </w:pPr>
      <w:r>
        <w:t xml:space="preserve">Expand into the United Kingdom next - fastest-growing large market reviewed, highest existing online-channel penetration (34.8%).</w:t>
      </w:r>
    </w:p>
    <w:p>
      <w:pPr>
        <w:pStyle w:val="ListParagraph"/>
        <w:numPr>
          <w:ilvl w:val="0"/>
          <w:numId w:val="1"/>
        </w:numPr>
        <w:spacing w:after="90"/>
      </w:pPr>
      <w:r>
        <w:t xml:space="preserve">Follow with the Netherlands (fastest CAGR in Europe, 10.98%), then France, planning explicitly for its veterinary-oversight regulatory friction.</w:t>
      </w:r>
    </w:p>
    <w:p>
      <w:pPr>
        <w:pStyle w:val="ListParagraph"/>
        <w:numPr>
          <w:ilvl w:val="0"/>
          <w:numId w:val="1"/>
        </w:numPr>
        <w:spacing w:after="90"/>
      </w:pPr>
      <w:r>
        <w:t xml:space="preserve">Revisit Italy and Spain once the above markets are established, given lower category penetration identified in Southern Europe.</w:t>
      </w:r>
    </w:p>
    <w:p>
      <w:pPr>
        <w:pStyle w:val="Heading1"/>
        <w:spacing w:after="180" w:before="350"/>
      </w:pPr>
      <w:r>
        <w:t xml:space="preserve">European Expansion Priority Ranking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shd w:fill="1F4E78" w:val="clear"/>
            <w:tcMar>
              <w:top w:type="dxa" w:w="80"/>
              <w:left w:type="dxa" w:w="100"/>
              <w:bottom w:type="dxa" w:w="80"/>
              <w:right w:type="dxa" w:w="100"/>
            </w:tcMar>
          </w:tcPr>
          <w:p>
            <w:r>
              <w:rPr>
                <w:b/>
                <w:bCs/>
                <w:color w:val="FFFFFF"/>
              </w:rPr>
              <w:t xml:space="preserve">Rank</w:t>
            </w:r>
          </w:p>
        </w:tc>
        <w:tc>
          <w:tcPr>
            <w:tcW w:type="dxa" w:w="2200"/>
            <w:shd w:fill="1F4E78" w:val="clear"/>
            <w:tcMar>
              <w:top w:type="dxa" w:w="80"/>
              <w:left w:type="dxa" w:w="100"/>
              <w:bottom w:type="dxa" w:w="80"/>
              <w:right w:type="dxa" w:w="100"/>
            </w:tcMar>
          </w:tcPr>
          <w:p>
            <w:r>
              <w:rPr>
                <w:b/>
                <w:bCs/>
                <w:color w:val="FFFFFF"/>
              </w:rPr>
              <w:t xml:space="preserve">Market</w:t>
            </w:r>
          </w:p>
        </w:tc>
        <w:tc>
          <w:tcPr>
            <w:tcW w:type="dxa" w:w="6400"/>
            <w:shd w:fill="1F4E78" w:val="clear"/>
            <w:tcMar>
              <w:top w:type="dxa" w:w="80"/>
              <w:left w:type="dxa" w:w="100"/>
              <w:bottom w:type="dxa" w:w="80"/>
              <w:right w:type="dxa" w:w="100"/>
            </w:tcMar>
          </w:tcPr>
          <w:p>
            <w:r>
              <w:rPr>
                <w:b/>
                <w:bCs/>
                <w:color w:val="FFFFFF"/>
              </w:rPr>
              <w:t xml:space="preserve">Rationale</w:t>
            </w:r>
          </w:p>
        </w:tc>
      </w:tr>
      <w:tr>
        <w:tc>
          <w:tcPr>
            <w:tcW w:type="dxa" w:w="900"/>
            <w:shd w:fill="F2F2F2" w:val="clear"/>
            <w:tcMar>
              <w:top w:type="dxa" w:w="80"/>
              <w:left w:type="dxa" w:w="100"/>
              <w:bottom w:type="dxa" w:w="80"/>
              <w:right w:type="dxa" w:w="100"/>
            </w:tcMar>
          </w:tcPr>
          <w:p>
            <w:r>
              <w:rPr>
                <w:b w:val="false"/>
                <w:bCs w:val="false"/>
                <w:color w:val="000000"/>
              </w:rPr>
              <w:t xml:space="preserve">1</w:t>
            </w:r>
          </w:p>
        </w:tc>
        <w:tc>
          <w:tcPr>
            <w:tcW w:type="dxa" w:w="2200"/>
            <w:shd w:fill="F2F2F2" w:val="clear"/>
            <w:tcMar>
              <w:top w:type="dxa" w:w="80"/>
              <w:left w:type="dxa" w:w="100"/>
              <w:bottom w:type="dxa" w:w="80"/>
              <w:right w:type="dxa" w:w="100"/>
            </w:tcMar>
          </w:tcPr>
          <w:p>
            <w:r>
              <w:rPr>
                <w:b w:val="false"/>
                <w:bCs w:val="false"/>
                <w:color w:val="000000"/>
              </w:rPr>
              <w:t xml:space="preserve">Germany</w:t>
            </w:r>
          </w:p>
        </w:tc>
        <w:tc>
          <w:tcPr>
            <w:tcW w:type="dxa" w:w="6400"/>
            <w:shd w:fill="F2F2F2" w:val="clear"/>
            <w:tcMar>
              <w:top w:type="dxa" w:w="80"/>
              <w:left w:type="dxa" w:w="100"/>
              <w:bottom w:type="dxa" w:w="80"/>
              <w:right w:type="dxa" w:w="100"/>
            </w:tcMar>
          </w:tcPr>
          <w:p>
            <w:r>
              <w:rPr>
                <w:b w:val="false"/>
                <w:bCs w:val="false"/>
                <w:color w:val="000000"/>
              </w:rPr>
              <w:t xml:space="preserve">Largest dog population and market share in Europe; specified beachhead market</w:t>
            </w:r>
          </w:p>
        </w:tc>
      </w:tr>
      <w:tr>
        <w:tc>
          <w:tcPr>
            <w:tcW w:type="dxa" w:w="900"/>
            <w:tcMar>
              <w:top w:type="dxa" w:w="80"/>
              <w:left w:type="dxa" w:w="100"/>
              <w:bottom w:type="dxa" w:w="80"/>
              <w:right w:type="dxa" w:w="100"/>
            </w:tcMar>
          </w:tcPr>
          <w:p>
            <w:r>
              <w:rPr>
                <w:b w:val="false"/>
                <w:bCs w:val="false"/>
                <w:color w:val="000000"/>
              </w:rPr>
              <w:t xml:space="preserve">2</w:t>
            </w:r>
          </w:p>
        </w:tc>
        <w:tc>
          <w:tcPr>
            <w:tcW w:type="dxa" w:w="2200"/>
            <w:tcMar>
              <w:top w:type="dxa" w:w="80"/>
              <w:left w:type="dxa" w:w="100"/>
              <w:bottom w:type="dxa" w:w="80"/>
              <w:right w:type="dxa" w:w="100"/>
            </w:tcMar>
          </w:tcPr>
          <w:p>
            <w:r>
              <w:rPr>
                <w:b w:val="false"/>
                <w:bCs w:val="false"/>
                <w:color w:val="000000"/>
              </w:rPr>
              <w:t xml:space="preserve">United Kingdom</w:t>
            </w:r>
          </w:p>
        </w:tc>
        <w:tc>
          <w:tcPr>
            <w:tcW w:type="dxa" w:w="6400"/>
            <w:tcMar>
              <w:top w:type="dxa" w:w="80"/>
              <w:left w:type="dxa" w:w="100"/>
              <w:bottom w:type="dxa" w:w="80"/>
              <w:right w:type="dxa" w:w="100"/>
            </w:tcMar>
          </w:tcPr>
          <w:p>
            <w:r>
              <w:rPr>
                <w:b w:val="false"/>
                <w:bCs w:val="false"/>
                <w:color w:val="000000"/>
              </w:rPr>
              <w:t xml:space="preserve">Fastest-growing large market; highest online-channel penetration (34.8%)</w:t>
            </w:r>
          </w:p>
        </w:tc>
      </w:tr>
      <w:tr>
        <w:tc>
          <w:tcPr>
            <w:tcW w:type="dxa" w:w="900"/>
            <w:shd w:fill="F2F2F2" w:val="clear"/>
            <w:tcMar>
              <w:top w:type="dxa" w:w="80"/>
              <w:left w:type="dxa" w:w="100"/>
              <w:bottom w:type="dxa" w:w="80"/>
              <w:right w:type="dxa" w:w="100"/>
            </w:tcMar>
          </w:tcPr>
          <w:p>
            <w:r>
              <w:rPr>
                <w:b w:val="false"/>
                <w:bCs w:val="false"/>
                <w:color w:val="000000"/>
              </w:rPr>
              <w:t xml:space="preserve">3</w:t>
            </w:r>
          </w:p>
        </w:tc>
        <w:tc>
          <w:tcPr>
            <w:tcW w:type="dxa" w:w="2200"/>
            <w:shd w:fill="F2F2F2" w:val="clear"/>
            <w:tcMar>
              <w:top w:type="dxa" w:w="80"/>
              <w:left w:type="dxa" w:w="100"/>
              <w:bottom w:type="dxa" w:w="80"/>
              <w:right w:type="dxa" w:w="100"/>
            </w:tcMar>
          </w:tcPr>
          <w:p>
            <w:r>
              <w:rPr>
                <w:b w:val="false"/>
                <w:bCs w:val="false"/>
                <w:color w:val="000000"/>
              </w:rPr>
              <w:t xml:space="preserve">Netherlands</w:t>
            </w:r>
          </w:p>
        </w:tc>
        <w:tc>
          <w:tcPr>
            <w:tcW w:type="dxa" w:w="6400"/>
            <w:shd w:fill="F2F2F2" w:val="clear"/>
            <w:tcMar>
              <w:top w:type="dxa" w:w="80"/>
              <w:left w:type="dxa" w:w="100"/>
              <w:bottom w:type="dxa" w:w="80"/>
              <w:right w:type="dxa" w:w="100"/>
            </w:tcMar>
          </w:tcPr>
          <w:p>
            <w:r>
              <w:rPr>
                <w:b w:val="false"/>
                <w:bCs w:val="false"/>
                <w:color w:val="000000"/>
              </w:rPr>
              <w:t xml:space="preserve">Fastest CAGR in Europe (10.98%); progressive regulatory environment</w:t>
            </w:r>
          </w:p>
        </w:tc>
      </w:tr>
      <w:tr>
        <w:tc>
          <w:tcPr>
            <w:tcW w:type="dxa" w:w="900"/>
            <w:tcMar>
              <w:top w:type="dxa" w:w="80"/>
              <w:left w:type="dxa" w:w="100"/>
              <w:bottom w:type="dxa" w:w="80"/>
              <w:right w:type="dxa" w:w="100"/>
            </w:tcMar>
          </w:tcPr>
          <w:p>
            <w:r>
              <w:rPr>
                <w:b w:val="false"/>
                <w:bCs w:val="false"/>
                <w:color w:val="000000"/>
              </w:rPr>
              <w:t xml:space="preserve">4</w:t>
            </w:r>
          </w:p>
        </w:tc>
        <w:tc>
          <w:tcPr>
            <w:tcW w:type="dxa" w:w="2200"/>
            <w:tcMar>
              <w:top w:type="dxa" w:w="80"/>
              <w:left w:type="dxa" w:w="100"/>
              <w:bottom w:type="dxa" w:w="80"/>
              <w:right w:type="dxa" w:w="100"/>
            </w:tcMar>
          </w:tcPr>
          <w:p>
            <w:r>
              <w:rPr>
                <w:b w:val="false"/>
                <w:bCs w:val="false"/>
                <w:color w:val="000000"/>
              </w:rPr>
              <w:t xml:space="preserve">France</w:t>
            </w:r>
          </w:p>
        </w:tc>
        <w:tc>
          <w:tcPr>
            <w:tcW w:type="dxa" w:w="6400"/>
            <w:tcMar>
              <w:top w:type="dxa" w:w="80"/>
              <w:left w:type="dxa" w:w="100"/>
              <w:bottom w:type="dxa" w:w="80"/>
              <w:right w:type="dxa" w:w="100"/>
            </w:tcMar>
          </w:tcPr>
          <w:p>
            <w:r>
              <w:rPr>
                <w:b w:val="false"/>
                <w:bCs w:val="false"/>
                <w:color w:val="000000"/>
              </w:rPr>
              <w:t xml:space="preserve">Large market, tempered by veterinary-oversight requirements limiting DTC</w:t>
            </w:r>
          </w:p>
        </w:tc>
      </w:tr>
      <w:tr>
        <w:tc>
          <w:tcPr>
            <w:tcW w:type="dxa" w:w="900"/>
            <w:shd w:fill="F2F2F2" w:val="clear"/>
            <w:tcMar>
              <w:top w:type="dxa" w:w="80"/>
              <w:left w:type="dxa" w:w="100"/>
              <w:bottom w:type="dxa" w:w="80"/>
              <w:right w:type="dxa" w:w="100"/>
            </w:tcMar>
          </w:tcPr>
          <w:p>
            <w:r>
              <w:rPr>
                <w:b w:val="false"/>
                <w:bCs w:val="false"/>
                <w:color w:val="000000"/>
              </w:rPr>
              <w:t xml:space="preserve">5</w:t>
            </w:r>
          </w:p>
        </w:tc>
        <w:tc>
          <w:tcPr>
            <w:tcW w:type="dxa" w:w="2200"/>
            <w:shd w:fill="F2F2F2" w:val="clear"/>
            <w:tcMar>
              <w:top w:type="dxa" w:w="80"/>
              <w:left w:type="dxa" w:w="100"/>
              <w:bottom w:type="dxa" w:w="80"/>
              <w:right w:type="dxa" w:w="100"/>
            </w:tcMar>
          </w:tcPr>
          <w:p>
            <w:r>
              <w:rPr>
                <w:b w:val="false"/>
                <w:bCs w:val="false"/>
                <w:color w:val="000000"/>
              </w:rPr>
              <w:t xml:space="preserve">Spain</w:t>
            </w:r>
          </w:p>
        </w:tc>
        <w:tc>
          <w:tcPr>
            <w:tcW w:type="dxa" w:w="6400"/>
            <w:shd w:fill="F2F2F2" w:val="clear"/>
            <w:tcMar>
              <w:top w:type="dxa" w:w="80"/>
              <w:left w:type="dxa" w:w="100"/>
              <w:bottom w:type="dxa" w:w="80"/>
              <w:right w:type="dxa" w:w="100"/>
            </w:tcMar>
          </w:tcPr>
          <w:p>
            <w:r>
              <w:rPr>
                <w:b w:val="false"/>
                <w:bCs w:val="false"/>
                <w:color w:val="000000"/>
              </w:rPr>
              <w:t xml:space="preserve">Highest dog-owning household rate in the EU (70%), lower category penetration</w:t>
            </w:r>
          </w:p>
        </w:tc>
      </w:tr>
      <w:tr>
        <w:tc>
          <w:tcPr>
            <w:tcW w:type="dxa" w:w="900"/>
            <w:tcMar>
              <w:top w:type="dxa" w:w="80"/>
              <w:left w:type="dxa" w:w="100"/>
              <w:bottom w:type="dxa" w:w="80"/>
              <w:right w:type="dxa" w:w="100"/>
            </w:tcMar>
          </w:tcPr>
          <w:p>
            <w:r>
              <w:rPr>
                <w:b w:val="false"/>
                <w:bCs w:val="false"/>
                <w:color w:val="000000"/>
              </w:rPr>
              <w:t xml:space="preserve">6</w:t>
            </w:r>
          </w:p>
        </w:tc>
        <w:tc>
          <w:tcPr>
            <w:tcW w:type="dxa" w:w="2200"/>
            <w:tcMar>
              <w:top w:type="dxa" w:w="80"/>
              <w:left w:type="dxa" w:w="100"/>
              <w:bottom w:type="dxa" w:w="80"/>
              <w:right w:type="dxa" w:w="100"/>
            </w:tcMar>
          </w:tcPr>
          <w:p>
            <w:r>
              <w:rPr>
                <w:b w:val="false"/>
                <w:bCs w:val="false"/>
                <w:color w:val="000000"/>
              </w:rPr>
              <w:t xml:space="preserve">Italy</w:t>
            </w:r>
          </w:p>
        </w:tc>
        <w:tc>
          <w:tcPr>
            <w:tcW w:type="dxa" w:w="6400"/>
            <w:tcMar>
              <w:top w:type="dxa" w:w="80"/>
              <w:left w:type="dxa" w:w="100"/>
              <w:bottom w:type="dxa" w:w="80"/>
              <w:right w:type="dxa" w:w="100"/>
            </w:tcMar>
          </w:tcPr>
          <w:p>
            <w:r>
              <w:rPr>
                <w:b w:val="false"/>
                <w:bCs w:val="false"/>
                <w:color w:val="000000"/>
              </w:rPr>
              <w:t xml:space="preserve">Large dog population, lower supplement penetration culturally</w:t>
            </w:r>
          </w:p>
        </w:tc>
      </w:tr>
    </w:tbl>
    <w:p>
      <w:pPr>
        <w:spacing w:after="180"/>
      </w:pPr>
      <w:r>
        <w:t xml:space="preserve"/>
      </w:r>
    </w:p>
    <w:p>
      <w:pPr>
        <w:spacing w:after="180"/>
      </w:pPr>
      <w:r>
        <w:t xml:space="preserve">Full supporting detail for every figure in this summary, including source citations, is provided in the full Research Report and the Data Source Documentation spreadsheet.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2026-08-17T11:45:20.533Z</dcterms:created>
  <dcterms:modified xsi:type="dcterms:W3CDTF">2026-08-17T11:45:20.547Z</dcterms:modified>
</cp:coreProperties>
</file>

<file path=docProps/custom.xml><?xml version="1.0" encoding="utf-8"?>
<Properties xmlns="http://schemas.openxmlformats.org/officeDocument/2006/custom-properties" xmlns:vt="http://schemas.openxmlformats.org/officeDocument/2006/docPropsVTypes"/>
</file>