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8"/>
          <w:sz w:val="44"/>
          <w:szCs w:val="44"/>
        </w:rPr>
        <w:t xml:space="preserve">Amazon Market Research &amp; Competitive Analysis</w:t>
      </w:r>
    </w:p>
    <w:p>
      <w:pPr>
        <w:spacing w:after="800"/>
        <w:jc w:val="center"/>
      </w:pPr>
      <w:r>
        <w:rPr>
          <w:b/>
          <w:bCs/>
          <w:color w:val="444444"/>
          <w:sz w:val="32"/>
          <w:szCs w:val="32"/>
        </w:rPr>
        <w:t xml:space="preserve">European Dog Supplements / Longevity Brand</w:t>
      </w:r>
    </w:p>
    <w:p>
      <w:pPr>
        <w:spacing w:after="1600"/>
        <w:jc w:val="center"/>
      </w:pPr>
      <w:r>
        <w:rPr>
          <w:i/>
          <w:iCs/>
          <w:sz w:val="26"/>
          <w:szCs w:val="26"/>
        </w:rPr>
        <w:t xml:space="preserve">Market Research Report</w:t>
      </w:r>
    </w:p>
    <w:p>
      <w:pPr>
        <w:spacing w:after="100"/>
        <w:jc w:val="center"/>
      </w:pPr>
      <w:r>
        <w:rPr>
          <w:sz w:val="24"/>
          <w:szCs w:val="24"/>
        </w:rPr>
        <w:t xml:space="preserve">Prepared by: Sai Sadhasivam</w:t>
      </w:r>
    </w:p>
    <w:p>
      <w:pPr>
        <w:spacing w:after="100"/>
        <w:jc w:val="center"/>
      </w:pPr>
      <w:r>
        <w:rPr>
          <w:sz w:val="24"/>
          <w:szCs w:val="24"/>
        </w:rPr>
        <w:t xml:space="preserve">Date: August 2026</w:t>
      </w:r>
    </w:p>
    <w:p>
      <w:pPr>
        <w:jc w:val="center"/>
      </w:pPr>
      <w:r>
        <w:rPr>
          <w:sz w:val="24"/>
          <w:szCs w:val="24"/>
        </w:rPr>
        <w:t xml:space="preserve">Type: Market Research &amp; Competitive Intelligence Report</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Executive Summary</w:t>
      </w:r>
    </w:p>
    <w:p>
      <w:pPr>
        <w:spacing w:after="200"/>
      </w:pPr>
      <w:r>
        <w:t xml:space="preserve">This report presents a comprehensive market research and competitive analysis for a proposed premium dog health, longevity, and wellness supplement brand entering the European market, with Germany and Amazon.de as the initial launch market and channel, followed by wider European expansion.</w:t>
      </w:r>
    </w:p>
    <w:p>
      <w:pPr>
        <w:spacing w:after="200"/>
      </w:pPr>
      <w:r>
        <w:t xml:space="preserve">The research draws on 60 individually logged, sourced facts spanning market sizing, competitive product analysis, brand landscape, customer review mining, product formats, pricing, keyword demand, and regulatory requirements. Every figure and claim in this report traces back to a dated, publicly accessible source, logged in the accompanying Data Source Documentation spreadsheet.</w:t>
      </w:r>
    </w:p>
    <w:p>
      <w:pPr>
        <w:spacing w:after="120"/>
      </w:pPr>
      <w:r>
        <w:rPr>
          <w:b/>
          <w:bCs/>
        </w:rPr>
        <w:t xml:space="preserve">Key findings:</w:t>
      </w:r>
    </w:p>
    <w:p>
      <w:pPr>
        <w:pStyle w:val="ListParagraph"/>
        <w:numPr>
          <w:ilvl w:val="0"/>
          <w:numId w:val="1"/>
        </w:numPr>
        <w:spacing w:after="100"/>
      </w:pPr>
      <w:r>
        <w:t xml:space="preserve">Germany is the largest single dog-supplement market in Europe (approximately 20-26% share depending on category definition), with a 10.5-10.6 million dog population and a category growing at an estimated 7-9% CAGR.</w:t>
      </w:r>
    </w:p>
    <w:p>
      <w:pPr>
        <w:pStyle w:val="ListParagraph"/>
        <w:numPr>
          <w:ilvl w:val="0"/>
          <w:numId w:val="1"/>
        </w:numPr>
        <w:spacing w:after="100"/>
      </w:pPr>
      <w:r>
        <w:t xml:space="preserve">The joint and mobility category is the largest and most competitive category researched, generating an estimated EUR330,000 per year on Amazon.de alone across 15+ tracked products, with the top 5 brands capturing 68% of demand.</w:t>
      </w:r>
    </w:p>
    <w:p>
      <w:pPr>
        <w:pStyle w:val="ListParagraph"/>
        <w:numPr>
          <w:ilvl w:val="0"/>
          <w:numId w:val="1"/>
        </w:numPr>
        <w:spacing w:after="100"/>
      </w:pPr>
      <w:r>
        <w:t xml:space="preserve">Independent lab testing found that a meaningful share of pet joint supplements on the market do not contain their labeled active ingredient content, in some cases with contamination. This is a documented, industry-wide trust gap and a genuine, provable differentiation opportunity for a new entrant.</w:t>
      </w:r>
    </w:p>
    <w:p>
      <w:pPr>
        <w:pStyle w:val="ListParagraph"/>
        <w:numPr>
          <w:ilvl w:val="0"/>
          <w:numId w:val="1"/>
        </w:numPr>
        <w:spacing w:after="100"/>
      </w:pPr>
      <w:r>
        <w:t xml:space="preserve">Cognitive and brain health support has zero identified equivalent products on Amazon.de, despite a mature, well-funded US market and a biotech firm (Loyal) nearing FDA approval for the first-ever lifespan-extension drug for dogs. This is the strongest 'high demand elsewhere, no EU competition' signal identified in the research.</w:t>
      </w:r>
    </w:p>
    <w:p>
      <w:pPr>
        <w:pStyle w:val="ListParagraph"/>
        <w:numPr>
          <w:ilvl w:val="0"/>
          <w:numId w:val="1"/>
        </w:numPr>
        <w:spacing w:after="100"/>
      </w:pPr>
      <w:r>
        <w:t xml:space="preserve">The client's stated priority category, longevity and healthspan, is a real and viable opportunity, but narrower than initially assessed: the closest direct competitor, mammaly, already operates a dedicated 'Langlebigkeit' (Longevity) product line in German. In addition, NMN, the most commonly used longevity ingredient in the US market, is not authorized for sale in the EU, requiring an alternative ingredient strategy built on trans-resveratrol, Nicotinamide Riboside, or L-ergothioneine.</w:t>
      </w:r>
    </w:p>
    <w:p>
      <w:pPr>
        <w:pStyle w:val="ListParagraph"/>
        <w:numPr>
          <w:ilvl w:val="0"/>
          <w:numId w:val="1"/>
        </w:numPr>
        <w:spacing w:after="100"/>
      </w:pPr>
      <w:r>
        <w:t xml:space="preserve">Based on an 11-criterion Opportunity Matrix, this report recommends a 5-product launch portfolio, sequenced to balance near-term demand capture against longer-term differentiation, detailed in Section 15.</w:t>
      </w:r>
    </w:p>
    <w:p>
      <w:pPr>
        <w:pStyle w:val="Heading1"/>
        <w:spacing w:after="200" w:before="400"/>
      </w:pPr>
      <w:r>
        <w:t xml:space="preserve">1. Introduction and Methodology</w:t>
      </w:r>
    </w:p>
    <w:p>
      <w:pPr>
        <w:spacing w:after="200"/>
      </w:pPr>
      <w:r>
        <w:t xml:space="preserve">This research was commissioned to support the exploratory launch of a premium dog health, longevity, and wellness supplement brand in Europe, initially focused on Germany and Amazon.de, with the objective of expanding across major European markets.</w:t>
      </w:r>
    </w:p>
    <w:p>
      <w:pPr>
        <w:spacing w:after="200"/>
      </w:pPr>
      <w:r>
        <w:t xml:space="preserve">The research followed a five-stage process: scope definition, source collection across eleven research areas (European market sizing, Germany deep dive, Amazon.de competitive analysis, product category demand and competition, longevity opportunity, brand and competitor analysis, customer review mining, product formats, pricing, keyword and search demand, and regulatory and market entry requirements), synthesis into a master analysis matrix, an 11-criterion Opportunity Matrix scoring exercise, and finally, product recommendations and launch sequencing.</w:t>
      </w:r>
    </w:p>
    <w:p>
      <w:pPr>
        <w:spacing w:after="200"/>
      </w:pPr>
      <w:r>
        <w:t xml:space="preserve">Sourcing standards: only publicly available, credible sources were used, including company and brand websites, live Amazon.de and Amazon.com listings, professional market research firms, government and regulatory bodies (including the BVL and EUR-Lex), and reputable news and trade publications. Verified data (directly observed listing data, official regulatory text) is distinguished from estimates (modeled market sizing, third-party analytics tools) throughout this report and in the underlying source log. Where sources disagreed, the discrepancy is stated rather than silently resolved.</w:t>
      </w:r>
    </w:p>
    <w:p>
      <w:pPr>
        <w:spacing w:after="200"/>
      </w:pPr>
      <w:r>
        <w:t xml:space="preserve">A note on data limitations: this research was conducted without direct access to paid Amazon research tools such as Helium 10, Jungle Scout, or Keepa. Where the brief specifically requested tool-verified Best Seller Rank or exact monthly revenue figures, this report uses the best available public data and third-party estimation tools instead, and flags this limitation explicitly rather than presenting estimates as verified figures. A full list of open data gaps and recommended next steps is provided in Section 17.</w:t>
      </w:r>
    </w:p>
    <w:p>
      <w:pPr>
        <w:pStyle w:val="Heading1"/>
        <w:spacing w:after="200" w:before="400"/>
      </w:pPr>
      <w:r>
        <w:t xml:space="preserve">2. European Market Overview</w:t>
      </w:r>
    </w:p>
    <w:p>
      <w:pPr>
        <w:pStyle w:val="Heading2"/>
        <w:spacing w:after="150" w:before="300"/>
      </w:pPr>
      <w:r>
        <w:t xml:space="preserve">2.1 Market Size and Growth</w:t>
      </w:r>
    </w:p>
    <w:p>
      <w:pPr>
        <w:spacing w:after="200"/>
      </w:pPr>
      <w:r>
        <w:t xml:space="preserve">Market sizing estimates for the European pet supplements category vary meaningfully depending on source and category definition. Using the narrower 'pet supplements' definition, the European market is estimated at approximately EUR784 million to EUR920 million in 2026. Using the broader 'pet nutraceuticals' definition, which includes functional pet food ingredients, the market is estimated at approximately EUR1.96 billion in 2026. Growth estimates range from 6.0% to 8.05% CAGR depending on the category definition used.</w:t>
      </w:r>
    </w:p>
    <w:p>
      <w:pPr>
        <w:spacing w:after="200"/>
      </w:pPr>
      <w:r>
        <w:t xml:space="preserve">Europe is home to an estimated 299 million pets, with approximately 139 million households (roughly 50% penetration) owning at least one pet, and an estimated 104 million dogs in European households, representing 47.2% of all pets. Globally, dogs represent 63.1% of pet supplement category demand by value, with hip and joint support the single largest functional sub-category at 21.6% of demand.</w:t>
      </w:r>
    </w:p>
    <w:p>
      <w:pPr>
        <w:spacing w:after="200"/>
      </w:pPr>
      <w:r>
        <w:t xml:space="preserve">Offline retail remains the dominant distribution channel for pet supplements (approximately 76.5% of sales globally), but online channels are consistently the fastest-growing route to market in every country-level report reviewed.</w:t>
      </w:r>
    </w:p>
    <w:p>
      <w:pPr>
        <w:pStyle w:val="Heading2"/>
        <w:spacing w:after="150" w:before="300"/>
      </w:pPr>
      <w:r>
        <w:t xml:space="preserve">2.2 Country Comparison and Market Prioritization</w:t>
      </w:r>
    </w:p>
    <w:p>
      <w:pPr>
        <w:spacing w:after="200"/>
      </w:pPr>
      <w:r>
        <w:t xml:space="preserve">The following table ranks the European markets assessed in this research by attractiveness for a new entrant.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1F4E78" w:val="clear"/>
            <w:tcMar>
              <w:top w:type="dxa" w:w="80"/>
              <w:left w:type="dxa" w:w="100"/>
              <w:bottom w:type="dxa" w:w="80"/>
              <w:right w:type="dxa" w:w="100"/>
            </w:tcMar>
          </w:tcPr>
          <w:p>
            <w:r>
              <w:rPr>
                <w:b/>
                <w:bCs/>
                <w:color w:val="FFFFFF"/>
              </w:rPr>
              <w:t xml:space="preserve">Rank</w:t>
            </w:r>
          </w:p>
        </w:tc>
        <w:tc>
          <w:tcPr>
            <w:tcW w:type="dxa" w:w="2200"/>
            <w:shd w:fill="1F4E78" w:val="clear"/>
            <w:tcMar>
              <w:top w:type="dxa" w:w="80"/>
              <w:left w:type="dxa" w:w="100"/>
              <w:bottom w:type="dxa" w:w="80"/>
              <w:right w:type="dxa" w:w="100"/>
            </w:tcMar>
          </w:tcPr>
          <w:p>
            <w:r>
              <w:rPr>
                <w:b/>
                <w:bCs/>
                <w:color w:val="FFFFFF"/>
              </w:rPr>
              <w:t xml:space="preserve">Country</w:t>
            </w:r>
          </w:p>
        </w:tc>
        <w:tc>
          <w:tcPr>
            <w:tcW w:type="dxa" w:w="6400"/>
            <w:shd w:fill="1F4E78" w:val="clear"/>
            <w:tcMar>
              <w:top w:type="dxa" w:w="80"/>
              <w:left w:type="dxa" w:w="100"/>
              <w:bottom w:type="dxa" w:w="80"/>
              <w:right w:type="dxa" w:w="100"/>
            </w:tcMar>
          </w:tcPr>
          <w:p>
            <w:r>
              <w:rPr>
                <w:b/>
                <w:bCs/>
                <w:color w:val="FFFFFF"/>
              </w:rPr>
              <w:t xml:space="preserve">Rationale</w:t>
            </w:r>
          </w:p>
        </w:tc>
      </w:tr>
      <w:tr>
        <w:tc>
          <w:tcPr>
            <w:tcW w:type="dxa" w:w="900"/>
            <w:shd w:fill="F2F2F2" w:val="clear"/>
            <w:tcMar>
              <w:top w:type="dxa" w:w="80"/>
              <w:left w:type="dxa" w:w="100"/>
              <w:bottom w:type="dxa" w:w="80"/>
              <w:right w:type="dxa" w:w="100"/>
            </w:tcMar>
          </w:tcPr>
          <w:p>
            <w:r>
              <w:rPr>
                <w:b w:val="false"/>
                <w:bCs w:val="false"/>
                <w:color w:val="000000"/>
              </w:rPr>
              <w:t xml:space="preserve">1</w:t>
            </w:r>
          </w:p>
        </w:tc>
        <w:tc>
          <w:tcPr>
            <w:tcW w:type="dxa" w:w="2200"/>
            <w:shd w:fill="F2F2F2" w:val="clear"/>
            <w:tcMar>
              <w:top w:type="dxa" w:w="80"/>
              <w:left w:type="dxa" w:w="100"/>
              <w:bottom w:type="dxa" w:w="80"/>
              <w:right w:type="dxa" w:w="100"/>
            </w:tcMar>
          </w:tcPr>
          <w:p>
            <w:r>
              <w:rPr>
                <w:b w:val="false"/>
                <w:bCs w:val="false"/>
                <w:color w:val="000000"/>
              </w:rPr>
              <w:t xml:space="preserve">Germany</w:t>
            </w:r>
          </w:p>
        </w:tc>
        <w:tc>
          <w:tcPr>
            <w:tcW w:type="dxa" w:w="6400"/>
            <w:shd w:fill="F2F2F2" w:val="clear"/>
            <w:tcMar>
              <w:top w:type="dxa" w:w="80"/>
              <w:left w:type="dxa" w:w="100"/>
              <w:bottom w:type="dxa" w:w="80"/>
              <w:right w:type="dxa" w:w="100"/>
            </w:tcMar>
          </w:tcPr>
          <w:p>
            <w:r>
              <w:rPr>
                <w:b w:val="false"/>
                <w:bCs w:val="false"/>
                <w:color w:val="000000"/>
              </w:rPr>
              <w:t xml:space="preserve">Largest dog population and pet nutraceuticals share in Europe (20-26% depending on category); specified beachhead market in the brief; strong existing e-commerce infrastructure</w:t>
            </w:r>
          </w:p>
        </w:tc>
      </w:tr>
      <w:tr>
        <w:tc>
          <w:tcPr>
            <w:tcW w:type="dxa" w:w="900"/>
            <w:tcMar>
              <w:top w:type="dxa" w:w="80"/>
              <w:left w:type="dxa" w:w="100"/>
              <w:bottom w:type="dxa" w:w="80"/>
              <w:right w:type="dxa" w:w="100"/>
            </w:tcMar>
          </w:tcPr>
          <w:p>
            <w:r>
              <w:rPr>
                <w:b w:val="false"/>
                <w:bCs w:val="false"/>
                <w:color w:val="000000"/>
              </w:rPr>
              <w:t xml:space="preserve">2</w:t>
            </w:r>
          </w:p>
        </w:tc>
        <w:tc>
          <w:tcPr>
            <w:tcW w:type="dxa" w:w="2200"/>
            <w:tcMar>
              <w:top w:type="dxa" w:w="80"/>
              <w:left w:type="dxa" w:w="100"/>
              <w:bottom w:type="dxa" w:w="80"/>
              <w:right w:type="dxa" w:w="100"/>
            </w:tcMar>
          </w:tcPr>
          <w:p>
            <w:r>
              <w:rPr>
                <w:b w:val="false"/>
                <w:bCs w:val="false"/>
                <w:color w:val="000000"/>
              </w:rPr>
              <w:t xml:space="preserve">United Kingdom</w:t>
            </w:r>
          </w:p>
        </w:tc>
        <w:tc>
          <w:tcPr>
            <w:tcW w:type="dxa" w:w="6400"/>
            <w:tcMar>
              <w:top w:type="dxa" w:w="80"/>
              <w:left w:type="dxa" w:w="100"/>
              <w:bottom w:type="dxa" w:w="80"/>
              <w:right w:type="dxa" w:w="100"/>
            </w:tcMar>
          </w:tcPr>
          <w:p>
            <w:r>
              <w:rPr>
                <w:b w:val="false"/>
                <w:bCs w:val="false"/>
                <w:color w:val="000000"/>
              </w:rPr>
              <w:t xml:space="preserve">Fastest-growing large market reviewed (9.93% CAGR); highest online-channel penetration already (34.8%), reducing go-to-market friction for an Amazon-first brand</w:t>
            </w:r>
          </w:p>
        </w:tc>
      </w:tr>
      <w:tr>
        <w:tc>
          <w:tcPr>
            <w:tcW w:type="dxa" w:w="900"/>
            <w:shd w:fill="F2F2F2" w:val="clear"/>
            <w:tcMar>
              <w:top w:type="dxa" w:w="80"/>
              <w:left w:type="dxa" w:w="100"/>
              <w:bottom w:type="dxa" w:w="80"/>
              <w:right w:type="dxa" w:w="100"/>
            </w:tcMar>
          </w:tcPr>
          <w:p>
            <w:r>
              <w:rPr>
                <w:b w:val="false"/>
                <w:bCs w:val="false"/>
                <w:color w:val="000000"/>
              </w:rPr>
              <w:t xml:space="preserve">3</w:t>
            </w:r>
          </w:p>
        </w:tc>
        <w:tc>
          <w:tcPr>
            <w:tcW w:type="dxa" w:w="2200"/>
            <w:shd w:fill="F2F2F2" w:val="clear"/>
            <w:tcMar>
              <w:top w:type="dxa" w:w="80"/>
              <w:left w:type="dxa" w:w="100"/>
              <w:bottom w:type="dxa" w:w="80"/>
              <w:right w:type="dxa" w:w="100"/>
            </w:tcMar>
          </w:tcPr>
          <w:p>
            <w:r>
              <w:rPr>
                <w:b w:val="false"/>
                <w:bCs w:val="false"/>
                <w:color w:val="000000"/>
              </w:rPr>
              <w:t xml:space="preserve">Netherlands</w:t>
            </w:r>
          </w:p>
        </w:tc>
        <w:tc>
          <w:tcPr>
            <w:tcW w:type="dxa" w:w="6400"/>
            <w:shd w:fill="F2F2F2" w:val="clear"/>
            <w:tcMar>
              <w:top w:type="dxa" w:w="80"/>
              <w:left w:type="dxa" w:w="100"/>
              <w:bottom w:type="dxa" w:w="80"/>
              <w:right w:type="dxa" w:w="100"/>
            </w:tcMar>
          </w:tcPr>
          <w:p>
            <w:r>
              <w:rPr>
                <w:b w:val="false"/>
                <w:bCs w:val="false"/>
                <w:color w:val="000000"/>
              </w:rPr>
              <w:t xml:space="preserve">Fastest CAGR in Europe (10.98%) despite a small dog population; progressive regulatory environment</w:t>
            </w:r>
          </w:p>
        </w:tc>
      </w:tr>
      <w:tr>
        <w:tc>
          <w:tcPr>
            <w:tcW w:type="dxa" w:w="900"/>
            <w:tcMar>
              <w:top w:type="dxa" w:w="80"/>
              <w:left w:type="dxa" w:w="100"/>
              <w:bottom w:type="dxa" w:w="80"/>
              <w:right w:type="dxa" w:w="100"/>
            </w:tcMar>
          </w:tcPr>
          <w:p>
            <w:r>
              <w:rPr>
                <w:b w:val="false"/>
                <w:bCs w:val="false"/>
                <w:color w:val="000000"/>
              </w:rPr>
              <w:t xml:space="preserve">4</w:t>
            </w:r>
          </w:p>
        </w:tc>
        <w:tc>
          <w:tcPr>
            <w:tcW w:type="dxa" w:w="2200"/>
            <w:tcMar>
              <w:top w:type="dxa" w:w="80"/>
              <w:left w:type="dxa" w:w="100"/>
              <w:bottom w:type="dxa" w:w="80"/>
              <w:right w:type="dxa" w:w="100"/>
            </w:tcMar>
          </w:tcPr>
          <w:p>
            <w:r>
              <w:rPr>
                <w:b w:val="false"/>
                <w:bCs w:val="false"/>
                <w:color w:val="000000"/>
              </w:rPr>
              <w:t xml:space="preserve">France</w:t>
            </w:r>
          </w:p>
        </w:tc>
        <w:tc>
          <w:tcPr>
            <w:tcW w:type="dxa" w:w="6400"/>
            <w:tcMar>
              <w:top w:type="dxa" w:w="80"/>
              <w:left w:type="dxa" w:w="100"/>
              <w:bottom w:type="dxa" w:w="80"/>
              <w:right w:type="dxa" w:w="100"/>
            </w:tcMar>
          </w:tcPr>
          <w:p>
            <w:r>
              <w:rPr>
                <w:b w:val="false"/>
                <w:bCs w:val="false"/>
                <w:color w:val="000000"/>
              </w:rPr>
              <w:t xml:space="preserve">Third-largest pet food market share and dog population; tempered by veterinary-oversight requirements limiting direct-to-consumer distribution</w:t>
            </w:r>
          </w:p>
        </w:tc>
      </w:tr>
      <w:tr>
        <w:tc>
          <w:tcPr>
            <w:tcW w:type="dxa" w:w="900"/>
            <w:shd w:fill="F2F2F2" w:val="clear"/>
            <w:tcMar>
              <w:top w:type="dxa" w:w="80"/>
              <w:left w:type="dxa" w:w="100"/>
              <w:bottom w:type="dxa" w:w="80"/>
              <w:right w:type="dxa" w:w="100"/>
            </w:tcMar>
          </w:tcPr>
          <w:p>
            <w:r>
              <w:rPr>
                <w:b w:val="false"/>
                <w:bCs w:val="false"/>
                <w:color w:val="000000"/>
              </w:rPr>
              <w:t xml:space="preserve">5</w:t>
            </w:r>
          </w:p>
        </w:tc>
        <w:tc>
          <w:tcPr>
            <w:tcW w:type="dxa" w:w="2200"/>
            <w:shd w:fill="F2F2F2" w:val="clear"/>
            <w:tcMar>
              <w:top w:type="dxa" w:w="80"/>
              <w:left w:type="dxa" w:w="100"/>
              <w:bottom w:type="dxa" w:w="80"/>
              <w:right w:type="dxa" w:w="100"/>
            </w:tcMar>
          </w:tcPr>
          <w:p>
            <w:r>
              <w:rPr>
                <w:b w:val="false"/>
                <w:bCs w:val="false"/>
                <w:color w:val="000000"/>
              </w:rPr>
              <w:t xml:space="preserve">Spain</w:t>
            </w:r>
          </w:p>
        </w:tc>
        <w:tc>
          <w:tcPr>
            <w:tcW w:type="dxa" w:w="6400"/>
            <w:shd w:fill="F2F2F2" w:val="clear"/>
            <w:tcMar>
              <w:top w:type="dxa" w:w="80"/>
              <w:left w:type="dxa" w:w="100"/>
              <w:bottom w:type="dxa" w:w="80"/>
              <w:right w:type="dxa" w:w="100"/>
            </w:tcMar>
          </w:tcPr>
          <w:p>
            <w:r>
              <w:rPr>
                <w:b w:val="false"/>
                <w:bCs w:val="false"/>
                <w:color w:val="000000"/>
              </w:rPr>
              <w:t xml:space="preserve">Highest dog-owning household rate in the EU (70%), tempered by lower category penetration</w:t>
            </w:r>
          </w:p>
        </w:tc>
      </w:tr>
      <w:tr>
        <w:tc>
          <w:tcPr>
            <w:tcW w:type="dxa" w:w="900"/>
            <w:tcMar>
              <w:top w:type="dxa" w:w="80"/>
              <w:left w:type="dxa" w:w="100"/>
              <w:bottom w:type="dxa" w:w="80"/>
              <w:right w:type="dxa" w:w="100"/>
            </w:tcMar>
          </w:tcPr>
          <w:p>
            <w:r>
              <w:rPr>
                <w:b w:val="false"/>
                <w:bCs w:val="false"/>
                <w:color w:val="000000"/>
              </w:rPr>
              <w:t xml:space="preserve">6</w:t>
            </w:r>
          </w:p>
        </w:tc>
        <w:tc>
          <w:tcPr>
            <w:tcW w:type="dxa" w:w="2200"/>
            <w:tcMar>
              <w:top w:type="dxa" w:w="80"/>
              <w:left w:type="dxa" w:w="100"/>
              <w:bottom w:type="dxa" w:w="80"/>
              <w:right w:type="dxa" w:w="100"/>
            </w:tcMar>
          </w:tcPr>
          <w:p>
            <w:r>
              <w:rPr>
                <w:b w:val="false"/>
                <w:bCs w:val="false"/>
                <w:color w:val="000000"/>
              </w:rPr>
              <w:t xml:space="preserve">Italy</w:t>
            </w:r>
          </w:p>
        </w:tc>
        <w:tc>
          <w:tcPr>
            <w:tcW w:type="dxa" w:w="6400"/>
            <w:tcMar>
              <w:top w:type="dxa" w:w="80"/>
              <w:left w:type="dxa" w:w="100"/>
              <w:bottom w:type="dxa" w:w="80"/>
              <w:right w:type="dxa" w:w="100"/>
            </w:tcMar>
          </w:tcPr>
          <w:p>
            <w:r>
              <w:rPr>
                <w:b w:val="false"/>
                <w:bCs w:val="false"/>
                <w:color w:val="000000"/>
              </w:rPr>
              <w:t xml:space="preserve">Large dog population but lower supplement penetration due to a cultural preference for fresh-food diets</w:t>
            </w:r>
          </w:p>
        </w:tc>
      </w:tr>
    </w:tbl>
    <w:p>
      <w:pPr>
        <w:spacing w:after="200"/>
      </w:pPr>
      <w:r>
        <w:t xml:space="preserve"/>
      </w:r>
    </w:p>
    <w:p>
      <w:pPr>
        <w:pStyle w:val="Heading1"/>
        <w:spacing w:after="200" w:before="400"/>
      </w:pPr>
      <w:r>
        <w:t xml:space="preserve">3. Germany Deep Dive</w:t>
      </w:r>
    </w:p>
    <w:p>
      <w:pPr>
        <w:spacing w:after="200"/>
      </w:pPr>
      <w:r>
        <w:t xml:space="preserve">Germany accounts for an estimated 20-26% of the European pet nutraceuticals market and has the largest dog population in Europe at 10.5-10.6 million dogs, with roughly 21% of German households owning a dog. The category is growing at an estimated 7-9% CAGR.</w:t>
      </w:r>
    </w:p>
    <w:p>
      <w:pPr>
        <w:spacing w:after="200"/>
      </w:pPr>
      <w:r>
        <w:t xml:space="preserve">Offline retail still generates approximately 80% of German pet category revenue, led by Fressnapf, which held an estimated 69% share of German pet supply retail as of the most recent data found (2021, potentially dated). E-commerce, including Amazon.de, pure-play online retailers, and direct-to-consumer brand sites, represents an estimated 25-30% of German pet supplement sales, projected to grow to 35-40% by 2035.</w:t>
      </w:r>
    </w:p>
    <w:p>
      <w:pPr>
        <w:spacing w:after="200"/>
      </w:pPr>
      <w:r>
        <w:t xml:space="preserve">A directly relevant signal for an Amazon-first entrant: the German brand Curapet announced it is closing its own webshop in February 2026 to sell exclusively through Amazon, indicating that Amazon.de is becoming a primary distribution channel in this category, not merely a secondary one.</w:t>
      </w:r>
    </w:p>
    <w:p>
      <w:pPr>
        <w:spacing w:after="200"/>
      </w:pPr>
      <w:r>
        <w:t xml:space="preserve">Mammaly, a Cologne and Berlin based direct-to-consumer challenger brand, is the closest identified direct competitor to the client's proposed brand. Mammaly raised a EUR14 million Series A in 2023, operates a subscription model, sells functional soft chews across joint, dental, coat, and digestive categories, and has also launched a dedicated 'Langlebigkeit' (Longevity) product line, discussed further in Section 7.</w:t>
      </w:r>
    </w:p>
    <w:p>
      <w:pPr>
        <w:pStyle w:val="Heading1"/>
        <w:spacing w:after="200" w:before="400"/>
      </w:pPr>
      <w:r>
        <w:t xml:space="preserve">4. Amazon.de Competitive Landscape</w:t>
      </w:r>
    </w:p>
    <w:p>
      <w:pPr>
        <w:spacing w:after="200"/>
      </w:pPr>
      <w:r>
        <w:t xml:space="preserve">The joint and mobility category is the largest and most competitive category identified on Amazon.de, with an estimated EUR330,000 in annual revenue across 15 tracked products from 18 sellers and 15 brands. The top 5 products capture an estimated 68% of category demand. Average listing price across the niche is approximately EUR25.48, ranging from EUR18.26 to EUR36.33.</w:t>
      </w:r>
    </w:p>
    <w:p>
      <w:pPr>
        <w:spacing w:after="200"/>
      </w:pPr>
      <w:r>
        <w:t xml:space="preserve">Leading products observed include an Amazon's Choice badged listing at EUR29.95, a second bestseller at EUR23.75 with 9,400 ratings, NatiVivo's Gelenkkomplex at EUR25.87, mammaly's own Gelenktabletten, and Veddelholzer, which has accumulated more than 9,000 reviews behind a self-published 'comparison test winner' claim. YuMOVE anchors the top of the price range at approximately EUR70 for a 240-tablet pack.</w:t>
      </w:r>
    </w:p>
    <w:p>
      <w:pPr>
        <w:spacing w:after="200"/>
      </w:pPr>
      <w:r>
        <w:t xml:space="preserve">The probiotics and digestive health category shows a more fragmented competitive picture, with no single dominant brand identified. Purina's veterinary-channel Fortiflora, Lintbells' YuDIGEST, and OMNi BiOTiC compete without a clear category leader, a pattern consistent with the genuine white-space finding discussed in Section 6.</w:t>
      </w:r>
    </w:p>
    <w:p>
      <w:pPr>
        <w:spacing w:after="200"/>
      </w:pPr>
      <w:r>
        <w:t xml:space="preserve">This report was not able to pull live Best Seller Rank, exact Buy Box status, or precise monthly unit sales data, as no paid Amazon research tool (Helium 10, Jungle Scout, or Keepa) was available for this research pass. The figures above are drawn from live Amazon.de search results, editorial comparison content, and a third-party Amazon analytics estimation tool (Flapen), and should be treated as directionally accurate rather than exact.</w:t>
      </w:r>
    </w:p>
    <w:p>
      <w:pPr>
        <w:pStyle w:val="Heading1"/>
        <w:spacing w:after="200" w:before="400"/>
      </w:pPr>
      <w:r>
        <w:t xml:space="preserve">5. Product Category Demand and Competition</w:t>
      </w:r>
    </w:p>
    <w:p>
      <w:pPr>
        <w:spacing w:after="200"/>
      </w:pPr>
      <w:r>
        <w:t xml:space="preserve">All sixteen product categories named in the original brief were assessed for demand and competition. The following categories showed genuine high-demand, low-competition characteristics:</w:t>
      </w:r>
    </w:p>
    <w:p>
      <w:pPr>
        <w:pStyle w:val="ListParagraph"/>
        <w:numPr>
          <w:ilvl w:val="0"/>
          <w:numId w:val="1"/>
        </w:numPr>
        <w:spacing w:after="100"/>
      </w:pPr>
      <w:r>
        <w:t xml:space="preserve">Cognitive and brain health: zero equivalent products identified on Amazon.de, against a mature multi-brand US market and significant biotech investment in canine longevity drugs (see Section 7).</w:t>
      </w:r>
    </w:p>
    <w:p>
      <w:pPr>
        <w:pStyle w:val="ListParagraph"/>
        <w:numPr>
          <w:ilvl w:val="0"/>
          <w:numId w:val="1"/>
        </w:numPr>
        <w:spacing w:after="100"/>
      </w:pPr>
      <w:r>
        <w:t xml:space="preserve">Gut health and probiotics: fragmented competition with no entrenched leader, strong repeat-purchase potential, and low regulatory complexity.</w:t>
      </w:r>
    </w:p>
    <w:p>
      <w:pPr>
        <w:pStyle w:val="ListParagraph"/>
        <w:numPr>
          <w:ilvl w:val="0"/>
          <w:numId w:val="1"/>
        </w:numPr>
        <w:spacing w:after="100"/>
      </w:pPr>
      <w:r>
        <w:t xml:space="preserve">Calming and stress support: fragmented brand landscape without a dominant reviewed leader.</w:t>
      </w:r>
    </w:p>
    <w:p>
      <w:pPr>
        <w:spacing w:after="200"/>
      </w:pPr>
      <w:r>
        <w:t xml:space="preserve">Several categories showed high demand but weak opportunity due to saturation or commoditization, notably joint and mobility (saturated, top 5 brands hold 68% of demand) and skin and coat / omega-3 (salmon oil is the default format, but the category is highly commoditized with little room for differentiation on ingredients alone).</w:t>
      </w:r>
    </w:p>
    <w:p>
      <w:pPr>
        <w:spacing w:after="200"/>
      </w:pPr>
      <w:r>
        <w:t xml:space="preserve">Weight management was found to be addressed almost entirely through prescription and diet food rather than standalone supplements in the German market, and is treated as out of scope for a supplement-only brand. Antioxidants and metabolic health did not emerge as standalone product categories in this market; they appear only as ingredient-level claims within other formulas.</w:t>
      </w:r>
    </w:p>
    <w:p>
      <w:pPr>
        <w:pStyle w:val="Heading1"/>
        <w:spacing w:after="200" w:before="400"/>
      </w:pPr>
      <w:r>
        <w:t xml:space="preserve">6. Longevity and Healthspan Opportunity</w:t>
      </w:r>
    </w:p>
    <w:p>
      <w:pPr>
        <w:spacing w:after="200"/>
      </w:pPr>
      <w:r>
        <w:t xml:space="preserve">The longevity and healthspan category was flagged by the client as a particular priority, and the research findings on this category evolved meaningfully over the course of the project and are presented here in full, including a correction to an earlier finding.</w:t>
      </w:r>
    </w:p>
    <w:p>
      <w:pPr>
        <w:spacing w:after="200"/>
      </w:pPr>
      <w:r>
        <w:t xml:space="preserve">The US market for canine longevity products is well established and well funded. Loyal, a US biotechnology company, has raised more than USD150 million and has two drug candidates, LOY-001 and LOY-002, that have received FDA support and are targeting conditional approval in 2026, which would represent the first-ever regulatory approval of a lifespan-extension drug in any species. Separately, the Dog Aging Project, an academic research consortium, is running a large-scale clinical trial of rapamycin in more than 1,000 dogs. On the consumer supplement side, established US brands sell NAD+ precursor formulas, apoaequorin-based cognitive support products (Neutricks), and other longevity-branded supplements, none of which have a direct German equivalent found on Amazon.de.</w:t>
      </w:r>
    </w:p>
    <w:p>
      <w:pPr>
        <w:spacing w:after="120"/>
      </w:pPr>
      <w:r>
        <w:rPr>
          <w:b/>
          <w:bCs/>
        </w:rPr>
        <w:t xml:space="preserve">Correction to an earlier finding:</w:t>
      </w:r>
    </w:p>
    <w:p>
      <w:pPr>
        <w:spacing w:after="200"/>
      </w:pPr>
      <w:r>
        <w:t xml:space="preserve">Earlier research in this project (Section 2.4/2.5, reflected in the Master Analysis matrix) concluded there was no longevity-category competition in the German market, based on an Amazon.de-specific search. Subsequent keyword research identified that mammaly, the client's closest direct competitor, already operates a dedicated 'Langlebigkeit' (Longevity) product collection on its own website, including a 'Long Life Zellpower' antioxidant product marketed around slowing the aging process. This finding was not hidden or minimized; it is presented here because it materially changes the competitive picture for this specific category.</w:t>
      </w:r>
    </w:p>
    <w:p>
      <w:pPr>
        <w:spacing w:after="200"/>
      </w:pPr>
      <w:r>
        <w:t xml:space="preserve">The opportunity is therefore narrower than first assessed: not the creation of an entirely new category in the German market, but differentiation from mammaly specifically, and differentiation on Amazon.de as a channel, where no longevity-positioned product was identified during this research.</w:t>
      </w:r>
    </w:p>
    <w:p>
      <w:pPr>
        <w:spacing w:after="120"/>
      </w:pPr>
      <w:r>
        <w:rPr>
          <w:b/>
          <w:bCs/>
        </w:rPr>
        <w:t xml:space="preserve">Regulatory constraint:</w:t>
      </w:r>
    </w:p>
    <w:p>
      <w:pPr>
        <w:spacing w:after="200"/>
      </w:pPr>
      <w:r>
        <w:t xml:space="preserve">NMN (nicotinamide mononucleotide), the most commonly used ingredient in US longevity supplements, is classified as a Novel Food under EU Regulation 2015/2283 and is not currently authorized for sale in the EU. A positive EFSA safety opinion was issued for one specific applicant's product in May 2026, but full authorization was not yet in place as of this research. A compliant EU longevity formula is achievable, but must be built on already-authorized ingredients: trans-resveratrol (authorized up to 150mg per day), Nicotinamide Riboside (authorized only when sourced from a licensed supplier), or L-ergothioneine (authorized up to 30mg per day from a single licensed supplier). This is a real formulation path, not a dead end, but it requires supplier-level regulatory diligence, not simple replication of a US product formula.</w:t>
      </w:r>
    </w:p>
    <w:p>
      <w:pPr>
        <w:pStyle w:val="Heading1"/>
        <w:spacing w:after="200" w:before="400"/>
      </w:pPr>
      <w:r>
        <w:t xml:space="preserve">7. Competitor and Brand Landscape</w:t>
      </w:r>
    </w:p>
    <w:p>
      <w:pPr>
        <w:spacing w:after="200"/>
      </w:pPr>
      <w:r>
        <w:t xml:space="preserve">Twenty brands were profiled across established German and European brands, Amazon-native brands, premium veterinary and clinical brands, direct-to-consumer challengers, and innovative brands signaling future European trends. The full profiles, including product portfolio, positioning, pricing tier, Amazon presence, and strengths and weaknesses, are provided in the accompanying Brand Analysis spreadsheet.</w:t>
      </w:r>
    </w:p>
    <w:p>
      <w:pPr>
        <w:spacing w:after="200"/>
      </w:pPr>
      <w:r>
        <w:t xml:space="preserve">Two findings are worth highlighting directly. First, Zesty Paws, a US-founded supplement brand, already operates a live German-language storefront (zestypaws.de), indicating an active or imminent entry into the German market by a well-established international competitor, not merely a brand to benchmark against. Second, Pooch &amp; Mutt, a UK direct-to-consumer brand, was acquired by Vafo Group, one of Europe's largest pet food manufacturers, indicating that consolidation is already underway in this category, which may be relevant context if brand-building is partly oriented toward a future acquisition exit.</w:t>
      </w:r>
    </w:p>
    <w:p>
      <w:pPr>
        <w:pStyle w:val="Heading1"/>
        <w:spacing w:after="200" w:before="400"/>
      </w:pPr>
      <w:r>
        <w:t xml:space="preserve">8. Customer Review Insights</w:t>
      </w:r>
    </w:p>
    <w:p>
      <w:pPr>
        <w:spacing w:after="200"/>
      </w:pPr>
      <w:r>
        <w:t xml:space="preserve">Review mining across German and English-language sources identified a consistent set of themes. The most frequently repeated complaint, in both German and English-language sources, is palatability rejection: dogs refusing to eat tablets or capsules, particularly when unflavored. The second most common complaint is a perceived lack of noticeable difference after one to two purchase cycles, often occurring before the four to six week window typically required for joint-category supplements to show a measurable effect. Mild gastrointestinal upset, usually tied to glucosamine dosing or turmeric without an absorption aid, is a recurring but generally minor complaint.</w:t>
      </w:r>
    </w:p>
    <w:p>
      <w:pPr>
        <w:spacing w:after="200"/>
      </w:pPr>
      <w:r>
        <w:t xml:space="preserve">The most significant trust-related finding is that independent laboratory testing (ConsumerLab.com, reported by NBC News) found that a meaningful share of tested pet joint supplements, in one test 4 of 6 products, did not meet their labeled glucosamine or chondroitin content, with some products showing lead contamination. A wider industry test of 87 brands found that approximately one-quarter fell short of label claims. This represents a genuine, provable, and currently underused differentiation opportunity: a published, batch-level Certificate of Analysis directly answers a documented, industry-wide credibility gap, rather than functioning as a generic marketing claim.</w:t>
      </w:r>
    </w:p>
    <w:p>
      <w:pPr>
        <w:spacing w:after="200"/>
      </w:pPr>
      <w:r>
        <w:t xml:space="preserve">Positive reviews consistently cite visible behavioral change, such as a dog resuming normal activity levels without discomfort, as the primary driver of repeat purchase, more than trust in label claims alone.</w:t>
      </w:r>
    </w:p>
    <w:p>
      <w:pPr>
        <w:pStyle w:val="Heading1"/>
        <w:spacing w:after="200" w:before="400"/>
      </w:pPr>
      <w:r>
        <w:t xml:space="preserve">9. Product Format Analysis</w:t>
      </w:r>
    </w:p>
    <w:p>
      <w:pPr>
        <w:spacing w:after="200"/>
      </w:pPr>
      <w:r>
        <w:t xml:space="preserve">Soft chews hold the largest global format share, estimated between 43.8% and 47.6% depending on source, driven by palatability and ease of administration. Tablets and capsules form the second-largest combined format globally. Powders are the fastest-growing format at an estimated 11.2% CAGR, driven by compatibility with personalized dosing and lower manufacturing cost, and liquids and gels are also a growing format.</w:t>
      </w:r>
    </w:p>
    <w:p>
      <w:pPr>
        <w:spacing w:after="200"/>
      </w:pPr>
      <w:r>
        <w:t xml:space="preserve">Every premium direct-to-consumer brand identified in this research (mammaly, YuMOVE, Zesty Paws, PetLabCo) uses a soft chew as its primary format. This report recommends soft chews as the flagship format for this brand, with powder or liquid as a secondary format for products using less palatable actives, such as a longevity formula built on resveratrol. Salmon oil, in liquid form, is already the established default format for the skin and coat / omega-3 category in Germany and should not be disrupted.</w:t>
      </w:r>
    </w:p>
    <w:p>
      <w:pPr>
        <w:spacing w:after="200"/>
      </w:pPr>
      <w:r>
        <w:t xml:space="preserve">One regulatory note requires further verification: a single source indicated that EFSA has raised concerns about certain gelling agents used in soft chews, prompting some manufacturers to reformulate with alternatives such as carrageenan and agar. This claim was not independently corroborated by a second source during this research and should be confirmed with a formulation or regulatory specialist before a chew recipe is finalized.</w:t>
      </w:r>
    </w:p>
    <w:p>
      <w:pPr>
        <w:pStyle w:val="Heading1"/>
        <w:spacing w:after="200" w:before="400"/>
      </w:pPr>
      <w:r>
        <w:t xml:space="preserve">10. Pricing Analysis</w:t>
      </w:r>
    </w:p>
    <w:p>
      <w:pPr>
        <w:spacing w:after="200"/>
      </w:pPr>
      <w:r>
        <w:t xml:space="preserve">Four pricing bands were identified in the joint and mobility category, used here as the primary pricing anchor given the depth of available data: mass market (under approximately EUR15 per pack), mid-market (approximately EUR15 to EUR25), premium (approximately EUR25 to EUR40, equivalent to roughly EUR0.60 to EUR0.90 per day), and ultra-premium (EUR40 and above, exemplified by YuMOVE at approximately EUR70 per pack).</w:t>
      </w:r>
    </w:p>
    <w:p>
      <w:pPr>
        <w:spacing w:after="200"/>
      </w:pPr>
      <w:r>
        <w:t xml:space="preserve">Mammaly and NatiVivo both price within the premium band, which is recommended as this brand's primary pricing anchor, consistent with the client's stated premium positioning. One caution is worth noting directly: a customer review was identified in which a buyer explicitly switched away from mammaly after a price increase, indicating that even engaged, brand-loyal buyers in this category have a real price ceiling. Pricing above the premium band would require a clearly provable differentiator, such as third-party lab verification or genuine category first-mover status, rather than branding alone.</w:t>
      </w:r>
    </w:p>
    <w:p>
      <w:pPr>
        <w:spacing w:after="200"/>
      </w:pPr>
      <w:r>
        <w:t xml:space="preserve">No direct German competitor exists for a longevity or cognitive product, so pricing for Products 4 and 5 in Section 15 is presented as a working hypothesis in the premium to ultra-premium range, informed by the higher input cost of EU-compliant longevity ingredients, and should be validated with direct customer research before being finalized.</w:t>
      </w:r>
    </w:p>
    <w:p>
      <w:pPr>
        <w:pStyle w:val="Heading1"/>
        <w:spacing w:after="200" w:before="400"/>
      </w:pPr>
      <w:r>
        <w:t xml:space="preserve">11. Keyword and Search Demand</w:t>
      </w:r>
    </w:p>
    <w:p>
      <w:pPr>
        <w:spacing w:after="200"/>
      </w:pPr>
      <w:r>
        <w:t xml:space="preserve">The largest and most actively searched German-language keyword cluster identified is centered on 'Gelenktabletten Hund' (joint tablets for dogs), which shows sustained content volume across comparison sites and continued search growth. General terms such as 'Nahrungsergänzung Hund' and 'Hundevitamine' show high but mature demand. 'Langlebigkeit Hund,' 'Gesundes Altern Hund,' and 'Anti-Aging Hund' are confirmed as real, actively used German-language terms in editorial and veterinary content, supporting the conclusion that consumer vocabulary and interest in the longevity category already exists in the German market, independent of any specific product, which is a meaningful factor in favor of pursuing this category despite the competitive correction noted in Section 6.</w:t>
      </w:r>
    </w:p>
    <w:p>
      <w:pPr>
        <w:spacing w:after="200"/>
      </w:pPr>
      <w:r>
        <w:t xml:space="preserve">Long-tail keyword patterns in product listing titles, such as 'Made in Germany,' 'tierärztlich geprüft' (veterinary tested), and 'laborgeprüft' (lab tested), directly mirror the trust and quality themes identified in the review mining analysis in Section 8, indicating that competing sellers are already aware of and optimizing for these buyer concerns.</w:t>
      </w:r>
    </w:p>
    <w:p>
      <w:pPr>
        <w:pStyle w:val="Heading1"/>
        <w:spacing w:after="200" w:before="400"/>
      </w:pPr>
      <w:r>
        <w:t xml:space="preserve">12. Regulatory and Market Entry Overview</w:t>
      </w:r>
    </w:p>
    <w:p>
      <w:pPr>
        <w:spacing w:after="200"/>
      </w:pPr>
      <w:r>
        <w:t xml:space="preserve">A dog supplement sold in Germany must be labeled as an 'Ergänzungsfuttermittel' (complementary feed) under EU and German feed law, and the labeling-responsible party, which may be the client's own brand rather than its contract manufacturer, is likely required to register as a feed business operator with the BVL and implement a HACCP-based safety system. Mandatory labeling elements include the feed type designation, target species, net weight, the responsible operator's name and address, a full ingredient and additive list, and prescribed analytical constituents.</w:t>
      </w:r>
    </w:p>
    <w:p>
      <w:pPr>
        <w:spacing w:after="200"/>
      </w:pPr>
      <w:r>
        <w:t xml:space="preserve">Health claim restrictions apply not only to product packaging but to all marketing communications, including website copy, Amazon listing text, and social media content. Only specific, pre-approved risk-reduction or functional claims are permitted; general disease-cure or prevention language is prohibited.</w:t>
      </w:r>
    </w:p>
    <w:p>
      <w:pPr>
        <w:spacing w:after="200"/>
      </w:pPr>
      <w:r>
        <w:t xml:space="preserve">As discussed in Section 6, longevity-specific ingredients carry meaningfully higher regulatory complexity than the other categories researched, due to Novel Food restrictions on NMN and supplier-specific authorization requirements for compliant alternatives.</w:t>
      </w:r>
    </w:p>
    <w:p>
      <w:pPr>
        <w:pStyle w:val="Heading1"/>
        <w:spacing w:after="200" w:before="400"/>
      </w:pPr>
      <w:r>
        <w:t xml:space="preserve">13. Opportunity Matrix</w:t>
      </w:r>
    </w:p>
    <w:p>
      <w:pPr>
        <w:spacing w:after="200"/>
      </w:pPr>
      <w:r>
        <w:t xml:space="preserve">Ten product categories were scored against the eleven criteria defined in the project's analytical framework: market demand, growth trajectory, competition, average selling price, margin potential, differentiation potential, repeat-purchase potential, regulatory complexity, Amazon opportunity, direct-to-consumer opportunity, and long-term brand potential. Competition and regulatory complexity are scored in inverted form, so that lower competition and lower complexity result in a higher score. Two categories from the original sixteen-item brief, antioxidants/metabolic health and weight management, were excluded from scoring because research found they do not exist as standalone product categories in this market, rather than being silently dropped.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1F4E78" w:val="clear"/>
            <w:tcMar>
              <w:top w:type="dxa" w:w="80"/>
              <w:left w:type="dxa" w:w="100"/>
              <w:bottom w:type="dxa" w:w="80"/>
              <w:right w:type="dxa" w:w="100"/>
            </w:tcMar>
          </w:tcPr>
          <w:p>
            <w:r>
              <w:rPr>
                <w:b/>
                <w:bCs/>
                <w:color w:val="FFFFFF"/>
              </w:rPr>
              <w:t xml:space="preserve">Rank</w:t>
            </w:r>
          </w:p>
        </w:tc>
        <w:tc>
          <w:tcPr>
            <w:tcW w:type="dxa" w:w="5500"/>
            <w:shd w:fill="1F4E78" w:val="clear"/>
            <w:tcMar>
              <w:top w:type="dxa" w:w="80"/>
              <w:left w:type="dxa" w:w="100"/>
              <w:bottom w:type="dxa" w:w="80"/>
              <w:right w:type="dxa" w:w="100"/>
            </w:tcMar>
          </w:tcPr>
          <w:p>
            <w:r>
              <w:rPr>
                <w:b/>
                <w:bCs/>
                <w:color w:val="FFFFFF"/>
              </w:rPr>
              <w:t xml:space="preserve">Category</w:t>
            </w:r>
          </w:p>
        </w:tc>
        <w:tc>
          <w:tcPr>
            <w:tcW w:type="dxa" w:w="3100"/>
            <w:shd w:fill="1F4E78" w:val="clear"/>
            <w:tcMar>
              <w:top w:type="dxa" w:w="80"/>
              <w:left w:type="dxa" w:w="100"/>
              <w:bottom w:type="dxa" w:w="80"/>
              <w:right w:type="dxa" w:w="100"/>
            </w:tcMar>
          </w:tcPr>
          <w:p>
            <w:r>
              <w:rPr>
                <w:b/>
                <w:bCs/>
                <w:color w:val="FFFFFF"/>
              </w:rPr>
              <w:t xml:space="preserve">Score /55</w:t>
            </w:r>
          </w:p>
        </w:tc>
      </w:tr>
      <w:tr>
        <w:tc>
          <w:tcPr>
            <w:tcW w:type="dxa" w:w="900"/>
            <w:shd w:fill="C6E0B4" w:val="clear"/>
            <w:tcMar>
              <w:top w:type="dxa" w:w="80"/>
              <w:left w:type="dxa" w:w="100"/>
              <w:bottom w:type="dxa" w:w="80"/>
              <w:right w:type="dxa" w:w="100"/>
            </w:tcMar>
          </w:tcPr>
          <w:p>
            <w:r>
              <w:rPr>
                <w:b w:val="false"/>
                <w:bCs w:val="false"/>
                <w:color w:val="000000"/>
              </w:rPr>
              <w:t xml:space="preserve">1</w:t>
            </w:r>
          </w:p>
        </w:tc>
        <w:tc>
          <w:tcPr>
            <w:tcW w:type="dxa" w:w="5500"/>
            <w:shd w:fill="C6E0B4" w:val="clear"/>
            <w:tcMar>
              <w:top w:type="dxa" w:w="80"/>
              <w:left w:type="dxa" w:w="100"/>
              <w:bottom w:type="dxa" w:w="80"/>
              <w:right w:type="dxa" w:w="100"/>
            </w:tcMar>
          </w:tcPr>
          <w:p>
            <w:r>
              <w:rPr>
                <w:b w:val="false"/>
                <w:bCs w:val="false"/>
                <w:color w:val="000000"/>
              </w:rPr>
              <w:t xml:space="preserve">Cognitive / brain health</w:t>
            </w:r>
          </w:p>
        </w:tc>
        <w:tc>
          <w:tcPr>
            <w:tcW w:type="dxa" w:w="3100"/>
            <w:shd w:fill="C6E0B4" w:val="clear"/>
            <w:tcMar>
              <w:top w:type="dxa" w:w="80"/>
              <w:left w:type="dxa" w:w="100"/>
              <w:bottom w:type="dxa" w:w="80"/>
              <w:right w:type="dxa" w:w="100"/>
            </w:tcMar>
          </w:tcPr>
          <w:p>
            <w:r>
              <w:rPr>
                <w:b w:val="false"/>
                <w:bCs w:val="false"/>
                <w:color w:val="000000"/>
              </w:rPr>
              <w:t xml:space="preserve">46</w:t>
            </w:r>
          </w:p>
        </w:tc>
      </w:tr>
      <w:tr>
        <w:tc>
          <w:tcPr>
            <w:tcW w:type="dxa" w:w="900"/>
            <w:shd w:fill="C6E0B4" w:val="clear"/>
            <w:tcMar>
              <w:top w:type="dxa" w:w="80"/>
              <w:left w:type="dxa" w:w="100"/>
              <w:bottom w:type="dxa" w:w="80"/>
              <w:right w:type="dxa" w:w="100"/>
            </w:tcMar>
          </w:tcPr>
          <w:p>
            <w:r>
              <w:rPr>
                <w:b w:val="false"/>
                <w:bCs w:val="false"/>
                <w:color w:val="000000"/>
              </w:rPr>
              <w:t xml:space="preserve">2</w:t>
            </w:r>
          </w:p>
        </w:tc>
        <w:tc>
          <w:tcPr>
            <w:tcW w:type="dxa" w:w="5500"/>
            <w:shd w:fill="C6E0B4" w:val="clear"/>
            <w:tcMar>
              <w:top w:type="dxa" w:w="80"/>
              <w:left w:type="dxa" w:w="100"/>
              <w:bottom w:type="dxa" w:w="80"/>
              <w:right w:type="dxa" w:w="100"/>
            </w:tcMar>
          </w:tcPr>
          <w:p>
            <w:r>
              <w:rPr>
                <w:b w:val="false"/>
                <w:bCs w:val="false"/>
                <w:color w:val="000000"/>
              </w:rPr>
              <w:t xml:space="preserve">Gut / digestive health &amp; probiotics</w:t>
            </w:r>
          </w:p>
        </w:tc>
        <w:tc>
          <w:tcPr>
            <w:tcW w:type="dxa" w:w="3100"/>
            <w:shd w:fill="C6E0B4" w:val="clear"/>
            <w:tcMar>
              <w:top w:type="dxa" w:w="80"/>
              <w:left w:type="dxa" w:w="100"/>
              <w:bottom w:type="dxa" w:w="80"/>
              <w:right w:type="dxa" w:w="100"/>
            </w:tcMar>
          </w:tcPr>
          <w:p>
            <w:r>
              <w:rPr>
                <w:b w:val="false"/>
                <w:bCs w:val="false"/>
                <w:color w:val="000000"/>
              </w:rPr>
              <w:t xml:space="preserve">44</w:t>
            </w:r>
          </w:p>
        </w:tc>
      </w:tr>
      <w:tr>
        <w:tc>
          <w:tcPr>
            <w:tcW w:type="dxa" w:w="900"/>
            <w:shd w:fill="FFE699" w:val="clear"/>
            <w:tcMar>
              <w:top w:type="dxa" w:w="80"/>
              <w:left w:type="dxa" w:w="100"/>
              <w:bottom w:type="dxa" w:w="80"/>
              <w:right w:type="dxa" w:w="100"/>
            </w:tcMar>
          </w:tcPr>
          <w:p>
            <w:r>
              <w:rPr>
                <w:b w:val="false"/>
                <w:bCs w:val="false"/>
                <w:color w:val="000000"/>
              </w:rPr>
              <w:t xml:space="preserve">3</w:t>
            </w:r>
          </w:p>
        </w:tc>
        <w:tc>
          <w:tcPr>
            <w:tcW w:type="dxa" w:w="5500"/>
            <w:shd w:fill="FFE699" w:val="clear"/>
            <w:tcMar>
              <w:top w:type="dxa" w:w="80"/>
              <w:left w:type="dxa" w:w="100"/>
              <w:bottom w:type="dxa" w:w="80"/>
              <w:right w:type="dxa" w:w="100"/>
            </w:tcMar>
          </w:tcPr>
          <w:p>
            <w:r>
              <w:rPr>
                <w:b w:val="false"/>
                <w:bCs w:val="false"/>
                <w:color w:val="000000"/>
              </w:rPr>
              <w:t xml:space="preserve">Longevity / healthspan</w:t>
            </w:r>
          </w:p>
        </w:tc>
        <w:tc>
          <w:tcPr>
            <w:tcW w:type="dxa" w:w="3100"/>
            <w:shd w:fill="FFE699" w:val="clear"/>
            <w:tcMar>
              <w:top w:type="dxa" w:w="80"/>
              <w:left w:type="dxa" w:w="100"/>
              <w:bottom w:type="dxa" w:w="80"/>
              <w:right w:type="dxa" w:w="100"/>
            </w:tcMar>
          </w:tcPr>
          <w:p>
            <w:r>
              <w:rPr>
                <w:b w:val="false"/>
                <w:bCs w:val="false"/>
                <w:color w:val="000000"/>
              </w:rPr>
              <w:t xml:space="preserve">42</w:t>
            </w:r>
          </w:p>
        </w:tc>
      </w:tr>
      <w:tr>
        <w:tc>
          <w:tcPr>
            <w:tcW w:type="dxa" w:w="900"/>
            <w:tcMar>
              <w:top w:type="dxa" w:w="80"/>
              <w:left w:type="dxa" w:w="100"/>
              <w:bottom w:type="dxa" w:w="80"/>
              <w:right w:type="dxa" w:w="100"/>
            </w:tcMar>
          </w:tcPr>
          <w:p>
            <w:r>
              <w:rPr>
                <w:b w:val="false"/>
                <w:bCs w:val="false"/>
                <w:color w:val="000000"/>
              </w:rPr>
              <w:t xml:space="preserve">4</w:t>
            </w:r>
          </w:p>
        </w:tc>
        <w:tc>
          <w:tcPr>
            <w:tcW w:type="dxa" w:w="5500"/>
            <w:tcMar>
              <w:top w:type="dxa" w:w="80"/>
              <w:left w:type="dxa" w:w="100"/>
              <w:bottom w:type="dxa" w:w="80"/>
              <w:right w:type="dxa" w:w="100"/>
            </w:tcMar>
          </w:tcPr>
          <w:p>
            <w:r>
              <w:rPr>
                <w:b w:val="false"/>
                <w:bCs w:val="false"/>
                <w:color w:val="000000"/>
              </w:rPr>
              <w:t xml:space="preserve">Calming / stress</w:t>
            </w:r>
          </w:p>
        </w:tc>
        <w:tc>
          <w:tcPr>
            <w:tcW w:type="dxa" w:w="3100"/>
            <w:tcMar>
              <w:top w:type="dxa" w:w="80"/>
              <w:left w:type="dxa" w:w="100"/>
              <w:bottom w:type="dxa" w:w="80"/>
              <w:right w:type="dxa" w:w="100"/>
            </w:tcMar>
          </w:tcPr>
          <w:p>
            <w:r>
              <w:rPr>
                <w:b w:val="false"/>
                <w:bCs w:val="false"/>
                <w:color w:val="000000"/>
              </w:rPr>
              <w:t xml:space="preserve">40</w:t>
            </w:r>
          </w:p>
        </w:tc>
      </w:tr>
      <w:tr>
        <w:tc>
          <w:tcPr>
            <w:tcW w:type="dxa" w:w="900"/>
            <w:shd w:fill="F2F2F2" w:val="clear"/>
            <w:tcMar>
              <w:top w:type="dxa" w:w="80"/>
              <w:left w:type="dxa" w:w="100"/>
              <w:bottom w:type="dxa" w:w="80"/>
              <w:right w:type="dxa" w:w="100"/>
            </w:tcMar>
          </w:tcPr>
          <w:p>
            <w:r>
              <w:rPr>
                <w:b w:val="false"/>
                <w:bCs w:val="false"/>
                <w:color w:val="000000"/>
              </w:rPr>
              <w:t xml:space="preserve">5 (tie)</w:t>
            </w:r>
          </w:p>
        </w:tc>
        <w:tc>
          <w:tcPr>
            <w:tcW w:type="dxa" w:w="5500"/>
            <w:shd w:fill="F2F2F2" w:val="clear"/>
            <w:tcMar>
              <w:top w:type="dxa" w:w="80"/>
              <w:left w:type="dxa" w:w="100"/>
              <w:bottom w:type="dxa" w:w="80"/>
              <w:right w:type="dxa" w:w="100"/>
            </w:tcMar>
          </w:tcPr>
          <w:p>
            <w:r>
              <w:rPr>
                <w:b w:val="false"/>
                <w:bCs w:val="false"/>
                <w:color w:val="000000"/>
              </w:rPr>
              <w:t xml:space="preserve">Dental health (ingestible sub-niche)</w:t>
            </w:r>
          </w:p>
        </w:tc>
        <w:tc>
          <w:tcPr>
            <w:tcW w:type="dxa" w:w="3100"/>
            <w:shd w:fill="F2F2F2" w:val="clear"/>
            <w:tcMar>
              <w:top w:type="dxa" w:w="80"/>
              <w:left w:type="dxa" w:w="100"/>
              <w:bottom w:type="dxa" w:w="80"/>
              <w:right w:type="dxa" w:w="100"/>
            </w:tcMar>
          </w:tcPr>
          <w:p>
            <w:r>
              <w:rPr>
                <w:b w:val="false"/>
                <w:bCs w:val="false"/>
                <w:color w:val="000000"/>
              </w:rPr>
              <w:t xml:space="preserve">38</w:t>
            </w:r>
          </w:p>
        </w:tc>
      </w:tr>
      <w:tr>
        <w:tc>
          <w:tcPr>
            <w:tcW w:type="dxa" w:w="900"/>
            <w:shd w:fill="F2F2F2" w:val="clear"/>
            <w:tcMar>
              <w:top w:type="dxa" w:w="80"/>
              <w:left w:type="dxa" w:w="100"/>
              <w:bottom w:type="dxa" w:w="80"/>
              <w:right w:type="dxa" w:w="100"/>
            </w:tcMar>
          </w:tcPr>
          <w:p>
            <w:r>
              <w:rPr>
                <w:b w:val="false"/>
                <w:bCs w:val="false"/>
                <w:color w:val="000000"/>
              </w:rPr>
              <w:t xml:space="preserve">5 (tie)</w:t>
            </w:r>
          </w:p>
        </w:tc>
        <w:tc>
          <w:tcPr>
            <w:tcW w:type="dxa" w:w="5500"/>
            <w:shd w:fill="F2F2F2" w:val="clear"/>
            <w:tcMar>
              <w:top w:type="dxa" w:w="80"/>
              <w:left w:type="dxa" w:w="100"/>
              <w:bottom w:type="dxa" w:w="80"/>
              <w:right w:type="dxa" w:w="100"/>
            </w:tcMar>
          </w:tcPr>
          <w:p>
            <w:r>
              <w:rPr>
                <w:b w:val="false"/>
                <w:bCs w:val="false"/>
                <w:color w:val="000000"/>
              </w:rPr>
              <w:t xml:space="preserve">Senior dog support</w:t>
            </w:r>
          </w:p>
        </w:tc>
        <w:tc>
          <w:tcPr>
            <w:tcW w:type="dxa" w:w="3100"/>
            <w:shd w:fill="F2F2F2" w:val="clear"/>
            <w:tcMar>
              <w:top w:type="dxa" w:w="80"/>
              <w:left w:type="dxa" w:w="100"/>
              <w:bottom w:type="dxa" w:w="80"/>
              <w:right w:type="dxa" w:w="100"/>
            </w:tcMar>
          </w:tcPr>
          <w:p>
            <w:r>
              <w:rPr>
                <w:b w:val="false"/>
                <w:bCs w:val="false"/>
                <w:color w:val="000000"/>
              </w:rPr>
              <w:t xml:space="preserve">38</w:t>
            </w:r>
          </w:p>
        </w:tc>
      </w:tr>
      <w:tr>
        <w:tc>
          <w:tcPr>
            <w:tcW w:type="dxa" w:w="900"/>
            <w:tcMar>
              <w:top w:type="dxa" w:w="80"/>
              <w:left w:type="dxa" w:w="100"/>
              <w:bottom w:type="dxa" w:w="80"/>
              <w:right w:type="dxa" w:w="100"/>
            </w:tcMar>
          </w:tcPr>
          <w:p>
            <w:r>
              <w:rPr>
                <w:b w:val="false"/>
                <w:bCs w:val="false"/>
                <w:color w:val="000000"/>
              </w:rPr>
              <w:t xml:space="preserve">7</w:t>
            </w:r>
          </w:p>
        </w:tc>
        <w:tc>
          <w:tcPr>
            <w:tcW w:type="dxa" w:w="5500"/>
            <w:tcMar>
              <w:top w:type="dxa" w:w="80"/>
              <w:left w:type="dxa" w:w="100"/>
              <w:bottom w:type="dxa" w:w="80"/>
              <w:right w:type="dxa" w:w="100"/>
            </w:tcMar>
          </w:tcPr>
          <w:p>
            <w:r>
              <w:rPr>
                <w:b w:val="false"/>
                <w:bCs w:val="false"/>
                <w:color w:val="000000"/>
              </w:rPr>
              <w:t xml:space="preserve">Joint &amp; mobility</w:t>
            </w:r>
          </w:p>
        </w:tc>
        <w:tc>
          <w:tcPr>
            <w:tcW w:type="dxa" w:w="3100"/>
            <w:tcMar>
              <w:top w:type="dxa" w:w="80"/>
              <w:left w:type="dxa" w:w="100"/>
              <w:bottom w:type="dxa" w:w="80"/>
              <w:right w:type="dxa" w:w="100"/>
            </w:tcMar>
          </w:tcPr>
          <w:p>
            <w:r>
              <w:rPr>
                <w:b w:val="false"/>
                <w:bCs w:val="false"/>
                <w:color w:val="000000"/>
              </w:rPr>
              <w:t xml:space="preserve">36</w:t>
            </w:r>
          </w:p>
        </w:tc>
      </w:tr>
      <w:tr>
        <w:tc>
          <w:tcPr>
            <w:tcW w:type="dxa" w:w="900"/>
            <w:shd w:fill="F2F2F2" w:val="clear"/>
            <w:tcMar>
              <w:top w:type="dxa" w:w="80"/>
              <w:left w:type="dxa" w:w="100"/>
              <w:bottom w:type="dxa" w:w="80"/>
              <w:right w:type="dxa" w:w="100"/>
            </w:tcMar>
          </w:tcPr>
          <w:p>
            <w:r>
              <w:rPr>
                <w:b w:val="false"/>
                <w:bCs w:val="false"/>
                <w:color w:val="000000"/>
              </w:rPr>
              <w:t xml:space="preserve">8</w:t>
            </w:r>
          </w:p>
        </w:tc>
        <w:tc>
          <w:tcPr>
            <w:tcW w:type="dxa" w:w="5500"/>
            <w:shd w:fill="F2F2F2" w:val="clear"/>
            <w:tcMar>
              <w:top w:type="dxa" w:w="80"/>
              <w:left w:type="dxa" w:w="100"/>
              <w:bottom w:type="dxa" w:w="80"/>
              <w:right w:type="dxa" w:w="100"/>
            </w:tcMar>
          </w:tcPr>
          <w:p>
            <w:r>
              <w:rPr>
                <w:b w:val="false"/>
                <w:bCs w:val="false"/>
                <w:color w:val="000000"/>
              </w:rPr>
              <w:t xml:space="preserve">Multivitamins</w:t>
            </w:r>
          </w:p>
        </w:tc>
        <w:tc>
          <w:tcPr>
            <w:tcW w:type="dxa" w:w="3100"/>
            <w:shd w:fill="F2F2F2" w:val="clear"/>
            <w:tcMar>
              <w:top w:type="dxa" w:w="80"/>
              <w:left w:type="dxa" w:w="100"/>
              <w:bottom w:type="dxa" w:w="80"/>
              <w:right w:type="dxa" w:w="100"/>
            </w:tcMar>
          </w:tcPr>
          <w:p>
            <w:r>
              <w:rPr>
                <w:b w:val="false"/>
                <w:bCs w:val="false"/>
                <w:color w:val="000000"/>
              </w:rPr>
              <w:t xml:space="preserve">34</w:t>
            </w:r>
          </w:p>
        </w:tc>
      </w:tr>
      <w:tr>
        <w:tc>
          <w:tcPr>
            <w:tcW w:type="dxa" w:w="900"/>
            <w:tcMar>
              <w:top w:type="dxa" w:w="80"/>
              <w:left w:type="dxa" w:w="100"/>
              <w:bottom w:type="dxa" w:w="80"/>
              <w:right w:type="dxa" w:w="100"/>
            </w:tcMar>
          </w:tcPr>
          <w:p>
            <w:r>
              <w:rPr>
                <w:b w:val="false"/>
                <w:bCs w:val="false"/>
                <w:color w:val="000000"/>
              </w:rPr>
              <w:t xml:space="preserve">9</w:t>
            </w:r>
          </w:p>
        </w:tc>
        <w:tc>
          <w:tcPr>
            <w:tcW w:type="dxa" w:w="5500"/>
            <w:tcMar>
              <w:top w:type="dxa" w:w="80"/>
              <w:left w:type="dxa" w:w="100"/>
              <w:bottom w:type="dxa" w:w="80"/>
              <w:right w:type="dxa" w:w="100"/>
            </w:tcMar>
          </w:tcPr>
          <w:p>
            <w:r>
              <w:rPr>
                <w:b w:val="false"/>
                <w:bCs w:val="false"/>
                <w:color w:val="000000"/>
              </w:rPr>
              <w:t xml:space="preserve">Heart / cardiovascular</w:t>
            </w:r>
          </w:p>
        </w:tc>
        <w:tc>
          <w:tcPr>
            <w:tcW w:type="dxa" w:w="3100"/>
            <w:tcMar>
              <w:top w:type="dxa" w:w="80"/>
              <w:left w:type="dxa" w:w="100"/>
              <w:bottom w:type="dxa" w:w="80"/>
              <w:right w:type="dxa" w:w="100"/>
            </w:tcMar>
          </w:tcPr>
          <w:p>
            <w:r>
              <w:rPr>
                <w:b w:val="false"/>
                <w:bCs w:val="false"/>
                <w:color w:val="000000"/>
              </w:rPr>
              <w:t xml:space="preserve">31</w:t>
            </w:r>
          </w:p>
        </w:tc>
      </w:tr>
      <w:tr>
        <w:tc>
          <w:tcPr>
            <w:tcW w:type="dxa" w:w="900"/>
            <w:shd w:fill="F2F2F2" w:val="clear"/>
            <w:tcMar>
              <w:top w:type="dxa" w:w="80"/>
              <w:left w:type="dxa" w:w="100"/>
              <w:bottom w:type="dxa" w:w="80"/>
              <w:right w:type="dxa" w:w="100"/>
            </w:tcMar>
          </w:tcPr>
          <w:p>
            <w:r>
              <w:rPr>
                <w:b w:val="false"/>
                <w:bCs w:val="false"/>
                <w:color w:val="000000"/>
              </w:rPr>
              <w:t xml:space="preserve">10</w:t>
            </w:r>
          </w:p>
        </w:tc>
        <w:tc>
          <w:tcPr>
            <w:tcW w:type="dxa" w:w="5500"/>
            <w:shd w:fill="F2F2F2" w:val="clear"/>
            <w:tcMar>
              <w:top w:type="dxa" w:w="80"/>
              <w:left w:type="dxa" w:w="100"/>
              <w:bottom w:type="dxa" w:w="80"/>
              <w:right w:type="dxa" w:w="100"/>
            </w:tcMar>
          </w:tcPr>
          <w:p>
            <w:r>
              <w:rPr>
                <w:b w:val="false"/>
                <w:bCs w:val="false"/>
                <w:color w:val="000000"/>
              </w:rPr>
              <w:t xml:space="preserve">Skin &amp; coat / Omega-3</w:t>
            </w:r>
          </w:p>
        </w:tc>
        <w:tc>
          <w:tcPr>
            <w:tcW w:type="dxa" w:w="3100"/>
            <w:shd w:fill="F2F2F2" w:val="clear"/>
            <w:tcMar>
              <w:top w:type="dxa" w:w="80"/>
              <w:left w:type="dxa" w:w="100"/>
              <w:bottom w:type="dxa" w:w="80"/>
              <w:right w:type="dxa" w:w="100"/>
            </w:tcMar>
          </w:tcPr>
          <w:p>
            <w:r>
              <w:rPr>
                <w:b w:val="false"/>
                <w:bCs w:val="false"/>
                <w:color w:val="000000"/>
              </w:rPr>
              <w:t xml:space="preserve">29</w:t>
            </w:r>
          </w:p>
        </w:tc>
      </w:tr>
    </w:tbl>
    <w:p>
      <w:pPr>
        <w:spacing w:after="200"/>
      </w:pPr>
      <w:r>
        <w:t xml:space="preserve"/>
      </w:r>
    </w:p>
    <w:p>
      <w:pPr>
        <w:spacing w:after="200"/>
      </w:pPr>
      <w:r>
        <w:t xml:space="preserve">The full scoring detail, including the individual score for every criterion and category, is provided in the accompanying Opportunity Matrix spreadsheet.</w:t>
      </w:r>
    </w:p>
    <w:p>
      <w:pPr>
        <w:pStyle w:val="Heading1"/>
        <w:spacing w:after="200" w:before="400"/>
      </w:pPr>
      <w:r>
        <w:t xml:space="preserve">14. Recommended Product Launch Portfolio</w:t>
      </w:r>
    </w:p>
    <w:p>
      <w:pPr>
        <w:spacing w:after="200"/>
      </w:pPr>
      <w:r>
        <w:t xml:space="preserve">This report recommends a five-product launch portfolio, sequenced deliberately rather than as a direct mirror of the Opportunity Matrix ranking above. A new, unproven brand benefits from at least one product that captures existing, high-volume search demand to build initial trust and fund the more differentiated products that follow.</w:t>
      </w:r>
    </w:p>
    <w:p>
      <w:pPr>
        <w:pStyle w:val="Heading2"/>
        <w:spacing w:after="150" w:before="300"/>
      </w:pPr>
      <w:r>
        <w:t xml:space="preserve">Product 1: Daily Gut Health &amp; Probiotic Chew (launches first)</w:t>
      </w:r>
    </w:p>
    <w:p>
      <w:pPr>
        <w:spacing w:after="200"/>
      </w:pPr>
      <w:r>
        <w:t xml:space="preserve">Target: owners of adult dogs with occasional digestive sensitivity. Format: soft chew. Price: EUR22-28. Rationale: the highest-scoring practical category, combining low regulatory complexity, fragmented competition, and strong subscription fit. Differentiation: a published, batch-level Certificate of Analysis, directly answering the trust gap identified in Section 8.</w:t>
      </w:r>
    </w:p>
    <w:p>
      <w:pPr>
        <w:pStyle w:val="Heading2"/>
        <w:spacing w:after="150" w:before="300"/>
      </w:pPr>
      <w:r>
        <w:t xml:space="preserve">Product 2: Advanced Joint &amp; Mobility Chew (launches second)</w:t>
      </w:r>
    </w:p>
    <w:p>
      <w:pPr>
        <w:spacing w:after="200"/>
      </w:pPr>
      <w:r>
        <w:t xml:space="preserve">Target: owners of adult and senior dogs showing early stiffness. Format: soft chew. Price: EUR26-32. Rationale: despite ranking seventh on the Opportunity Matrix, this is the single largest existing Amazon.de search category and is included deliberately as a demand-capture product to fund the brand while more differentiated products are developed. Differentiation: third-party lab-verified label accuracy plus a piperine-enhanced absorption formula directly targeting the complaint themes identified in Section 8.</w:t>
      </w:r>
    </w:p>
    <w:p>
      <w:pPr>
        <w:pStyle w:val="Heading2"/>
        <w:spacing w:after="150" w:before="300"/>
      </w:pPr>
      <w:r>
        <w:t xml:space="preserve">Product 3: Calm &amp; Balanced Chew (launches third)</w:t>
      </w:r>
    </w:p>
    <w:p>
      <w:pPr>
        <w:spacing w:after="200"/>
      </w:pPr>
      <w:r>
        <w:t xml:space="preserve">Target: owners of anxious or easily-stressed dogs. Format: soft chew. Price: EUR20-26. Rationale: fragmented competition with no dominant reviewed leader, low regulatory complexity. Differentiation: specific, situational-use guidance rather than generic calming claims.</w:t>
      </w:r>
    </w:p>
    <w:p>
      <w:pPr>
        <w:pStyle w:val="Heading2"/>
        <w:spacing w:after="150" w:before="300"/>
      </w:pPr>
      <w:r>
        <w:t xml:space="preserve">Product 4: Cognitive &amp; Senior Vitality Formula (launches fourth)</w:t>
      </w:r>
    </w:p>
    <w:p>
      <w:pPr>
        <w:spacing w:after="200"/>
      </w:pPr>
      <w:r>
        <w:t xml:space="preserve">Target: owners of senior dogs concerned with mental sharpness and aging vitality. Format: soft chew or powder. Price: EUR30-40. Rationale: the top-ranked category on the Opportunity Matrix and the strongest white-space finding in the entire research project, but sequenced fourth because German consumer demand for this specific category is unvalidated, not merely under-supplied, and is better launched once the brand has some review history and trust behind it.</w:t>
      </w:r>
    </w:p>
    <w:p>
      <w:pPr>
        <w:pStyle w:val="Heading2"/>
        <w:spacing w:after="150" w:before="300"/>
      </w:pPr>
      <w:r>
        <w:t xml:space="preserve">Product 5: Longevity Cellular Health Formula (launches fifth)</w:t>
      </w:r>
    </w:p>
    <w:p>
      <w:pPr>
        <w:spacing w:after="200"/>
      </w:pPr>
      <w:r>
        <w:t xml:space="preserve">Target: owners of adult to senior dogs proactively interested in extending healthy years. Format: powder or liquid. Price: EUR35-50 (working hypothesis, no direct German benchmark exists). Rationale: the client's stated top-priority category, and the category with the strongest existing German-language consumer vocabulary ('Langlebigkeit'), but also the category with the highest regulatory complexity and a now-identified direct competitor, mammaly's Long Life Zellpower product. This report recommends launching this product last, once every ingredient supplier's Novel Food authorization is fully confirmed and the brand has enough credibility to differentiate against mammaly on ingredient science rather than branding alone.</w:t>
      </w:r>
    </w:p>
    <w:p>
      <w:pPr>
        <w:spacing w:after="200"/>
      </w:pPr>
      <w:r>
        <w:t xml:space="preserve">A note on this sequencing: the client specifically flagged longevity as a priority area in the original brief, and a reasonable case exists for prioritizing it earlier despite the risks identified above. This sequencing recommendation reflects a risk-management judgment, not a purely mechanical output of the data, and is worth discussing directly before being finalized.</w:t>
      </w:r>
    </w:p>
    <w:p>
      <w:pPr>
        <w:pStyle w:val="Heading1"/>
        <w:spacing w:after="200" w:before="400"/>
      </w:pPr>
      <w:r>
        <w:t xml:space="preserve">15. Germany-First Launch Strategy and European Expansion</w:t>
      </w:r>
    </w:p>
    <w:p>
      <w:pPr>
        <w:pStyle w:val="Heading2"/>
        <w:spacing w:after="150" w:before="300"/>
      </w:pPr>
      <w:r>
        <w:t xml:space="preserve">Phase 1: Germany launch (Amazon.de-first)</w:t>
      </w:r>
    </w:p>
    <w:p>
      <w:pPr>
        <w:spacing w:after="200"/>
      </w:pPr>
      <w:r>
        <w:t xml:space="preserve">Launch Products 1 and 2 together or in close succession. Complete BVL feed business registration and confirm labeling responsibility before any product ships. Establish the Certificate of Analysis and third-party lab verification program as a brand-wide standard from day one. Prioritize Amazon.de as the primary channel, informed by Curapet's move to an Amazon-exclusive model, while maintaining a simple direct-to-consumer subscription site as a secondary channel from the start.</w:t>
      </w:r>
    </w:p>
    <w:p>
      <w:pPr>
        <w:pStyle w:val="Heading2"/>
        <w:spacing w:after="150" w:before="300"/>
      </w:pPr>
      <w:r>
        <w:t xml:space="preserve">Phase 2: Germany expansion and differentiation</w:t>
      </w:r>
    </w:p>
    <w:p>
      <w:pPr>
        <w:spacing w:after="200"/>
      </w:pPr>
      <w:r>
        <w:t xml:space="preserve">Launch Product 3 once initial review volume and brand trust are established. Launch Product 4 only after validating German demand at a smaller scale, given the category has no proven German search-demand baseline. Expand into Austria and Switzerland at this stage, following mammaly's own DACH expansion pattern.</w:t>
      </w:r>
    </w:p>
    <w:p>
      <w:pPr>
        <w:pStyle w:val="Heading2"/>
        <w:spacing w:after="150" w:before="300"/>
      </w:pPr>
      <w:r>
        <w:t xml:space="preserve">Phase 3: Longevity launch and wider European expansion</w:t>
      </w:r>
    </w:p>
    <w:p>
      <w:pPr>
        <w:spacing w:after="200"/>
      </w:pPr>
      <w:r>
        <w:t xml:space="preserve">Launch Product 5 once all ingredient-supplier Novel Food authorizations are confirmed. Expand into the United Kingdom next, given its combination of fast category growth and the highest existing online-channel penetration of any market assessed. Follow with the Netherlands, then France, planning explicitly for the regulatory friction identified in that market. Revisit Italy and Spain once the above markets are established, given the lower category penetration identified in Southern Europe.</w:t>
      </w:r>
    </w:p>
    <w:p>
      <w:pPr>
        <w:pStyle w:val="Heading1"/>
        <w:spacing w:after="200" w:before="400"/>
      </w:pPr>
      <w:r>
        <w:t xml:space="preserve">16. Open Data Gaps and Recommended Next Steps</w:t>
      </w:r>
    </w:p>
    <w:p>
      <w:pPr>
        <w:spacing w:after="200"/>
      </w:pPr>
      <w:r>
        <w:t xml:space="preserve">This research was conducted using publicly available sources and web-based research methods. The following gaps are flagged directly rather than filled with assumption, consistent with the sourcing standards applied throughout this project:</w:t>
      </w:r>
    </w:p>
    <w:p>
      <w:pPr>
        <w:pStyle w:val="ListParagraph"/>
        <w:numPr>
          <w:ilvl w:val="0"/>
          <w:numId w:val="1"/>
        </w:numPr>
        <w:spacing w:after="100"/>
      </w:pPr>
      <w:r>
        <w:t xml:space="preserve">No live Amazon Best Seller Rank, exact Buy Box status, or verified monthly unit sales data. Recommend running Section 4's competitor analysis through Helium 10, Jungle Scout, or Keepa directly, as the original brief specifically requested tool-verified figures.</w:t>
      </w:r>
    </w:p>
    <w:p>
      <w:pPr>
        <w:pStyle w:val="ListParagraph"/>
        <w:numPr>
          <w:ilvl w:val="0"/>
          <w:numId w:val="1"/>
        </w:numPr>
        <w:spacing w:after="100"/>
      </w:pPr>
      <w:r>
        <w:t xml:space="preserve">Exact Fressnapf marketplace prices for several mid-market joint supplement brands were not captured, as pricing requires an active session.</w:t>
      </w:r>
    </w:p>
    <w:p>
      <w:pPr>
        <w:pStyle w:val="ListParagraph"/>
        <w:numPr>
          <w:ilvl w:val="0"/>
          <w:numId w:val="1"/>
        </w:numPr>
        <w:spacing w:after="100"/>
      </w:pPr>
      <w:r>
        <w:t xml:space="preserve">Dog-owning household percentages and precise market share for the United Kingdom, France, Netherlands, Austria, and Switzerland were not found in this research pass.</w:t>
      </w:r>
    </w:p>
    <w:p>
      <w:pPr>
        <w:pStyle w:val="ListParagraph"/>
        <w:numPr>
          <w:ilvl w:val="0"/>
          <w:numId w:val="1"/>
        </w:numPr>
        <w:spacing w:after="100"/>
      </w:pPr>
      <w:r>
        <w:t xml:space="preserve">Whether mammaly's Long Life Zellpower product is listed on Amazon.de specifically was not directly confirmed and should be checked before finalizing the Product 5 competitive positioning.</w:t>
      </w:r>
    </w:p>
    <w:p>
      <w:pPr>
        <w:pStyle w:val="ListParagraph"/>
        <w:numPr>
          <w:ilvl w:val="0"/>
          <w:numId w:val="1"/>
        </w:numPr>
        <w:spacing w:after="100"/>
      </w:pPr>
      <w:r>
        <w:t xml:space="preserve">The precise legal threshold for using a 'Made in Germany' claim on a feed product was not independently verified and should be confirmed with a customs or trade-law specialist.</w:t>
      </w:r>
    </w:p>
    <w:p>
      <w:pPr>
        <w:pStyle w:val="ListParagraph"/>
        <w:numPr>
          <w:ilvl w:val="0"/>
          <w:numId w:val="1"/>
        </w:numPr>
        <w:spacing w:after="100"/>
      </w:pPr>
      <w:r>
        <w:t xml:space="preserve">A single-source claim regarding EFSA concerns over certain soft chew gelling agents was not independently corroborated and should be verified with a formulation or regulatory specialist before finalizing a chew recipe.</w:t>
      </w:r>
    </w:p>
    <w:p>
      <w:pPr>
        <w:pStyle w:val="ListParagraph"/>
        <w:numPr>
          <w:ilvl w:val="0"/>
          <w:numId w:val="1"/>
        </w:numPr>
        <w:spacing w:after="100"/>
      </w:pPr>
      <w:r>
        <w:t xml:space="preserve">Whether EU human food supplement Novel Food authorizations for resveratrol, Nicotinamide Riboside, and L-ergothioneine apply directly to animal feed, or require separate animal-feed-specific clearance, should be confirmed with a feed-law specialist.</w:t>
      </w:r>
    </w:p>
    <w:p>
      <w:pPr>
        <w:pStyle w:val="Heading1"/>
        <w:spacing w:after="200" w:before="400"/>
      </w:pPr>
      <w:r>
        <w:t xml:space="preserve">17. Conclusion</w:t>
      </w:r>
    </w:p>
    <w:p>
      <w:pPr>
        <w:spacing w:after="200"/>
      </w:pPr>
      <w:r>
        <w:t xml:space="preserve">This research supports a viable path to launching a premium dog health and wellness supplement brand in Germany, with Amazon.de as the primary initial channel. The market is large, growing, and offline-dominant but shifting online, with Germany representing the clearest and largest entry point in Europe. The joint and mobility category, while saturated, offers a genuine and provable differentiation opportunity through third-party lab verification, directly addressing a documented, industry-wide trust gap. The gut health, calming, cognitive, and longevity categories each offer a more open competitive field, with cognitive and brain health standing out as the strongest identified white-space opportunity, and longevity representing the client's stated priority, tempered by a real, newly identified competitor and meaningful regulatory complexity around ingredient selection.</w:t>
      </w:r>
    </w:p>
    <w:p>
      <w:pPr>
        <w:spacing w:after="200"/>
      </w:pPr>
      <w:r>
        <w:t xml:space="preserve">The recommended five-product portfolio and phased launch sequence in Sections 14 and 15 are designed to balance near-term demand capture against longer-term category leadership, and should be reviewed and confirmed with the client before being finalized into a production and go-to-market plan.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2026-08-17T11:42:25.169Z</dcterms:created>
  <dcterms:modified xsi:type="dcterms:W3CDTF">2026-08-17T11:42:25.184Z</dcterms:modified>
</cp:coreProperties>
</file>

<file path=docProps/custom.xml><?xml version="1.0" encoding="utf-8"?>
<Properties xmlns="http://schemas.openxmlformats.org/officeDocument/2006/custom-properties" xmlns:vt="http://schemas.openxmlformats.org/officeDocument/2006/docPropsVTypes"/>
</file>