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5D84" w14:textId="77777777" w:rsidR="00387656" w:rsidRPr="00387656" w:rsidRDefault="00387656" w:rsidP="00387656">
      <w:pPr>
        <w:rPr>
          <w:b/>
          <w:bCs/>
        </w:rPr>
      </w:pPr>
      <w:r w:rsidRPr="00387656">
        <w:rPr>
          <w:b/>
          <w:bCs/>
        </w:rPr>
        <w:t>Report: Classification of Adverse Drug Reactions by Seriousness and Expectedness</w:t>
      </w:r>
    </w:p>
    <w:p w14:paraId="68886B8A" w14:textId="53BADA4B" w:rsidR="00387656" w:rsidRPr="00387656" w:rsidRDefault="00387656" w:rsidP="00387656">
      <w:r w:rsidRPr="00387656">
        <w:rPr>
          <w:b/>
          <w:bCs/>
        </w:rPr>
        <w:t>Objective:</w:t>
      </w:r>
      <w:r w:rsidRPr="00387656">
        <w:t xml:space="preserve"> To classify adverse drug reactions (ADRs) in six cases by seriousness and expectedness and to determine their clinical impact using pharmacovigilance guidelines (ICH E2A). </w:t>
      </w:r>
    </w:p>
    <w:p w14:paraId="54927E20" w14:textId="77777777" w:rsidR="00387656" w:rsidRPr="00387656" w:rsidRDefault="00387656" w:rsidP="00387656">
      <w:r w:rsidRPr="00387656">
        <w:pict w14:anchorId="6021459C">
          <v:rect id="_x0000_i1055" style="width:0;height:1.5pt" o:hralign="center" o:hrstd="t" o:hr="t" fillcolor="#a0a0a0" stroked="f"/>
        </w:pict>
      </w:r>
    </w:p>
    <w:p w14:paraId="12FD682C" w14:textId="77777777" w:rsidR="00387656" w:rsidRPr="00387656" w:rsidRDefault="00387656" w:rsidP="00387656">
      <w:pPr>
        <w:rPr>
          <w:b/>
          <w:bCs/>
        </w:rPr>
      </w:pPr>
      <w:r w:rsidRPr="00387656">
        <w:rPr>
          <w:b/>
          <w:bCs/>
        </w:rPr>
        <w:t>1. Classification Criteria</w:t>
      </w:r>
    </w:p>
    <w:p w14:paraId="1E920B98" w14:textId="77777777" w:rsidR="00387656" w:rsidRPr="00387656" w:rsidRDefault="00387656" w:rsidP="00387656">
      <w:r w:rsidRPr="00387656">
        <w:rPr>
          <w:b/>
          <w:bCs/>
        </w:rPr>
        <w:t>Serious ADR.</w:t>
      </w:r>
      <w:r w:rsidRPr="00387656">
        <w:t xml:space="preserve"> An ADR is serious if it results in any of the following:</w:t>
      </w:r>
    </w:p>
    <w:p w14:paraId="63D3951E" w14:textId="77777777" w:rsidR="00387656" w:rsidRPr="00387656" w:rsidRDefault="00387656" w:rsidP="00387656">
      <w:pPr>
        <w:numPr>
          <w:ilvl w:val="0"/>
          <w:numId w:val="1"/>
        </w:numPr>
      </w:pPr>
      <w:r w:rsidRPr="00387656">
        <w:t>Death</w:t>
      </w:r>
    </w:p>
    <w:p w14:paraId="470C8401" w14:textId="77777777" w:rsidR="00387656" w:rsidRPr="00387656" w:rsidRDefault="00387656" w:rsidP="00387656">
      <w:pPr>
        <w:numPr>
          <w:ilvl w:val="0"/>
          <w:numId w:val="1"/>
        </w:numPr>
      </w:pPr>
      <w:r w:rsidRPr="00387656">
        <w:t>A life-threatening event</w:t>
      </w:r>
    </w:p>
    <w:p w14:paraId="4630E79D" w14:textId="77777777" w:rsidR="00387656" w:rsidRPr="00387656" w:rsidRDefault="00387656" w:rsidP="00387656">
      <w:pPr>
        <w:numPr>
          <w:ilvl w:val="0"/>
          <w:numId w:val="1"/>
        </w:numPr>
      </w:pPr>
      <w:r w:rsidRPr="00387656">
        <w:t>Hospitalisation or prolongation of existing hospitalisation</w:t>
      </w:r>
    </w:p>
    <w:p w14:paraId="5D32564A" w14:textId="77777777" w:rsidR="00387656" w:rsidRPr="00387656" w:rsidRDefault="00387656" w:rsidP="00387656">
      <w:pPr>
        <w:numPr>
          <w:ilvl w:val="0"/>
          <w:numId w:val="1"/>
        </w:numPr>
      </w:pPr>
      <w:r w:rsidRPr="00387656">
        <w:t>Persistent or significant disability or incapacity</w:t>
      </w:r>
    </w:p>
    <w:p w14:paraId="6F253011" w14:textId="77777777" w:rsidR="00387656" w:rsidRPr="00387656" w:rsidRDefault="00387656" w:rsidP="00387656">
      <w:pPr>
        <w:numPr>
          <w:ilvl w:val="0"/>
          <w:numId w:val="1"/>
        </w:numPr>
      </w:pPr>
      <w:r w:rsidRPr="00387656">
        <w:t>A congenital anomaly or birth defect</w:t>
      </w:r>
    </w:p>
    <w:p w14:paraId="00B1FE8E" w14:textId="77777777" w:rsidR="00387656" w:rsidRPr="00387656" w:rsidRDefault="00387656" w:rsidP="00387656">
      <w:pPr>
        <w:numPr>
          <w:ilvl w:val="0"/>
          <w:numId w:val="1"/>
        </w:numPr>
      </w:pPr>
      <w:r w:rsidRPr="00387656">
        <w:t>A medically important event that may require intervention to prevent one of the outcomes above</w:t>
      </w:r>
    </w:p>
    <w:p w14:paraId="566B12D7" w14:textId="60627A50" w:rsidR="00387656" w:rsidRPr="00387656" w:rsidRDefault="00387656" w:rsidP="00387656">
      <w:r w:rsidRPr="00387656">
        <w:rPr>
          <w:b/>
          <w:bCs/>
        </w:rPr>
        <w:t>Expected ADR.</w:t>
      </w:r>
      <w:r w:rsidRPr="00387656">
        <w:t xml:space="preserve"> An ADR whose nature and severity are consistent with the information in the product label (prescribing information or Summary of Product Characteristics). Any reaction not listed is </w:t>
      </w:r>
      <w:r w:rsidRPr="00387656">
        <w:rPr>
          <w:b/>
          <w:bCs/>
        </w:rPr>
        <w:t>unexpected</w:t>
      </w:r>
      <w:r w:rsidRPr="00387656">
        <w:t>.</w:t>
      </w:r>
    </w:p>
    <w:p w14:paraId="64BE92F4" w14:textId="77777777" w:rsidR="00387656" w:rsidRPr="00387656" w:rsidRDefault="00387656" w:rsidP="00387656">
      <w:pPr>
        <w:rPr>
          <w:b/>
          <w:bCs/>
        </w:rPr>
      </w:pPr>
      <w:r w:rsidRPr="00387656">
        <w:rPr>
          <w:b/>
          <w:bCs/>
        </w:rPr>
        <w:t>2. Case-wise Classification</w:t>
      </w:r>
    </w:p>
    <w:p w14:paraId="7E18741A" w14:textId="77777777" w:rsidR="00387656" w:rsidRPr="00387656" w:rsidRDefault="00387656" w:rsidP="00387656">
      <w:pPr>
        <w:rPr>
          <w:b/>
          <w:bCs/>
        </w:rPr>
      </w:pPr>
      <w:r w:rsidRPr="00387656">
        <w:rPr>
          <w:b/>
          <w:bCs/>
        </w:rPr>
        <w:t>Case 1: Amoxicillin and generalised itchy rash</w:t>
      </w:r>
    </w:p>
    <w:p w14:paraId="0B2B0501" w14:textId="77777777" w:rsidR="00387656" w:rsidRPr="00387656" w:rsidRDefault="00387656" w:rsidP="00387656">
      <w:pPr>
        <w:numPr>
          <w:ilvl w:val="0"/>
          <w:numId w:val="2"/>
        </w:numPr>
      </w:pPr>
      <w:r w:rsidRPr="00387656">
        <w:rPr>
          <w:b/>
          <w:bCs/>
        </w:rPr>
        <w:t>Seriousness:</w:t>
      </w:r>
      <w:r w:rsidRPr="00387656">
        <w:t xml:space="preserve"> Non-serious</w:t>
      </w:r>
    </w:p>
    <w:p w14:paraId="0C6BBF13" w14:textId="77777777" w:rsidR="00387656" w:rsidRPr="00387656" w:rsidRDefault="00387656" w:rsidP="00387656">
      <w:pPr>
        <w:numPr>
          <w:ilvl w:val="0"/>
          <w:numId w:val="2"/>
        </w:numPr>
      </w:pPr>
      <w:r w:rsidRPr="00387656">
        <w:rPr>
          <w:b/>
          <w:bCs/>
        </w:rPr>
        <w:t>Expectedness:</w:t>
      </w:r>
      <w:r w:rsidRPr="00387656">
        <w:t xml:space="preserve"> Expected (hypersensitivity rash is listed for penicillins)</w:t>
      </w:r>
    </w:p>
    <w:p w14:paraId="1C8DE8DD" w14:textId="77777777" w:rsidR="00387656" w:rsidRPr="00387656" w:rsidRDefault="00387656" w:rsidP="00387656">
      <w:pPr>
        <w:numPr>
          <w:ilvl w:val="0"/>
          <w:numId w:val="2"/>
        </w:numPr>
      </w:pPr>
      <w:r w:rsidRPr="00387656">
        <w:rPr>
          <w:b/>
          <w:bCs/>
        </w:rPr>
        <w:t>Clinical impact:</w:t>
      </w:r>
      <w:r w:rsidRPr="00387656">
        <w:t xml:space="preserve"> Mild to moderate. The rash resolved on dose reduction and recurred on re-escalation, which confirms the drug as the cause. A penicillin allergy should be recorded and the drug avoided.</w:t>
      </w:r>
    </w:p>
    <w:p w14:paraId="0B2B192A" w14:textId="77777777" w:rsidR="00387656" w:rsidRPr="00387656" w:rsidRDefault="00387656" w:rsidP="00387656">
      <w:pPr>
        <w:rPr>
          <w:b/>
          <w:bCs/>
        </w:rPr>
      </w:pPr>
      <w:r w:rsidRPr="00387656">
        <w:rPr>
          <w:b/>
          <w:bCs/>
        </w:rPr>
        <w:t>Case 2: Isoniazid/rifampicin and jaundice with raised ALT</w:t>
      </w:r>
    </w:p>
    <w:p w14:paraId="0F71208D" w14:textId="77777777" w:rsidR="00387656" w:rsidRPr="00387656" w:rsidRDefault="00387656" w:rsidP="00387656">
      <w:pPr>
        <w:numPr>
          <w:ilvl w:val="0"/>
          <w:numId w:val="3"/>
        </w:numPr>
      </w:pPr>
      <w:r w:rsidRPr="00387656">
        <w:rPr>
          <w:b/>
          <w:bCs/>
        </w:rPr>
        <w:t>Seriousness:</w:t>
      </w:r>
      <w:r w:rsidRPr="00387656">
        <w:t xml:space="preserve"> Serious (medically important hepatotoxicity)</w:t>
      </w:r>
    </w:p>
    <w:p w14:paraId="01FA6EDC" w14:textId="77777777" w:rsidR="00387656" w:rsidRPr="00387656" w:rsidRDefault="00387656" w:rsidP="00387656">
      <w:pPr>
        <w:numPr>
          <w:ilvl w:val="0"/>
          <w:numId w:val="3"/>
        </w:numPr>
      </w:pPr>
      <w:r w:rsidRPr="00387656">
        <w:rPr>
          <w:b/>
          <w:bCs/>
        </w:rPr>
        <w:t>Expectedness:</w:t>
      </w:r>
      <w:r w:rsidRPr="00387656">
        <w:t xml:space="preserve"> Expected (hepatotoxicity is a labelled reaction of both drugs)</w:t>
      </w:r>
    </w:p>
    <w:p w14:paraId="7F7B92C8" w14:textId="77777777" w:rsidR="00387656" w:rsidRPr="00387656" w:rsidRDefault="00387656" w:rsidP="00387656">
      <w:pPr>
        <w:numPr>
          <w:ilvl w:val="0"/>
          <w:numId w:val="3"/>
        </w:numPr>
      </w:pPr>
      <w:r w:rsidRPr="00387656">
        <w:rPr>
          <w:b/>
          <w:bCs/>
        </w:rPr>
        <w:t>Clinical impact:</w:t>
      </w:r>
      <w:r w:rsidRPr="00387656">
        <w:t xml:space="preserve"> High. The regimen must be stopped and liver function monitored. Anti-tubercular therapy can be reintroduced only under specialist supervision, with a modified regimen.</w:t>
      </w:r>
    </w:p>
    <w:p w14:paraId="42BB10F3" w14:textId="77777777" w:rsidR="00387656" w:rsidRPr="00387656" w:rsidRDefault="00387656" w:rsidP="00387656">
      <w:pPr>
        <w:rPr>
          <w:b/>
          <w:bCs/>
        </w:rPr>
      </w:pPr>
      <w:r w:rsidRPr="00387656">
        <w:rPr>
          <w:b/>
          <w:bCs/>
        </w:rPr>
        <w:lastRenderedPageBreak/>
        <w:t>Case 3: Lisinopril and angioedema</w:t>
      </w:r>
    </w:p>
    <w:p w14:paraId="1D860249" w14:textId="77777777" w:rsidR="00387656" w:rsidRPr="00387656" w:rsidRDefault="00387656" w:rsidP="00387656">
      <w:pPr>
        <w:numPr>
          <w:ilvl w:val="0"/>
          <w:numId w:val="4"/>
        </w:numPr>
      </w:pPr>
      <w:r w:rsidRPr="00387656">
        <w:rPr>
          <w:b/>
          <w:bCs/>
        </w:rPr>
        <w:t>Seriousness:</w:t>
      </w:r>
      <w:r w:rsidRPr="00387656">
        <w:t xml:space="preserve"> Serious (medically important; potential airway compromise)</w:t>
      </w:r>
    </w:p>
    <w:p w14:paraId="3912735A" w14:textId="77777777" w:rsidR="00387656" w:rsidRPr="00387656" w:rsidRDefault="00387656" w:rsidP="00387656">
      <w:pPr>
        <w:numPr>
          <w:ilvl w:val="0"/>
          <w:numId w:val="4"/>
        </w:numPr>
      </w:pPr>
      <w:r w:rsidRPr="00387656">
        <w:rPr>
          <w:b/>
          <w:bCs/>
        </w:rPr>
        <w:t>Expectedness:</w:t>
      </w:r>
      <w:r w:rsidRPr="00387656">
        <w:t xml:space="preserve"> Expected (recognised ACE-inhibitor class effect)</w:t>
      </w:r>
    </w:p>
    <w:p w14:paraId="13E00C74" w14:textId="77777777" w:rsidR="00387656" w:rsidRPr="00387656" w:rsidRDefault="00387656" w:rsidP="00387656">
      <w:pPr>
        <w:numPr>
          <w:ilvl w:val="0"/>
          <w:numId w:val="4"/>
        </w:numPr>
      </w:pPr>
      <w:r w:rsidRPr="00387656">
        <w:rPr>
          <w:b/>
          <w:bCs/>
        </w:rPr>
        <w:t>Clinical impact:</w:t>
      </w:r>
      <w:r w:rsidRPr="00387656">
        <w:t xml:space="preserve"> High. Permanent discontinuation is required, and the whole ACE-inhibitor class should be avoided. Alternatives such as angiotensin receptor blockers should be used with caution.</w:t>
      </w:r>
    </w:p>
    <w:p w14:paraId="154A7FEE" w14:textId="77777777" w:rsidR="00387656" w:rsidRPr="00387656" w:rsidRDefault="00387656" w:rsidP="00387656">
      <w:pPr>
        <w:rPr>
          <w:b/>
          <w:bCs/>
        </w:rPr>
      </w:pPr>
      <w:r w:rsidRPr="00387656">
        <w:rPr>
          <w:b/>
          <w:bCs/>
        </w:rPr>
        <w:t>Case 4: Amoxicillin–clavulanate and anaphylaxis</w:t>
      </w:r>
    </w:p>
    <w:p w14:paraId="661A935E" w14:textId="77777777" w:rsidR="00387656" w:rsidRPr="00387656" w:rsidRDefault="00387656" w:rsidP="00387656">
      <w:pPr>
        <w:numPr>
          <w:ilvl w:val="0"/>
          <w:numId w:val="5"/>
        </w:numPr>
      </w:pPr>
      <w:r w:rsidRPr="00387656">
        <w:rPr>
          <w:b/>
          <w:bCs/>
        </w:rPr>
        <w:t>Seriousness:</w:t>
      </w:r>
      <w:r w:rsidRPr="00387656">
        <w:t xml:space="preserve"> Serious (life-threatening)</w:t>
      </w:r>
    </w:p>
    <w:p w14:paraId="2494690C" w14:textId="77777777" w:rsidR="00387656" w:rsidRPr="00387656" w:rsidRDefault="00387656" w:rsidP="00387656">
      <w:pPr>
        <w:numPr>
          <w:ilvl w:val="0"/>
          <w:numId w:val="5"/>
        </w:numPr>
      </w:pPr>
      <w:r w:rsidRPr="00387656">
        <w:rPr>
          <w:b/>
          <w:bCs/>
        </w:rPr>
        <w:t>Expectedness:</w:t>
      </w:r>
      <w:r w:rsidRPr="00387656">
        <w:t xml:space="preserve"> Expected (anaphylaxis is a labelled reaction of penicillins)</w:t>
      </w:r>
    </w:p>
    <w:p w14:paraId="6C8EBA69" w14:textId="77777777" w:rsidR="00387656" w:rsidRPr="00387656" w:rsidRDefault="00387656" w:rsidP="00387656">
      <w:pPr>
        <w:numPr>
          <w:ilvl w:val="0"/>
          <w:numId w:val="5"/>
        </w:numPr>
      </w:pPr>
      <w:r w:rsidRPr="00387656">
        <w:rPr>
          <w:b/>
          <w:bCs/>
        </w:rPr>
        <w:t>Clinical impact:</w:t>
      </w:r>
      <w:r w:rsidRPr="00387656">
        <w:t xml:space="preserve"> Very high. Emergency treatment with adrenaline was required. The allergy must be recorded, penicillins avoided, and the patient referred for allergy evaluation.</w:t>
      </w:r>
    </w:p>
    <w:p w14:paraId="3A92522B" w14:textId="77777777" w:rsidR="00387656" w:rsidRPr="00387656" w:rsidRDefault="00387656" w:rsidP="00387656">
      <w:pPr>
        <w:rPr>
          <w:b/>
          <w:bCs/>
        </w:rPr>
      </w:pPr>
      <w:r w:rsidRPr="00387656">
        <w:rPr>
          <w:b/>
          <w:bCs/>
        </w:rPr>
        <w:t>Case 5: Sertraline and nausea/headache</w:t>
      </w:r>
    </w:p>
    <w:p w14:paraId="1A671790" w14:textId="77777777" w:rsidR="00387656" w:rsidRPr="00387656" w:rsidRDefault="00387656" w:rsidP="00387656">
      <w:pPr>
        <w:numPr>
          <w:ilvl w:val="0"/>
          <w:numId w:val="6"/>
        </w:numPr>
      </w:pPr>
      <w:r w:rsidRPr="00387656">
        <w:rPr>
          <w:b/>
          <w:bCs/>
        </w:rPr>
        <w:t>Seriousness:</w:t>
      </w:r>
      <w:r w:rsidRPr="00387656">
        <w:t xml:space="preserve"> Non-serious</w:t>
      </w:r>
    </w:p>
    <w:p w14:paraId="7FFF9DEA" w14:textId="77777777" w:rsidR="00387656" w:rsidRPr="00387656" w:rsidRDefault="00387656" w:rsidP="00387656">
      <w:pPr>
        <w:numPr>
          <w:ilvl w:val="0"/>
          <w:numId w:val="6"/>
        </w:numPr>
      </w:pPr>
      <w:r w:rsidRPr="00387656">
        <w:rPr>
          <w:b/>
          <w:bCs/>
        </w:rPr>
        <w:t>Expectedness:</w:t>
      </w:r>
      <w:r w:rsidRPr="00387656">
        <w:t xml:space="preserve"> Expected (common, labelled effects)</w:t>
      </w:r>
    </w:p>
    <w:p w14:paraId="0C5A1977" w14:textId="77777777" w:rsidR="00387656" w:rsidRPr="00387656" w:rsidRDefault="00387656" w:rsidP="00387656">
      <w:pPr>
        <w:numPr>
          <w:ilvl w:val="0"/>
          <w:numId w:val="6"/>
        </w:numPr>
      </w:pPr>
      <w:r w:rsidRPr="00387656">
        <w:rPr>
          <w:b/>
          <w:bCs/>
        </w:rPr>
        <w:t>Clinical impact:</w:t>
      </w:r>
      <w:r w:rsidRPr="00387656">
        <w:t xml:space="preserve"> Minimal. The symptoms were self-limiting, so treatment can continue with monitoring.</w:t>
      </w:r>
    </w:p>
    <w:p w14:paraId="778F9CA7" w14:textId="77777777" w:rsidR="00387656" w:rsidRPr="00387656" w:rsidRDefault="00387656" w:rsidP="00387656">
      <w:pPr>
        <w:rPr>
          <w:b/>
          <w:bCs/>
        </w:rPr>
      </w:pPr>
      <w:r w:rsidRPr="00387656">
        <w:rPr>
          <w:b/>
          <w:bCs/>
        </w:rPr>
        <w:t>Case 6: Allopurinol and maculopapular rash</w:t>
      </w:r>
    </w:p>
    <w:p w14:paraId="5B79BC3C" w14:textId="77777777" w:rsidR="00387656" w:rsidRPr="00387656" w:rsidRDefault="00387656" w:rsidP="00387656">
      <w:pPr>
        <w:numPr>
          <w:ilvl w:val="0"/>
          <w:numId w:val="7"/>
        </w:numPr>
      </w:pPr>
      <w:r w:rsidRPr="00387656">
        <w:rPr>
          <w:b/>
          <w:bCs/>
        </w:rPr>
        <w:t>Seriousness:</w:t>
      </w:r>
      <w:r w:rsidRPr="00387656">
        <w:t xml:space="preserve"> Non-serious as described</w:t>
      </w:r>
    </w:p>
    <w:p w14:paraId="68373684" w14:textId="77777777" w:rsidR="00387656" w:rsidRPr="00387656" w:rsidRDefault="00387656" w:rsidP="00387656">
      <w:pPr>
        <w:numPr>
          <w:ilvl w:val="0"/>
          <w:numId w:val="7"/>
        </w:numPr>
      </w:pPr>
      <w:r w:rsidRPr="00387656">
        <w:rPr>
          <w:b/>
          <w:bCs/>
        </w:rPr>
        <w:t>Expectedness:</w:t>
      </w:r>
      <w:r w:rsidRPr="00387656">
        <w:t xml:space="preserve"> Expected (cutaneous reactions are labelled)</w:t>
      </w:r>
    </w:p>
    <w:p w14:paraId="2933554C" w14:textId="77777777" w:rsidR="00387656" w:rsidRPr="00387656" w:rsidRDefault="00387656" w:rsidP="00387656">
      <w:pPr>
        <w:numPr>
          <w:ilvl w:val="0"/>
          <w:numId w:val="7"/>
        </w:numPr>
      </w:pPr>
      <w:r w:rsidRPr="00387656">
        <w:rPr>
          <w:b/>
          <w:bCs/>
        </w:rPr>
        <w:t>Clinical impact:</w:t>
      </w:r>
      <w:r w:rsidRPr="00387656">
        <w:t xml:space="preserve"> Low at present. Allopurinol rash can precede severe cutaneous reactions (Stevens–Johnson syndrome/toxic epidermal necrolysis, DRESS), so close monitoring is needed and withdrawal is usually advised if a rash appears.</w:t>
      </w:r>
    </w:p>
    <w:p w14:paraId="315C1B4D" w14:textId="3CFB3B09" w:rsidR="00387656" w:rsidRPr="00387656" w:rsidRDefault="00387656" w:rsidP="00387656"/>
    <w:sectPr w:rsidR="00387656" w:rsidRPr="00387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534"/>
    <w:multiLevelType w:val="multilevel"/>
    <w:tmpl w:val="933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062D"/>
    <w:multiLevelType w:val="multilevel"/>
    <w:tmpl w:val="59E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A0709"/>
    <w:multiLevelType w:val="multilevel"/>
    <w:tmpl w:val="1BC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35F3E"/>
    <w:multiLevelType w:val="multilevel"/>
    <w:tmpl w:val="4232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420A8"/>
    <w:multiLevelType w:val="multilevel"/>
    <w:tmpl w:val="29E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90772"/>
    <w:multiLevelType w:val="multilevel"/>
    <w:tmpl w:val="8DDA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C4930"/>
    <w:multiLevelType w:val="multilevel"/>
    <w:tmpl w:val="05A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234FD"/>
    <w:multiLevelType w:val="multilevel"/>
    <w:tmpl w:val="FBAC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CE7D66"/>
    <w:multiLevelType w:val="multilevel"/>
    <w:tmpl w:val="F97A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874515">
    <w:abstractNumId w:val="8"/>
  </w:num>
  <w:num w:numId="2" w16cid:durableId="72631803">
    <w:abstractNumId w:val="2"/>
  </w:num>
  <w:num w:numId="3" w16cid:durableId="411925730">
    <w:abstractNumId w:val="0"/>
  </w:num>
  <w:num w:numId="4" w16cid:durableId="1578634390">
    <w:abstractNumId w:val="5"/>
  </w:num>
  <w:num w:numId="5" w16cid:durableId="1175878491">
    <w:abstractNumId w:val="1"/>
  </w:num>
  <w:num w:numId="6" w16cid:durableId="510608300">
    <w:abstractNumId w:val="3"/>
  </w:num>
  <w:num w:numId="7" w16cid:durableId="891188138">
    <w:abstractNumId w:val="6"/>
  </w:num>
  <w:num w:numId="8" w16cid:durableId="834690198">
    <w:abstractNumId w:val="7"/>
  </w:num>
  <w:num w:numId="9" w16cid:durableId="1629166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56"/>
    <w:rsid w:val="00256819"/>
    <w:rsid w:val="0038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2C0E"/>
  <w15:chartTrackingRefBased/>
  <w15:docId w15:val="{17925B32-8C5C-4186-8CF5-49D8E166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Harish</dc:creator>
  <cp:keywords/>
  <dc:description/>
  <cp:lastModifiedBy>Harish Harish</cp:lastModifiedBy>
  <cp:revision>1</cp:revision>
  <dcterms:created xsi:type="dcterms:W3CDTF">2026-10-11T05:06:00Z</dcterms:created>
  <dcterms:modified xsi:type="dcterms:W3CDTF">2026-10-11T05:08:00Z</dcterms:modified>
</cp:coreProperties>
</file>