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Decision Trace – Demo Case Study</w:t>
      </w:r>
    </w:p>
    <w:p>
      <w:pPr>
        <w:spacing w:after="240"/>
      </w:pPr>
      <w:r>
        <w:t>This document is designed to generate a rich, realistic Decision Trace report across all six tabs (Overview, Decision Flow, Stakeholders, Evidence, Risks, Assumptions) for demo and hackathon judging purposes.</w:t>
        <w:br/>
      </w:r>
    </w:p>
    <w:p>
      <w:pPr>
        <w:pStyle w:val="Heading2"/>
      </w:pPr>
      <w:r>
        <w:t>Decision Context</w:t>
      </w:r>
    </w:p>
    <w:p>
      <w:r>
        <w:t>An enterprise CRM team is evaluating whether to deploy an AI-assisted lead scoring and prioritization feature within Salesforce for mid-market financial services clients. The decision must balance revenue uplift, regulatory risk, data privacy, and operational readiness.</w:t>
      </w:r>
    </w:p>
    <w:p>
      <w:pPr>
        <w:pStyle w:val="Heading2"/>
      </w:pPr>
      <w:r>
        <w:t>1. Decision Statement</w:t>
      </w:r>
    </w:p>
    <w:p>
      <w:r>
        <w:t>Decision to proceed with a limited pilot deployment of AI-assisted lead scoring for non-regulated customer segments, subject to governance controls and audit logging.</w:t>
      </w:r>
    </w:p>
    <w:p>
      <w:pPr>
        <w:pStyle w:val="Heading2"/>
      </w:pPr>
      <w:r>
        <w:t>2. Recommendation Summary</w:t>
      </w:r>
    </w:p>
    <w:p>
      <w:r>
        <w:t>Proceed with a phased rollout beginning with a 90-day pilot. Restrict AI-generated recommendations to advisory use only, require human review before action, and enable decision trace logging.</w:t>
      </w:r>
    </w:p>
    <w:p>
      <w:pPr>
        <w:pStyle w:val="Heading2"/>
      </w:pPr>
      <w:r>
        <w:t>3. Decision Flow</w:t>
      </w:r>
    </w:p>
    <w:p>
      <w:pPr>
        <w:pStyle w:val="ListNumber"/>
      </w:pPr>
      <w:r>
        <w:t>Step 1: Input ingestion – CRM opportunity, account, and interaction data collected.</w:t>
      </w:r>
    </w:p>
    <w:p>
      <w:pPr>
        <w:pStyle w:val="ListNumber"/>
      </w:pPr>
      <w:r>
        <w:t>Step 2: Data suitability check – PII fields and regulated attributes identified.</w:t>
      </w:r>
    </w:p>
    <w:p>
      <w:pPr>
        <w:pStyle w:val="ListNumber"/>
      </w:pPr>
      <w:r>
        <w:t>Step 3: AI scoring – Model generates lead priority score and rationale.</w:t>
      </w:r>
    </w:p>
    <w:p>
      <w:pPr>
        <w:pStyle w:val="ListNumber"/>
      </w:pPr>
      <w:r>
        <w:t>Step 4: Risk screening – Outputs evaluated against compliance and bias thresholds.</w:t>
      </w:r>
    </w:p>
    <w:p>
      <w:pPr>
        <w:pStyle w:val="ListNumber"/>
      </w:pPr>
      <w:r>
        <w:t>Step 5: Human review – Sales manager reviews recommendation and rationale.</w:t>
      </w:r>
    </w:p>
    <w:p>
      <w:pPr>
        <w:pStyle w:val="ListNumber"/>
      </w:pPr>
      <w:r>
        <w:t>Step 6: Decision execution – Lead priority updated in CRM with audit trail.</w:t>
      </w:r>
    </w:p>
    <w:p>
      <w:pPr>
        <w:pStyle w:val="Heading2"/>
      </w:pPr>
      <w:r>
        <w:t>4. Stakeholders (RACI)</w:t>
      </w:r>
    </w:p>
    <w:p>
      <w:r>
        <w:t>Responsible: Sales Operations Manager</w:t>
      </w:r>
    </w:p>
    <w:p>
      <w:r>
        <w:t>Accountable: VP of Sales</w:t>
      </w:r>
    </w:p>
    <w:p>
      <w:r>
        <w:t>Consulted: Legal &amp; Compliance, Data Science Team</w:t>
      </w:r>
    </w:p>
    <w:p>
      <w:r>
        <w:t>Informed: CRM Users, IT Security</w:t>
      </w:r>
    </w:p>
    <w:p>
      <w:pPr>
        <w:pStyle w:val="Heading2"/>
      </w:pPr>
      <w:r>
        <w:t>5. Evidence Used</w:t>
      </w:r>
    </w:p>
    <w:p>
      <w:pPr>
        <w:pStyle w:val="ListBullet"/>
      </w:pPr>
      <w:r>
        <w:t>Historical CRM data showing 18% increase in conversion with manual scoring.</w:t>
      </w:r>
    </w:p>
    <w:p>
      <w:pPr>
        <w:pStyle w:val="ListBullet"/>
      </w:pPr>
      <w:r>
        <w:t>Internal bias assessment report on training data.</w:t>
      </w:r>
    </w:p>
    <w:p>
      <w:pPr>
        <w:pStyle w:val="ListBullet"/>
      </w:pPr>
      <w:r>
        <w:t>Salesforce platform documentation on AI explainability features.</w:t>
      </w:r>
    </w:p>
    <w:p>
      <w:pPr>
        <w:pStyle w:val="ListBullet"/>
      </w:pPr>
      <w:r>
        <w:t>Legal memo on AI usage in non-regulated sales workflows.</w:t>
      </w:r>
    </w:p>
    <w:p>
      <w:pPr>
        <w:pStyle w:val="Heading2"/>
      </w:pPr>
      <w:r>
        <w:t>6. Risks and Mitigations</w:t>
      </w:r>
    </w:p>
    <w:p>
      <w:pPr>
        <w:pStyle w:val="ListBullet"/>
      </w:pPr>
      <w:r>
        <w:t>Risk: Model bias impacting certain customer segments.</w:t>
        <w:br/>
        <w:t>Mitigation: Quarterly bias audits and threshold alerts.</w:t>
      </w:r>
    </w:p>
    <w:p>
      <w:pPr>
        <w:pStyle w:val="ListBullet"/>
      </w:pPr>
      <w:r>
        <w:t>Risk: Regulatory exposure if used for regulated products.</w:t>
        <w:br/>
        <w:t>Mitigation: Explicit product-level exclusions.</w:t>
      </w:r>
    </w:p>
    <w:p>
      <w:pPr>
        <w:pStyle w:val="ListBullet"/>
      </w:pPr>
      <w:r>
        <w:t>Risk: Over-reliance on AI recommendations.</w:t>
        <w:br/>
        <w:t>Mitigation: Mandatory human approval and training.</w:t>
      </w:r>
    </w:p>
    <w:p>
      <w:pPr>
        <w:pStyle w:val="Heading2"/>
      </w:pPr>
      <w:r>
        <w:t>7. Assumptions</w:t>
      </w:r>
    </w:p>
    <w:p>
      <w:pPr>
        <w:pStyle w:val="ListBullet"/>
      </w:pPr>
      <w:r>
        <w:t>Training data is representative of target customer population.</w:t>
      </w:r>
    </w:p>
    <w:p>
      <w:pPr>
        <w:pStyle w:val="ListBullet"/>
      </w:pPr>
      <w:r>
        <w:t>Sales users will follow human-in-the-loop review requirements.</w:t>
      </w:r>
    </w:p>
    <w:p>
      <w:pPr>
        <w:pStyle w:val="ListBullet"/>
      </w:pPr>
      <w:r>
        <w:t>CRM audit logs are retained for a minimum of 24 months.</w:t>
      </w:r>
    </w:p>
    <w:p>
      <w:pPr>
        <w:pStyle w:val="Heading2"/>
      </w:pPr>
      <w:r>
        <w:t>8. Open Questions</w:t>
      </w:r>
    </w:p>
    <w:p>
      <w:pPr>
        <w:pStyle w:val="ListBullet"/>
      </w:pPr>
      <w:r>
        <w:t>What is the acceptable confidence threshold for AI recommendations?</w:t>
      </w:r>
    </w:p>
    <w:p>
      <w:pPr>
        <w:pStyle w:val="ListBullet"/>
      </w:pPr>
      <w:r>
        <w:t>Who signs off on expanding the pilot to regulated products?</w:t>
      </w:r>
    </w:p>
    <w:p>
      <w:pPr>
        <w:pStyle w:val="Heading2"/>
      </w:pPr>
      <w:r>
        <w:t>9. Next Actions</w:t>
      </w:r>
    </w:p>
    <w:p>
      <w:pPr>
        <w:pStyle w:val="ListBullet"/>
      </w:pPr>
      <w:r>
        <w:t>Configure pilot environment with audit logging enabled.</w:t>
      </w:r>
    </w:p>
    <w:p>
      <w:pPr>
        <w:pStyle w:val="ListBullet"/>
      </w:pPr>
      <w:r>
        <w:t>Run shadow-mode evaluation for 30 days.</w:t>
      </w:r>
    </w:p>
    <w:p>
      <w:pPr>
        <w:pStyle w:val="ListBullet"/>
      </w:pPr>
      <w:r>
        <w:t>Review pilot results with Legal and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