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0E8E" w14:textId="77777777" w:rsidR="006425EB" w:rsidRPr="006425EB" w:rsidRDefault="006425EB" w:rsidP="006425EB">
      <w:pPr>
        <w:ind w:left="2160" w:firstLine="720"/>
        <w:rPr>
          <w:b/>
          <w:bCs/>
          <w:sz w:val="28"/>
          <w:szCs w:val="28"/>
        </w:rPr>
      </w:pPr>
      <w:r w:rsidRPr="006425EB">
        <w:rPr>
          <w:b/>
          <w:bCs/>
          <w:sz w:val="28"/>
          <w:szCs w:val="28"/>
        </w:rPr>
        <w:t>Civil Engineering Insight Report</w:t>
      </w:r>
    </w:p>
    <w:p w14:paraId="030C7A46" w14:textId="52A6850A" w:rsidR="006425EB" w:rsidRDefault="006425EB" w:rsidP="006425EB">
      <w:pPr>
        <w:ind w:left="2880"/>
      </w:pPr>
      <w:r>
        <w:t xml:space="preserve">   </w:t>
      </w:r>
      <w:r>
        <w:t>Generated by Al Structural Studio</w:t>
      </w:r>
    </w:p>
    <w:p w14:paraId="10BB6FCD" w14:textId="77777777" w:rsidR="006425EB" w:rsidRDefault="006425EB" w:rsidP="006425EB"/>
    <w:p w14:paraId="27C29EBA" w14:textId="68668EF3" w:rsidR="006425EB" w:rsidRPr="006425EB" w:rsidRDefault="006425EB" w:rsidP="006425EB">
      <w:pPr>
        <w:rPr>
          <w:sz w:val="20"/>
          <w:szCs w:val="20"/>
        </w:rPr>
      </w:pPr>
      <w:r w:rsidRPr="006425EB">
        <w:rPr>
          <w:sz w:val="20"/>
          <w:szCs w:val="20"/>
        </w:rPr>
        <w:t>**STRUCTURAL AND SAFETY ENGINEERING SITE ANALYSIS REPORT**</w:t>
      </w:r>
    </w:p>
    <w:p w14:paraId="4AE08730" w14:textId="645A66F3" w:rsidR="006425EB" w:rsidRPr="006425EB" w:rsidRDefault="006425EB" w:rsidP="006425EB">
      <w:pPr>
        <w:rPr>
          <w:sz w:val="20"/>
          <w:szCs w:val="20"/>
        </w:rPr>
      </w:pPr>
      <w:r w:rsidRPr="006425EB">
        <w:rPr>
          <w:sz w:val="20"/>
          <w:szCs w:val="20"/>
        </w:rPr>
        <w:t>**DATE:</w:t>
      </w:r>
      <w:r w:rsidRPr="006425EB">
        <w:rPr>
          <w:sz w:val="20"/>
          <w:szCs w:val="20"/>
        </w:rPr>
        <w:t xml:space="preserve"> </w:t>
      </w:r>
      <w:r w:rsidRPr="006425EB">
        <w:rPr>
          <w:sz w:val="20"/>
          <w:szCs w:val="20"/>
        </w:rPr>
        <w:t>** May 22, 2024</w:t>
      </w:r>
    </w:p>
    <w:p w14:paraId="70E87A59" w14:textId="21AA986D" w:rsidR="006425EB" w:rsidRPr="006425EB" w:rsidRDefault="006425EB" w:rsidP="006425EB">
      <w:pPr>
        <w:rPr>
          <w:sz w:val="20"/>
          <w:szCs w:val="20"/>
        </w:rPr>
      </w:pPr>
      <w:r w:rsidRPr="006425EB">
        <w:rPr>
          <w:sz w:val="20"/>
          <w:szCs w:val="20"/>
        </w:rPr>
        <w:t>**SUBJECT: Structural Progress and Safety Evaluation? High-Rise Reinforced Concrete Superstructure</w:t>
      </w:r>
    </w:p>
    <w:p w14:paraId="7B961179" w14:textId="77777777" w:rsidR="006425EB" w:rsidRPr="006425EB" w:rsidRDefault="006425EB" w:rsidP="006425EB">
      <w:pPr>
        <w:rPr>
          <w:sz w:val="20"/>
          <w:szCs w:val="20"/>
        </w:rPr>
      </w:pPr>
    </w:p>
    <w:p w14:paraId="47293E9A" w14:textId="77777777" w:rsidR="006425EB" w:rsidRPr="006425EB" w:rsidRDefault="006425EB" w:rsidP="006425EB">
      <w:pPr>
        <w:rPr>
          <w:b/>
          <w:bCs/>
          <w:sz w:val="20"/>
          <w:szCs w:val="20"/>
        </w:rPr>
      </w:pPr>
      <w:r w:rsidRPr="006425EB">
        <w:rPr>
          <w:b/>
          <w:bCs/>
          <w:sz w:val="20"/>
          <w:szCs w:val="20"/>
        </w:rPr>
        <w:t>###1. RISK ASSESSMENT SCORE: **HIGH MEDIUM**</w:t>
      </w:r>
    </w:p>
    <w:p w14:paraId="5E884EF8" w14:textId="77777777" w:rsidR="006425EB" w:rsidRPr="006425EB" w:rsidRDefault="006425EB" w:rsidP="006425EB">
      <w:pPr>
        <w:rPr>
          <w:sz w:val="20"/>
          <w:szCs w:val="20"/>
        </w:rPr>
      </w:pPr>
      <w:r w:rsidRPr="006425EB">
        <w:rPr>
          <w:sz w:val="20"/>
          <w:szCs w:val="20"/>
        </w:rPr>
        <w:t>While the site appears to follow systematic safety protocols (visible edge protection), the inherent risks of high-rise construction? including working at heights, complex load redistribution via reshoring, and the use of cantilevered formwork? maintain a high-risk profile. Any failure in the temporary shoring system or a lapse in fall protection would lead to a catastrophic event.</w:t>
      </w:r>
    </w:p>
    <w:p w14:paraId="2E4A665F" w14:textId="77777777" w:rsidR="006425EB" w:rsidRPr="006425EB" w:rsidRDefault="006425EB" w:rsidP="006425EB">
      <w:pPr>
        <w:rPr>
          <w:sz w:val="20"/>
          <w:szCs w:val="20"/>
        </w:rPr>
      </w:pPr>
    </w:p>
    <w:p w14:paraId="77462206" w14:textId="77777777" w:rsidR="006425EB" w:rsidRPr="006425EB" w:rsidRDefault="006425EB" w:rsidP="006425EB">
      <w:pPr>
        <w:rPr>
          <w:b/>
          <w:bCs/>
          <w:sz w:val="20"/>
          <w:szCs w:val="20"/>
        </w:rPr>
      </w:pPr>
      <w:r w:rsidRPr="006425EB">
        <w:rPr>
          <w:b/>
          <w:bCs/>
          <w:sz w:val="20"/>
          <w:szCs w:val="20"/>
        </w:rPr>
        <w:t>### 2. STRUCTURAL TYPE &amp; MATERIALS</w:t>
      </w:r>
    </w:p>
    <w:p w14:paraId="4B5CB700" w14:textId="7B2C6C6A" w:rsidR="006425EB" w:rsidRPr="006425EB" w:rsidRDefault="006425EB" w:rsidP="006425EB">
      <w:pPr>
        <w:rPr>
          <w:sz w:val="20"/>
          <w:szCs w:val="20"/>
        </w:rPr>
      </w:pPr>
      <w:r w:rsidRPr="006425EB">
        <w:rPr>
          <w:sz w:val="20"/>
          <w:szCs w:val="20"/>
        </w:rPr>
        <w:t>**Structural System:</w:t>
      </w:r>
      <w:r w:rsidRPr="006425EB">
        <w:rPr>
          <w:sz w:val="20"/>
          <w:szCs w:val="20"/>
        </w:rPr>
        <w:t xml:space="preserve"> </w:t>
      </w:r>
      <w:r w:rsidRPr="006425EB">
        <w:rPr>
          <w:sz w:val="20"/>
          <w:szCs w:val="20"/>
        </w:rPr>
        <w:t>** Reinforced Concrete Flat Plate/Frame. The building relies on a cast in place concrete skeleton for primary load-bearing.</w:t>
      </w:r>
    </w:p>
    <w:p w14:paraId="024487A1" w14:textId="72480D2D" w:rsidR="006425EB" w:rsidRPr="006425EB" w:rsidRDefault="006425EB" w:rsidP="006425EB">
      <w:pPr>
        <w:rPr>
          <w:sz w:val="20"/>
          <w:szCs w:val="20"/>
        </w:rPr>
      </w:pPr>
      <w:r w:rsidRPr="006425EB">
        <w:rPr>
          <w:sz w:val="20"/>
          <w:szCs w:val="20"/>
        </w:rPr>
        <w:t>**Primary Materials:</w:t>
      </w:r>
      <w:r w:rsidRPr="006425EB">
        <w:rPr>
          <w:sz w:val="20"/>
          <w:szCs w:val="20"/>
        </w:rPr>
        <w:t xml:space="preserve"> </w:t>
      </w:r>
      <w:r w:rsidRPr="006425EB">
        <w:rPr>
          <w:sz w:val="20"/>
          <w:szCs w:val="20"/>
        </w:rPr>
        <w:t>**</w:t>
      </w:r>
    </w:p>
    <w:p w14:paraId="0915479F" w14:textId="512E5C20" w:rsidR="006425EB" w:rsidRPr="006425EB" w:rsidRDefault="006425EB" w:rsidP="006425EB">
      <w:pPr>
        <w:rPr>
          <w:sz w:val="20"/>
          <w:szCs w:val="20"/>
        </w:rPr>
      </w:pPr>
      <w:r w:rsidRPr="006425EB">
        <w:rPr>
          <w:sz w:val="20"/>
          <w:szCs w:val="20"/>
        </w:rPr>
        <w:t>**Structural:</w:t>
      </w:r>
      <w:r w:rsidRPr="006425EB">
        <w:rPr>
          <w:sz w:val="20"/>
          <w:szCs w:val="20"/>
        </w:rPr>
        <w:t xml:space="preserve"> </w:t>
      </w:r>
      <w:r w:rsidRPr="006425EB">
        <w:rPr>
          <w:sz w:val="20"/>
          <w:szCs w:val="20"/>
        </w:rPr>
        <w:t>** High-strength reinforced concrete (columns and slabs).</w:t>
      </w:r>
    </w:p>
    <w:p w14:paraId="1602EE9C" w14:textId="7A911D4D" w:rsidR="006425EB" w:rsidRPr="006425EB" w:rsidRDefault="006425EB" w:rsidP="006425EB">
      <w:pPr>
        <w:rPr>
          <w:sz w:val="20"/>
          <w:szCs w:val="20"/>
        </w:rPr>
      </w:pPr>
      <w:r w:rsidRPr="006425EB">
        <w:rPr>
          <w:sz w:val="20"/>
          <w:szCs w:val="20"/>
        </w:rPr>
        <w:t>Secondary//nfill:</w:t>
      </w:r>
      <w:r w:rsidRPr="006425EB">
        <w:rPr>
          <w:sz w:val="20"/>
          <w:szCs w:val="20"/>
        </w:rPr>
        <w:t xml:space="preserve"> </w:t>
      </w:r>
      <w:r w:rsidRPr="006425EB">
        <w:rPr>
          <w:sz w:val="20"/>
          <w:szCs w:val="20"/>
        </w:rPr>
        <w:t>** Light-gauge cold-formed steel framing (visible on lower levels for exterior curtain</w:t>
      </w:r>
      <w:r w:rsidRPr="006425EB">
        <w:rPr>
          <w:sz w:val="20"/>
          <w:szCs w:val="20"/>
        </w:rPr>
        <w:t xml:space="preserve"> </w:t>
      </w:r>
      <w:r w:rsidRPr="006425EB">
        <w:rPr>
          <w:sz w:val="20"/>
          <w:szCs w:val="20"/>
        </w:rPr>
        <w:t>walls/internal partitions).</w:t>
      </w:r>
    </w:p>
    <w:p w14:paraId="58E0462E" w14:textId="2C1DFF78" w:rsidR="006425EB" w:rsidRPr="006425EB" w:rsidRDefault="006425EB" w:rsidP="006425EB">
      <w:pPr>
        <w:rPr>
          <w:sz w:val="20"/>
          <w:szCs w:val="20"/>
        </w:rPr>
      </w:pPr>
      <w:r w:rsidRPr="006425EB">
        <w:rPr>
          <w:sz w:val="20"/>
          <w:szCs w:val="20"/>
        </w:rPr>
        <w:t>**Temporary/Falsework:</w:t>
      </w:r>
      <w:r w:rsidRPr="006425EB">
        <w:rPr>
          <w:sz w:val="20"/>
          <w:szCs w:val="20"/>
        </w:rPr>
        <w:t xml:space="preserve"> </w:t>
      </w:r>
      <w:r w:rsidRPr="006425EB">
        <w:rPr>
          <w:sz w:val="20"/>
          <w:szCs w:val="20"/>
        </w:rPr>
        <w:t>** Steel adjustable shoring props (the orange vertical supports) and plywood/timber formwork for curing slabs.</w:t>
      </w:r>
    </w:p>
    <w:p w14:paraId="753B6F69" w14:textId="77777777" w:rsidR="006425EB" w:rsidRPr="006425EB" w:rsidRDefault="006425EB" w:rsidP="006425EB">
      <w:pPr>
        <w:rPr>
          <w:b/>
          <w:bCs/>
          <w:sz w:val="20"/>
          <w:szCs w:val="20"/>
        </w:rPr>
      </w:pPr>
      <w:r w:rsidRPr="006425EB">
        <w:rPr>
          <w:b/>
          <w:bCs/>
          <w:sz w:val="20"/>
          <w:szCs w:val="20"/>
        </w:rPr>
        <w:t>###3. CONSTRUCTION PHASE</w:t>
      </w:r>
    </w:p>
    <w:p w14:paraId="042DF906" w14:textId="77777777" w:rsidR="006425EB" w:rsidRPr="006425EB" w:rsidRDefault="006425EB" w:rsidP="006425EB">
      <w:pPr>
        <w:rPr>
          <w:sz w:val="20"/>
          <w:szCs w:val="20"/>
        </w:rPr>
      </w:pPr>
    </w:p>
    <w:p w14:paraId="72B7019D" w14:textId="15DE7909" w:rsidR="006425EB" w:rsidRPr="006425EB" w:rsidRDefault="006425EB" w:rsidP="006425EB">
      <w:pPr>
        <w:rPr>
          <w:sz w:val="20"/>
          <w:szCs w:val="20"/>
        </w:rPr>
      </w:pPr>
      <w:r w:rsidRPr="006425EB">
        <w:rPr>
          <w:sz w:val="20"/>
          <w:szCs w:val="20"/>
        </w:rPr>
        <w:t>**Phase:</w:t>
      </w:r>
      <w:r w:rsidRPr="006425EB">
        <w:rPr>
          <w:sz w:val="20"/>
          <w:szCs w:val="20"/>
        </w:rPr>
        <w:t xml:space="preserve"> </w:t>
      </w:r>
      <w:r w:rsidRPr="006425EB">
        <w:rPr>
          <w:sz w:val="20"/>
          <w:szCs w:val="20"/>
        </w:rPr>
        <w:t>** Structural Superstructure (Active Vertical Expansion).</w:t>
      </w:r>
    </w:p>
    <w:p w14:paraId="535BB7EE" w14:textId="594AA47A" w:rsidR="00CC487B" w:rsidRDefault="006425EB" w:rsidP="006425EB">
      <w:pPr>
        <w:rPr>
          <w:sz w:val="20"/>
          <w:szCs w:val="20"/>
        </w:rPr>
      </w:pPr>
      <w:r w:rsidRPr="006425EB">
        <w:rPr>
          <w:sz w:val="20"/>
          <w:szCs w:val="20"/>
        </w:rPr>
        <w:t>**Progress Stage:</w:t>
      </w:r>
      <w:r>
        <w:rPr>
          <w:sz w:val="20"/>
          <w:szCs w:val="20"/>
        </w:rPr>
        <w:t xml:space="preserve"> </w:t>
      </w:r>
      <w:r w:rsidRPr="006425EB">
        <w:rPr>
          <w:sz w:val="20"/>
          <w:szCs w:val="20"/>
        </w:rPr>
        <w:t>** The project is in the middle-to-late stages of the concrete pour cycle. The main skeleton is being extended upward. Simultaneously, the 'building envelope phase has commenced on the lower visible floors, as evidenced by the installation of light gauge metal stud tracks for exterior cladding or glazing.</w:t>
      </w:r>
    </w:p>
    <w:p w14:paraId="2895A3A0" w14:textId="77777777" w:rsidR="006425EB" w:rsidRDefault="006425EB" w:rsidP="006425EB">
      <w:pPr>
        <w:rPr>
          <w:sz w:val="20"/>
          <w:szCs w:val="20"/>
        </w:rPr>
      </w:pPr>
    </w:p>
    <w:p w14:paraId="623CDCF6" w14:textId="77777777" w:rsidR="006425EB" w:rsidRDefault="006425EB" w:rsidP="006425EB">
      <w:pPr>
        <w:rPr>
          <w:sz w:val="20"/>
          <w:szCs w:val="20"/>
        </w:rPr>
      </w:pPr>
    </w:p>
    <w:p w14:paraId="1500F1B5" w14:textId="77777777" w:rsidR="006425EB" w:rsidRDefault="006425EB" w:rsidP="006425EB">
      <w:pPr>
        <w:rPr>
          <w:sz w:val="20"/>
          <w:szCs w:val="20"/>
        </w:rPr>
      </w:pPr>
    </w:p>
    <w:p w14:paraId="63DF42B2" w14:textId="77777777" w:rsidR="006425EB" w:rsidRDefault="006425EB" w:rsidP="006425EB">
      <w:pPr>
        <w:rPr>
          <w:sz w:val="20"/>
          <w:szCs w:val="20"/>
        </w:rPr>
      </w:pPr>
    </w:p>
    <w:p w14:paraId="52E040F9" w14:textId="77777777" w:rsidR="006425EB" w:rsidRDefault="006425EB" w:rsidP="006425EB">
      <w:pPr>
        <w:rPr>
          <w:sz w:val="20"/>
          <w:szCs w:val="20"/>
        </w:rPr>
      </w:pPr>
    </w:p>
    <w:p w14:paraId="6FEEB266" w14:textId="77777777" w:rsidR="006425EB" w:rsidRPr="006425EB" w:rsidRDefault="006425EB" w:rsidP="006425EB">
      <w:pPr>
        <w:rPr>
          <w:b/>
          <w:bCs/>
          <w:sz w:val="20"/>
          <w:szCs w:val="20"/>
        </w:rPr>
      </w:pPr>
      <w:r w:rsidRPr="006425EB">
        <w:rPr>
          <w:b/>
          <w:bCs/>
          <w:sz w:val="20"/>
          <w:szCs w:val="20"/>
        </w:rPr>
        <w:t>### 4.?? SAFETY ALERT FLAGS</w:t>
      </w:r>
    </w:p>
    <w:p w14:paraId="333EDC54" w14:textId="77777777" w:rsidR="006425EB" w:rsidRPr="006425EB" w:rsidRDefault="006425EB" w:rsidP="006425EB">
      <w:pPr>
        <w:rPr>
          <w:sz w:val="20"/>
          <w:szCs w:val="20"/>
        </w:rPr>
      </w:pPr>
    </w:p>
    <w:p w14:paraId="0D97644D" w14:textId="44E897EC" w:rsidR="006425EB" w:rsidRPr="006425EB" w:rsidRDefault="006425EB" w:rsidP="006425EB">
      <w:pPr>
        <w:rPr>
          <w:sz w:val="20"/>
          <w:szCs w:val="20"/>
        </w:rPr>
      </w:pPr>
      <w:r w:rsidRPr="006425EB">
        <w:rPr>
          <w:sz w:val="20"/>
          <w:szCs w:val="20"/>
        </w:rPr>
        <w:t>**Complex Reshoring Loads:</w:t>
      </w:r>
      <w:r>
        <w:rPr>
          <w:sz w:val="20"/>
          <w:szCs w:val="20"/>
        </w:rPr>
        <w:t xml:space="preserve"> </w:t>
      </w:r>
      <w:r w:rsidRPr="006425EB">
        <w:rPr>
          <w:sz w:val="20"/>
          <w:szCs w:val="20"/>
        </w:rPr>
        <w:t>** The density of the orange shoring props on the upper four levels indicates significant load management. If these props are removed prematurely or disturbed before the concrete reaches its specified 28-day compressive strength, slab deflection or progressive collapse could occur.</w:t>
      </w:r>
    </w:p>
    <w:p w14:paraId="03EF9307" w14:textId="77777777" w:rsidR="006425EB" w:rsidRPr="006425EB" w:rsidRDefault="006425EB" w:rsidP="006425EB">
      <w:pPr>
        <w:rPr>
          <w:sz w:val="20"/>
          <w:szCs w:val="20"/>
        </w:rPr>
      </w:pPr>
    </w:p>
    <w:p w14:paraId="1E887F1B" w14:textId="3DCB8336" w:rsidR="006425EB" w:rsidRPr="006425EB" w:rsidRDefault="006425EB" w:rsidP="006425EB">
      <w:pPr>
        <w:rPr>
          <w:sz w:val="20"/>
          <w:szCs w:val="20"/>
        </w:rPr>
      </w:pPr>
      <w:r w:rsidRPr="006425EB">
        <w:rPr>
          <w:sz w:val="20"/>
          <w:szCs w:val="20"/>
        </w:rPr>
        <w:t>***Cantilevered Formwork Platforms: The top levels feature outrigger platforms extending beyond the slab</w:t>
      </w:r>
      <w:r>
        <w:rPr>
          <w:sz w:val="20"/>
          <w:szCs w:val="20"/>
        </w:rPr>
        <w:t xml:space="preserve"> </w:t>
      </w:r>
      <w:r w:rsidRPr="006425EB">
        <w:rPr>
          <w:sz w:val="20"/>
          <w:szCs w:val="20"/>
        </w:rPr>
        <w:t>edge. These create significant overturning moments and must be anchored with extreme precision. The integrity of the guardrails on these temporary outriggers is the highest priority for fall prevention.</w:t>
      </w:r>
    </w:p>
    <w:p w14:paraId="7580FD55" w14:textId="77777777" w:rsidR="006425EB" w:rsidRPr="006425EB" w:rsidRDefault="006425EB" w:rsidP="006425EB">
      <w:pPr>
        <w:rPr>
          <w:sz w:val="20"/>
          <w:szCs w:val="20"/>
        </w:rPr>
      </w:pPr>
    </w:p>
    <w:p w14:paraId="70838D81" w14:textId="2A1901B7" w:rsidR="006425EB" w:rsidRPr="006425EB" w:rsidRDefault="006425EB" w:rsidP="006425EB">
      <w:pPr>
        <w:rPr>
          <w:sz w:val="20"/>
          <w:szCs w:val="20"/>
        </w:rPr>
      </w:pPr>
      <w:r w:rsidRPr="006425EB">
        <w:rPr>
          <w:sz w:val="20"/>
          <w:szCs w:val="20"/>
        </w:rPr>
        <w:t>**Falling Object Hazard:</w:t>
      </w:r>
      <w:r>
        <w:rPr>
          <w:sz w:val="20"/>
          <w:szCs w:val="20"/>
        </w:rPr>
        <w:t xml:space="preserve"> </w:t>
      </w:r>
      <w:r w:rsidRPr="006425EB">
        <w:rPr>
          <w:sz w:val="20"/>
          <w:szCs w:val="20"/>
        </w:rPr>
        <w:t>** Despite the perimeter mesh, the simultaneous work on multiple levels (concrete pouring above, metal framing below) creates a high risk for dropped tools or debris. A "vertical work zone' exclusion or heavy-duty debris netting should be confirmed below the active deck.</w:t>
      </w:r>
    </w:p>
    <w:p w14:paraId="01D86FCC" w14:textId="77777777" w:rsidR="006425EB" w:rsidRPr="006425EB" w:rsidRDefault="006425EB" w:rsidP="006425EB">
      <w:pPr>
        <w:rPr>
          <w:sz w:val="20"/>
          <w:szCs w:val="20"/>
        </w:rPr>
      </w:pPr>
    </w:p>
    <w:p w14:paraId="6745A82B" w14:textId="1C63A02D" w:rsidR="006425EB" w:rsidRPr="006425EB" w:rsidRDefault="006425EB" w:rsidP="006425EB">
      <w:pPr>
        <w:rPr>
          <w:sz w:val="20"/>
          <w:szCs w:val="20"/>
        </w:rPr>
      </w:pPr>
      <w:r w:rsidRPr="006425EB">
        <w:rPr>
          <w:sz w:val="20"/>
          <w:szCs w:val="20"/>
        </w:rPr>
        <w:t>**Leading Edge Exposure:</w:t>
      </w:r>
      <w:r>
        <w:rPr>
          <w:sz w:val="20"/>
          <w:szCs w:val="20"/>
        </w:rPr>
        <w:t xml:space="preserve"> </w:t>
      </w:r>
      <w:r w:rsidRPr="006425EB">
        <w:rPr>
          <w:sz w:val="20"/>
          <w:szCs w:val="20"/>
        </w:rPr>
        <w:t>** While mesh guardrails are present on most levels, the very top-most deck appears to have unfinished edge protection during the formwork placement stage.</w:t>
      </w:r>
    </w:p>
    <w:p w14:paraId="76516943" w14:textId="77777777" w:rsidR="006425EB" w:rsidRPr="006425EB" w:rsidRDefault="006425EB" w:rsidP="006425EB">
      <w:pPr>
        <w:rPr>
          <w:sz w:val="20"/>
          <w:szCs w:val="20"/>
        </w:rPr>
      </w:pPr>
    </w:p>
    <w:p w14:paraId="2C4038E9" w14:textId="77777777" w:rsidR="006425EB" w:rsidRPr="006425EB" w:rsidRDefault="006425EB" w:rsidP="006425EB">
      <w:pPr>
        <w:rPr>
          <w:b/>
          <w:bCs/>
          <w:sz w:val="20"/>
          <w:szCs w:val="20"/>
        </w:rPr>
      </w:pPr>
      <w:r w:rsidRPr="006425EB">
        <w:rPr>
          <w:b/>
          <w:bCs/>
          <w:sz w:val="20"/>
          <w:szCs w:val="20"/>
        </w:rPr>
        <w:t>###5. ENGINEERING INSIGHT: LOAD REDISTRIBUTION</w:t>
      </w:r>
    </w:p>
    <w:p w14:paraId="36D40901" w14:textId="77777777" w:rsidR="006425EB" w:rsidRPr="006425EB" w:rsidRDefault="006425EB" w:rsidP="006425EB">
      <w:pPr>
        <w:rPr>
          <w:sz w:val="20"/>
          <w:szCs w:val="20"/>
        </w:rPr>
      </w:pPr>
    </w:p>
    <w:p w14:paraId="7F6A3457" w14:textId="77777777" w:rsidR="006425EB" w:rsidRPr="006425EB" w:rsidRDefault="006425EB" w:rsidP="006425EB">
      <w:pPr>
        <w:rPr>
          <w:sz w:val="20"/>
          <w:szCs w:val="20"/>
        </w:rPr>
      </w:pPr>
      <w:r w:rsidRPr="006425EB">
        <w:rPr>
          <w:sz w:val="20"/>
          <w:szCs w:val="20"/>
        </w:rPr>
        <w:t>A critical engineering feature visible here is the **reshoring strategy. In high-rise concrete construction, the weight of a newly poured 'wet" slab, plus the weight of its forms and workers, often exceeds the capacity of the single cured slab directly beneath it.</w:t>
      </w:r>
    </w:p>
    <w:p w14:paraId="2866EAAA" w14:textId="77777777" w:rsidR="006425EB" w:rsidRPr="006425EB" w:rsidRDefault="006425EB" w:rsidP="006425EB">
      <w:pPr>
        <w:rPr>
          <w:sz w:val="20"/>
          <w:szCs w:val="20"/>
        </w:rPr>
      </w:pPr>
    </w:p>
    <w:p w14:paraId="0F453562" w14:textId="10C5F77D" w:rsidR="006425EB" w:rsidRPr="006425EB" w:rsidRDefault="006425EB" w:rsidP="006425EB">
      <w:pPr>
        <w:rPr>
          <w:sz w:val="20"/>
          <w:szCs w:val="20"/>
        </w:rPr>
      </w:pPr>
      <w:r w:rsidRPr="006425EB">
        <w:rPr>
          <w:sz w:val="20"/>
          <w:szCs w:val="20"/>
        </w:rPr>
        <w:t xml:space="preserve">The orange props act as a temporary load-path system, distributing the weight of the uppermost active pour across several levels of cured concrete below. This ensures the total load is safely transmitted down the columns until the new slabs are strong enough to support themselves. The 'cascading' nature of the shoring (less dense on lower levels, </w:t>
      </w:r>
      <w:proofErr w:type="gramStart"/>
      <w:r w:rsidRPr="006425EB">
        <w:rPr>
          <w:sz w:val="20"/>
          <w:szCs w:val="20"/>
        </w:rPr>
        <w:t>more dense</w:t>
      </w:r>
      <w:proofErr w:type="gramEnd"/>
      <w:r w:rsidRPr="006425EB">
        <w:rPr>
          <w:sz w:val="20"/>
          <w:szCs w:val="20"/>
        </w:rPr>
        <w:t xml:space="preserve"> on higher levels) is a textbook example of multi-story load-path management.</w:t>
      </w:r>
    </w:p>
    <w:p w14:paraId="6D1D97DD" w14:textId="77777777" w:rsidR="006425EB" w:rsidRPr="006425EB" w:rsidRDefault="006425EB" w:rsidP="006425EB">
      <w:pPr>
        <w:rPr>
          <w:sz w:val="20"/>
          <w:szCs w:val="20"/>
        </w:rPr>
      </w:pPr>
    </w:p>
    <w:p w14:paraId="2357DA05" w14:textId="113F4D26" w:rsidR="006425EB" w:rsidRPr="006425EB" w:rsidRDefault="006425EB" w:rsidP="006425EB">
      <w:pPr>
        <w:rPr>
          <w:sz w:val="20"/>
          <w:szCs w:val="20"/>
        </w:rPr>
      </w:pPr>
      <w:r w:rsidRPr="006425EB">
        <w:rPr>
          <w:sz w:val="20"/>
          <w:szCs w:val="20"/>
        </w:rPr>
        <w:t>*Prepared By:</w:t>
      </w:r>
      <w:r>
        <w:rPr>
          <w:sz w:val="20"/>
          <w:szCs w:val="20"/>
        </w:rPr>
        <w:t xml:space="preserve"> </w:t>
      </w:r>
      <w:r w:rsidRPr="006425EB">
        <w:rPr>
          <w:sz w:val="20"/>
          <w:szCs w:val="20"/>
        </w:rPr>
        <w:t>**</w:t>
      </w:r>
    </w:p>
    <w:p w14:paraId="7C53B878" w14:textId="77777777" w:rsidR="006425EB" w:rsidRPr="006425EB" w:rsidRDefault="006425EB" w:rsidP="006425EB">
      <w:pPr>
        <w:rPr>
          <w:sz w:val="20"/>
          <w:szCs w:val="20"/>
        </w:rPr>
      </w:pPr>
    </w:p>
    <w:p w14:paraId="21B9FDB1" w14:textId="32D8DED0" w:rsidR="006425EB" w:rsidRPr="006425EB" w:rsidRDefault="006425EB" w:rsidP="006425EB">
      <w:pPr>
        <w:rPr>
          <w:sz w:val="20"/>
          <w:szCs w:val="20"/>
        </w:rPr>
      </w:pPr>
      <w:r w:rsidRPr="006425EB">
        <w:rPr>
          <w:sz w:val="20"/>
          <w:szCs w:val="20"/>
        </w:rPr>
        <w:t>*Senior Structural and Safety Engineer*</w:t>
      </w:r>
    </w:p>
    <w:sectPr w:rsidR="006425EB" w:rsidRPr="006425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425EB"/>
    <w:rsid w:val="00563319"/>
    <w:rsid w:val="006425EB"/>
    <w:rsid w:val="008C3A4F"/>
    <w:rsid w:val="00C47C78"/>
    <w:rsid w:val="00CC4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BCB2A"/>
  <w15:chartTrackingRefBased/>
  <w15:docId w15:val="{329664EF-C39F-4B9A-806D-AA5B69A85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5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25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25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25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25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25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5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5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5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5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25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25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25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25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25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5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5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5EB"/>
    <w:rPr>
      <w:rFonts w:eastAsiaTheme="majorEastAsia" w:cstheme="majorBidi"/>
      <w:color w:val="272727" w:themeColor="text1" w:themeTint="D8"/>
    </w:rPr>
  </w:style>
  <w:style w:type="paragraph" w:styleId="Title">
    <w:name w:val="Title"/>
    <w:basedOn w:val="Normal"/>
    <w:next w:val="Normal"/>
    <w:link w:val="TitleChar"/>
    <w:uiPriority w:val="10"/>
    <w:qFormat/>
    <w:rsid w:val="006425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5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5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5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5EB"/>
    <w:pPr>
      <w:spacing w:before="160"/>
      <w:jc w:val="center"/>
    </w:pPr>
    <w:rPr>
      <w:i/>
      <w:iCs/>
      <w:color w:val="404040" w:themeColor="text1" w:themeTint="BF"/>
    </w:rPr>
  </w:style>
  <w:style w:type="character" w:customStyle="1" w:styleId="QuoteChar">
    <w:name w:val="Quote Char"/>
    <w:basedOn w:val="DefaultParagraphFont"/>
    <w:link w:val="Quote"/>
    <w:uiPriority w:val="29"/>
    <w:rsid w:val="006425EB"/>
    <w:rPr>
      <w:i/>
      <w:iCs/>
      <w:color w:val="404040" w:themeColor="text1" w:themeTint="BF"/>
    </w:rPr>
  </w:style>
  <w:style w:type="paragraph" w:styleId="ListParagraph">
    <w:name w:val="List Paragraph"/>
    <w:basedOn w:val="Normal"/>
    <w:uiPriority w:val="34"/>
    <w:qFormat/>
    <w:rsid w:val="006425EB"/>
    <w:pPr>
      <w:ind w:left="720"/>
      <w:contextualSpacing/>
    </w:pPr>
  </w:style>
  <w:style w:type="character" w:styleId="IntenseEmphasis">
    <w:name w:val="Intense Emphasis"/>
    <w:basedOn w:val="DefaultParagraphFont"/>
    <w:uiPriority w:val="21"/>
    <w:qFormat/>
    <w:rsid w:val="006425EB"/>
    <w:rPr>
      <w:i/>
      <w:iCs/>
      <w:color w:val="2F5496" w:themeColor="accent1" w:themeShade="BF"/>
    </w:rPr>
  </w:style>
  <w:style w:type="paragraph" w:styleId="IntenseQuote">
    <w:name w:val="Intense Quote"/>
    <w:basedOn w:val="Normal"/>
    <w:next w:val="Normal"/>
    <w:link w:val="IntenseQuoteChar"/>
    <w:uiPriority w:val="30"/>
    <w:qFormat/>
    <w:rsid w:val="006425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25EB"/>
    <w:rPr>
      <w:i/>
      <w:iCs/>
      <w:color w:val="2F5496" w:themeColor="accent1" w:themeShade="BF"/>
    </w:rPr>
  </w:style>
  <w:style w:type="character" w:styleId="IntenseReference">
    <w:name w:val="Intense Reference"/>
    <w:basedOn w:val="DefaultParagraphFont"/>
    <w:uiPriority w:val="32"/>
    <w:qFormat/>
    <w:rsid w:val="006425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535</Words>
  <Characters>3055</Characters>
  <Application>Microsoft Office Word</Application>
  <DocSecurity>0</DocSecurity>
  <Lines>25</Lines>
  <Paragraphs>7</Paragraphs>
  <ScaleCrop>false</ScaleCrop>
  <Company/>
  <LinksUpToDate>false</LinksUpToDate>
  <CharactersWithSpaces>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Daliparthi Saisandeep</dc:creator>
  <cp:keywords/>
  <dc:description/>
  <cp:lastModifiedBy>Daliparthi Saisandeep</cp:lastModifiedBy>
  <cp:revision>1</cp:revision>
  <dcterms:created xsi:type="dcterms:W3CDTF">2026-02-19T13:59:00Z</dcterms:created>
  <dcterms:modified xsi:type="dcterms:W3CDTF">2026-02-19T14:05:00Z</dcterms:modified>
</cp:coreProperties>
</file>