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k7np1a7xss5" w:id="0"/>
      <w:bookmarkEnd w:id="0"/>
      <w:r w:rsidDel="00000000" w:rsidR="00000000" w:rsidRPr="00000000">
        <w:rPr>
          <w:rtl w:val="0"/>
        </w:rPr>
        <w:t xml:space="preserve">The Data Integrity Challenge: Understanding CSR Reporting Inconsistencies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Navigating India's Corporate Social Responsibility (CSR) portal can feel like solving a puzzle with shifting pieces. For analysts and stakeholders, the goal is clear: track how much companies are investing in social good. However, a significant hurdle exists—data duplication. Because many companies appear multiple times under slightly different identities, finding an exhaustive, unique list of contributors is a complex task. This explainer dives into why these duplications occur, how corporate identities shift, and why cleaning this data is vital for transparency.</w:t>
      </w:r>
    </w:p>
    <w:p w:rsidR="00000000" w:rsidDel="00000000" w:rsidP="00000000" w:rsidRDefault="00000000" w:rsidRPr="00000000" w14:paraId="00000004">
      <w:pPr>
        <w:pStyle w:val="Heading1"/>
        <w:rPr/>
      </w:pPr>
      <w:bookmarkStart w:colFirst="0" w:colLast="0" w:name="_unk6km79kwc9" w:id="1"/>
      <w:bookmarkEnd w:id="1"/>
      <w:r w:rsidDel="00000000" w:rsidR="00000000" w:rsidRPr="00000000">
        <w:rPr>
          <w:rtl w:val="0"/>
        </w:rPr>
        <w:t xml:space="preserve">The Identity Fingerprint: Understanding the CIN</w:t>
      </w:r>
    </w:p>
    <w:p w:rsidR="00000000" w:rsidDel="00000000" w:rsidP="00000000" w:rsidRDefault="00000000" w:rsidRPr="00000000" w14:paraId="00000005">
      <w:pPr>
        <w:rPr/>
      </w:pPr>
      <w:r w:rsidDel="00000000" w:rsidR="00000000" w:rsidRPr="00000000">
        <w:rPr>
          <w:rtl w:val="0"/>
        </w:rPr>
        <w:t xml:space="preserve">Every Indian company is assigned a 21-character alphanumeric code called the Corporate Identification Number (CIN) at the time of its birth (incorporation). Think of it as a legal fingerprint that encodes the company's status, industry, and location. While this number is meant to be permanent, certain major legal transitions require the MCA (Ministry of Corporate Affairs) to issue a modified CIN. Understanding these triggers is the first step in identifying duplicate records in CSR data.</w:t>
      </w:r>
    </w:p>
    <w:p w:rsidR="00000000" w:rsidDel="00000000" w:rsidP="00000000" w:rsidRDefault="00000000" w:rsidRPr="00000000" w14:paraId="00000006">
      <w:pPr>
        <w:pStyle w:val="Heading2"/>
        <w:rPr/>
      </w:pPr>
      <w:bookmarkStart w:colFirst="0" w:colLast="0" w:name="_pzsl6mngxy7a" w:id="2"/>
      <w:bookmarkEnd w:id="2"/>
      <w:r w:rsidDel="00000000" w:rsidR="00000000" w:rsidRPr="00000000">
        <w:rPr>
          <w:rtl w:val="0"/>
        </w:rPr>
        <w:t xml:space="preserve">Key Triggers for a CIN Modification</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Going Public or Private:</w:t>
      </w:r>
      <w:r w:rsidDel="00000000" w:rsidR="00000000" w:rsidRPr="00000000">
        <w:rPr>
          <w:rtl w:val="0"/>
        </w:rPr>
        <w:t xml:space="preserve"> Transitioning between unlisted (U) and listed (L) status alters the 5th character. This is governed by SEBI LODR Regulations (2015).</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Moving Across Borders:</w:t>
      </w:r>
      <w:r w:rsidDel="00000000" w:rsidR="00000000" w:rsidRPr="00000000">
        <w:rPr>
          <w:rtl w:val="0"/>
        </w:rPr>
        <w:t xml:space="preserve"> Relocating a registered office to a different state changes the state code (7th–8th characters). This requires a special resolution under Section 13(4) and Regional Director approval via Form INC-23.</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Changing Legal Structure:</w:t>
      </w:r>
      <w:r w:rsidDel="00000000" w:rsidR="00000000" w:rsidRPr="00000000">
        <w:rPr>
          <w:rtl w:val="0"/>
        </w:rPr>
        <w:t xml:space="preserve"> Converting between a private and public company (Section 14) changes the 6th character and requires a new Certificate of Incorporation.</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Shifting Business Focus:</w:t>
      </w:r>
      <w:r w:rsidDel="00000000" w:rsidR="00000000" w:rsidRPr="00000000">
        <w:rPr>
          <w:rtl w:val="0"/>
        </w:rPr>
        <w:t xml:space="preserve"> Altering the main "object clause" of the company (Section 13(1)) to a new industry changes the NIC code (9th–13th characters).</w:t>
      </w:r>
    </w:p>
    <w:p w:rsidR="00000000" w:rsidDel="00000000" w:rsidP="00000000" w:rsidRDefault="00000000" w:rsidRPr="00000000" w14:paraId="0000000B">
      <w:pPr>
        <w:pStyle w:val="Heading2"/>
        <w:rPr/>
      </w:pPr>
      <w:bookmarkStart w:colFirst="0" w:colLast="0" w:name="_pnfp4zj6wk7e" w:id="3"/>
      <w:bookmarkEnd w:id="3"/>
      <w:r w:rsidDel="00000000" w:rsidR="00000000" w:rsidRPr="00000000">
        <w:rPr>
          <w:rtl w:val="0"/>
        </w:rPr>
      </w:r>
    </w:p>
    <w:p w:rsidR="00000000" w:rsidDel="00000000" w:rsidP="00000000" w:rsidRDefault="00000000" w:rsidRPr="00000000" w14:paraId="0000000C">
      <w:pPr>
        <w:pStyle w:val="Heading2"/>
        <w:rPr/>
      </w:pPr>
      <w:bookmarkStart w:colFirst="0" w:colLast="0" w:name="_hmrqjs3ch70j" w:id="4"/>
      <w:bookmarkEnd w:id="4"/>
      <w:r w:rsidDel="00000000" w:rsidR="00000000" w:rsidRPr="00000000">
        <w:rPr>
          <w:rtl w:val="0"/>
        </w:rPr>
        <w:t xml:space="preserve">The Narrative of Impact: Why Analysis Skews</w:t>
      </w:r>
    </w:p>
    <w:p w:rsidR="00000000" w:rsidDel="00000000" w:rsidP="00000000" w:rsidRDefault="00000000" w:rsidRPr="00000000" w14:paraId="0000000D">
      <w:pPr>
        <w:rPr/>
      </w:pPr>
      <w:r w:rsidDel="00000000" w:rsidR="00000000" w:rsidRPr="00000000">
        <w:rPr>
          <w:rtl w:val="0"/>
        </w:rPr>
        <w:t xml:space="preserve">These legal shifts create ripples in data analysis. When a company’s identity changes in the system, it often leaves behind a "ghost" of its former self. Without careful data cleaning, analysts are left with two primary problems: The Naming Muddle and The ID Shift Problem.</w:t>
      </w:r>
    </w:p>
    <w:p w:rsidR="00000000" w:rsidDel="00000000" w:rsidP="00000000" w:rsidRDefault="00000000" w:rsidRPr="00000000" w14:paraId="0000000E">
      <w:pPr>
        <w:pStyle w:val="Heading3"/>
        <w:rPr/>
      </w:pPr>
      <w:bookmarkStart w:colFirst="0" w:colLast="0" w:name="_dwckhtt8j6ba" w:id="5"/>
      <w:bookmarkEnd w:id="5"/>
      <w:r w:rsidDel="00000000" w:rsidR="00000000" w:rsidRPr="00000000">
        <w:rPr>
          <w:rtl w:val="0"/>
        </w:rPr>
        <w:t xml:space="preserve">1. The Naming Muddle: Inconsistent Identities</w:t>
      </w:r>
    </w:p>
    <w:p w:rsidR="00000000" w:rsidDel="00000000" w:rsidP="00000000" w:rsidRDefault="00000000" w:rsidRPr="00000000" w14:paraId="0000000F">
      <w:pPr>
        <w:rPr/>
      </w:pPr>
      <w:r w:rsidDel="00000000" w:rsidR="00000000" w:rsidRPr="00000000">
        <w:rPr>
          <w:rtl w:val="0"/>
        </w:rPr>
        <w:t xml:space="preserve">The first challenge is purely clerical. Because the MCA does not strictly standardize name entries, a single entity might be recorded with slight variations—a missing space, a different abbreviation, or a capitalization change. To a computer, "Company Limited" and "Companylimited" are two different things. This creates a fragmented view where a single company's total CSR spend is split across multiple, seemingly unrelated entries.</w:t>
      </w:r>
    </w:p>
    <w:p w:rsidR="00000000" w:rsidDel="00000000" w:rsidP="00000000" w:rsidRDefault="00000000" w:rsidRPr="00000000" w14:paraId="00000010">
      <w:pPr>
        <w:pStyle w:val="Heading3"/>
        <w:rPr/>
      </w:pPr>
      <w:bookmarkStart w:colFirst="0" w:colLast="0" w:name="_5b57xweb5hnf" w:id="6"/>
      <w:bookmarkEnd w:id="6"/>
      <w:r w:rsidDel="00000000" w:rsidR="00000000" w:rsidRPr="00000000">
        <w:rPr>
          <w:rtl w:val="0"/>
        </w:rPr>
        <w:t xml:space="preserve">2. The ID Shift Problem: Broken Historical Links</w:t>
      </w:r>
    </w:p>
    <w:p w:rsidR="00000000" w:rsidDel="00000000" w:rsidP="00000000" w:rsidRDefault="00000000" w:rsidRPr="00000000" w14:paraId="00000011">
      <w:pPr>
        <w:rPr/>
      </w:pPr>
      <w:r w:rsidDel="00000000" w:rsidR="00000000" w:rsidRPr="00000000">
        <w:rPr>
          <w:rtl w:val="0"/>
        </w:rPr>
        <w:t xml:space="preserve">The second challenge is more structural. When a CIN changes due to the triggers mentioned earlier, the historical link between the old and new data is often broken. An analyst might see one entry for a company when it was unlisted and another after it went public. This leads to "double-counting" where the system artificially inflates the number of companies participating in CSR, when in reality, it is just one company evolving over time.</w:t>
      </w:r>
    </w:p>
    <w:p w:rsidR="00000000" w:rsidDel="00000000" w:rsidP="00000000" w:rsidRDefault="00000000" w:rsidRPr="00000000" w14:paraId="00000012">
      <w:pPr>
        <w:pStyle w:val="Heading1"/>
        <w:rPr/>
      </w:pPr>
      <w:bookmarkStart w:colFirst="0" w:colLast="0" w:name="_v7jq6417h1do" w:id="7"/>
      <w:bookmarkEnd w:id="7"/>
      <w:r w:rsidDel="00000000" w:rsidR="00000000" w:rsidRPr="00000000">
        <w:rPr>
          <w:rtl w:val="0"/>
        </w:rPr>
        <w:t xml:space="preserve">Data Evidence: Critical Examples</w:t>
      </w:r>
    </w:p>
    <w:p w:rsidR="00000000" w:rsidDel="00000000" w:rsidP="00000000" w:rsidRDefault="00000000" w:rsidRPr="00000000" w14:paraId="00000013">
      <w:pPr>
        <w:rPr/>
      </w:pPr>
      <w:r w:rsidDel="00000000" w:rsidR="00000000" w:rsidRPr="00000000">
        <w:rPr>
          <w:rtl w:val="0"/>
        </w:rPr>
        <w:t xml:space="preserve">To illustrate these challenges, the following tables provide real-world examples of duplication found within the CSR portal. These cases highlight how identical names can have different IDs, or how nearly identical names share the same ID, complicating the quest for a unique list of companies.</w:t>
      </w:r>
    </w:p>
    <w:p w:rsidR="00000000" w:rsidDel="00000000" w:rsidP="00000000" w:rsidRDefault="00000000" w:rsidRPr="00000000" w14:paraId="00000014">
      <w:pPr>
        <w:ind w:left="90" w:firstLine="0"/>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ind w:left="0" w:firstLine="0"/>
        <w:rPr>
          <w:sz w:val="28"/>
          <w:szCs w:val="28"/>
        </w:rPr>
      </w:pPr>
      <w:r w:rsidDel="00000000" w:rsidR="00000000" w:rsidRPr="00000000">
        <w:rPr>
          <w:rtl w:val="0"/>
        </w:rPr>
      </w:r>
    </w:p>
    <w:p w:rsidR="00000000" w:rsidDel="00000000" w:rsidP="00000000" w:rsidRDefault="00000000" w:rsidRPr="00000000" w14:paraId="00000017">
      <w:pPr>
        <w:ind w:left="1440" w:firstLine="0"/>
        <w:rPr>
          <w:sz w:val="28"/>
          <w:szCs w:val="28"/>
        </w:rPr>
      </w:pPr>
      <w:r w:rsidDel="00000000" w:rsidR="00000000" w:rsidRPr="00000000">
        <w:rPr>
          <w:rtl w:val="0"/>
        </w:rPr>
      </w:r>
    </w:p>
    <w:p w:rsidR="00000000" w:rsidDel="00000000" w:rsidP="00000000" w:rsidRDefault="00000000" w:rsidRPr="00000000" w14:paraId="00000018">
      <w:pPr>
        <w:numPr>
          <w:ilvl w:val="0"/>
          <w:numId w:val="2"/>
        </w:numPr>
        <w:ind w:left="540" w:hanging="360"/>
        <w:rPr>
          <w:sz w:val="28"/>
          <w:szCs w:val="28"/>
          <w:u w:val="none"/>
        </w:rPr>
      </w:pPr>
      <w:r w:rsidDel="00000000" w:rsidR="00000000" w:rsidRPr="00000000">
        <w:rPr>
          <w:sz w:val="28"/>
          <w:szCs w:val="28"/>
          <w:rtl w:val="0"/>
        </w:rPr>
        <w:t xml:space="preserve">Company Names are matching but different CINs</w:t>
      </w:r>
    </w:p>
    <w:p w:rsidR="00000000" w:rsidDel="00000000" w:rsidP="00000000" w:rsidRDefault="00000000" w:rsidRPr="00000000" w14:paraId="00000019">
      <w:pPr>
        <w:rPr>
          <w:sz w:val="28"/>
          <w:szCs w:val="28"/>
        </w:rPr>
      </w:pPr>
      <w:r w:rsidDel="00000000" w:rsidR="00000000" w:rsidRPr="00000000">
        <w:rPr>
          <w:rtl w:val="0"/>
        </w:rPr>
      </w:r>
    </w:p>
    <w:tbl>
      <w:tblPr>
        <w:tblStyle w:val="Table1"/>
        <w:tblW w:w="1165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925"/>
        <w:gridCol w:w="3015"/>
        <w:gridCol w:w="2805"/>
        <w:tblGridChange w:id="0">
          <w:tblGrid>
            <w:gridCol w:w="2910"/>
            <w:gridCol w:w="2925"/>
            <w:gridCol w:w="3015"/>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shd w:fill="b7b7b7" w:val="clear"/>
              </w:rPr>
            </w:pPr>
            <w:r w:rsidDel="00000000" w:rsidR="00000000" w:rsidRPr="00000000">
              <w:rPr>
                <w:sz w:val="28"/>
                <w:szCs w:val="28"/>
                <w:shd w:fill="b7b7b7" w:val="clear"/>
                <w:rtl w:val="0"/>
              </w:rPr>
              <w:t xml:space="preserve">company_1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shd w:fill="b7b7b7" w:val="clear"/>
              </w:rPr>
            </w:pPr>
            <w:r w:rsidDel="00000000" w:rsidR="00000000" w:rsidRPr="00000000">
              <w:rPr>
                <w:sz w:val="28"/>
                <w:szCs w:val="28"/>
                <w:shd w:fill="b7b7b7" w:val="clear"/>
                <w:rtl w:val="0"/>
              </w:rPr>
              <w:t xml:space="preserve">cin_1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sz w:val="28"/>
                <w:szCs w:val="28"/>
                <w:shd w:fill="c9daf8" w:val="clear"/>
              </w:rPr>
            </w:pPr>
            <w:r w:rsidDel="00000000" w:rsidR="00000000" w:rsidRPr="00000000">
              <w:rPr>
                <w:sz w:val="28"/>
                <w:szCs w:val="28"/>
                <w:shd w:fill="c9daf8" w:val="clear"/>
                <w:rtl w:val="0"/>
              </w:rPr>
              <w:t xml:space="preserve">company_2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sz w:val="28"/>
                <w:szCs w:val="28"/>
                <w:shd w:fill="c9daf8" w:val="clear"/>
              </w:rPr>
            </w:pPr>
            <w:r w:rsidDel="00000000" w:rsidR="00000000" w:rsidRPr="00000000">
              <w:rPr>
                <w:sz w:val="28"/>
                <w:szCs w:val="28"/>
                <w:shd w:fill="c9daf8" w:val="clear"/>
                <w:rtl w:val="0"/>
              </w:rPr>
              <w:t xml:space="preserve">cin_2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BALIRAJA SAKHAR KARKHANA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U15421PN2001PLC147613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BALIRAJA SAKHAR KARKHANA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U15424PN2000PLC014423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SURAT TEXTILE MILLS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L17119GJ1945PLC000214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SURAT TEXTILE MILLS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U99999MH1945PTC004658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 C CHANDRA (GEMS) PRIVATE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U28990WB2018PTC224517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 C CHANDRA (GEMS) PRIVATE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U55201WB2001PTC092795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SEQUENT SCIENTIFIC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L99999MH1985PLC036685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Sequent Scientific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L99999TS1985PLC196357</w:t>
            </w:r>
          </w:p>
        </w:tc>
      </w:tr>
    </w:tbl>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ind w:left="1440" w:firstLine="0"/>
        <w:rPr>
          <w:sz w:val="28"/>
          <w:szCs w:val="28"/>
        </w:rPr>
      </w:pPr>
      <w:r w:rsidDel="00000000" w:rsidR="00000000" w:rsidRPr="00000000">
        <w:rPr>
          <w:rtl w:val="0"/>
        </w:rPr>
      </w:r>
    </w:p>
    <w:p w:rsidR="00000000" w:rsidDel="00000000" w:rsidP="00000000" w:rsidRDefault="00000000" w:rsidRPr="00000000" w14:paraId="00000030">
      <w:pPr>
        <w:ind w:left="1440" w:firstLine="0"/>
        <w:rPr>
          <w:sz w:val="28"/>
          <w:szCs w:val="28"/>
        </w:rPr>
      </w:pPr>
      <w:r w:rsidDel="00000000" w:rsidR="00000000" w:rsidRPr="00000000">
        <w:rPr>
          <w:rtl w:val="0"/>
        </w:rPr>
      </w:r>
    </w:p>
    <w:p w:rsidR="00000000" w:rsidDel="00000000" w:rsidP="00000000" w:rsidRDefault="00000000" w:rsidRPr="00000000" w14:paraId="00000031">
      <w:pPr>
        <w:ind w:left="1440" w:firstLine="0"/>
        <w:rPr>
          <w:sz w:val="28"/>
          <w:szCs w:val="28"/>
        </w:rPr>
      </w:pPr>
      <w:r w:rsidDel="00000000" w:rsidR="00000000" w:rsidRPr="00000000">
        <w:rPr>
          <w:rtl w:val="0"/>
        </w:rPr>
      </w:r>
    </w:p>
    <w:p w:rsidR="00000000" w:rsidDel="00000000" w:rsidP="00000000" w:rsidRDefault="00000000" w:rsidRPr="00000000" w14:paraId="00000032">
      <w:pPr>
        <w:ind w:left="0" w:firstLine="0"/>
        <w:rPr>
          <w:sz w:val="28"/>
          <w:szCs w:val="28"/>
        </w:rPr>
      </w:pPr>
      <w:r w:rsidDel="00000000" w:rsidR="00000000" w:rsidRPr="00000000">
        <w:rPr>
          <w:rtl w:val="0"/>
        </w:rPr>
      </w:r>
    </w:p>
    <w:p w:rsidR="00000000" w:rsidDel="00000000" w:rsidP="00000000" w:rsidRDefault="00000000" w:rsidRPr="00000000" w14:paraId="00000033">
      <w:pPr>
        <w:ind w:left="0" w:firstLine="0"/>
        <w:rPr>
          <w:sz w:val="28"/>
          <w:szCs w:val="28"/>
        </w:rPr>
      </w:pPr>
      <w:r w:rsidDel="00000000" w:rsidR="00000000" w:rsidRPr="00000000">
        <w:rPr>
          <w:rtl w:val="0"/>
        </w:rPr>
      </w:r>
    </w:p>
    <w:p w:rsidR="00000000" w:rsidDel="00000000" w:rsidP="00000000" w:rsidRDefault="00000000" w:rsidRPr="00000000" w14:paraId="00000034">
      <w:pPr>
        <w:ind w:left="1440" w:firstLine="0"/>
        <w:rPr>
          <w:sz w:val="28"/>
          <w:szCs w:val="28"/>
        </w:rPr>
      </w:pPr>
      <w:r w:rsidDel="00000000" w:rsidR="00000000" w:rsidRPr="00000000">
        <w:rPr>
          <w:rtl w:val="0"/>
        </w:rPr>
      </w:r>
    </w:p>
    <w:p w:rsidR="00000000" w:rsidDel="00000000" w:rsidP="00000000" w:rsidRDefault="00000000" w:rsidRPr="00000000" w14:paraId="00000035">
      <w:pPr>
        <w:numPr>
          <w:ilvl w:val="0"/>
          <w:numId w:val="2"/>
        </w:numPr>
        <w:ind w:left="540" w:hanging="360"/>
        <w:rPr>
          <w:sz w:val="28"/>
          <w:szCs w:val="28"/>
        </w:rPr>
      </w:pPr>
      <w:r w:rsidDel="00000000" w:rsidR="00000000" w:rsidRPr="00000000">
        <w:rPr>
          <w:sz w:val="28"/>
          <w:szCs w:val="28"/>
          <w:rtl w:val="0"/>
        </w:rPr>
        <w:t xml:space="preserve">Company Names and CIN aren’t matching</w:t>
      </w:r>
    </w:p>
    <w:p w:rsidR="00000000" w:rsidDel="00000000" w:rsidP="00000000" w:rsidRDefault="00000000" w:rsidRPr="00000000" w14:paraId="00000036">
      <w:pPr>
        <w:ind w:left="1440" w:firstLine="0"/>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tbl>
      <w:tblPr>
        <w:tblStyle w:val="Table2"/>
        <w:tblW w:w="1165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925"/>
        <w:gridCol w:w="3015"/>
        <w:gridCol w:w="2805"/>
        <w:tblGridChange w:id="0">
          <w:tblGrid>
            <w:gridCol w:w="2910"/>
            <w:gridCol w:w="2925"/>
            <w:gridCol w:w="3015"/>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28"/>
                <w:szCs w:val="28"/>
              </w:rPr>
            </w:pPr>
            <w:r w:rsidDel="00000000" w:rsidR="00000000" w:rsidRPr="00000000">
              <w:rPr>
                <w:sz w:val="28"/>
                <w:szCs w:val="28"/>
                <w:shd w:fill="b7b7b7" w:val="clear"/>
                <w:rtl w:val="0"/>
              </w:rPr>
              <w:t xml:space="preserve">company_1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28"/>
                <w:szCs w:val="28"/>
              </w:rPr>
            </w:pPr>
            <w:r w:rsidDel="00000000" w:rsidR="00000000" w:rsidRPr="00000000">
              <w:rPr>
                <w:sz w:val="28"/>
                <w:szCs w:val="28"/>
                <w:shd w:fill="b7b7b7" w:val="clear"/>
                <w:rtl w:val="0"/>
              </w:rPr>
              <w:t xml:space="preserve">cin_1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28"/>
                <w:szCs w:val="28"/>
                <w:shd w:fill="c9daf8" w:val="clear"/>
              </w:rPr>
            </w:pPr>
            <w:r w:rsidDel="00000000" w:rsidR="00000000" w:rsidRPr="00000000">
              <w:rPr>
                <w:sz w:val="28"/>
                <w:szCs w:val="28"/>
                <w:shd w:fill="c9daf8" w:val="clear"/>
                <w:rtl w:val="0"/>
              </w:rPr>
              <w:t xml:space="preserve">company_2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28"/>
                <w:szCs w:val="28"/>
                <w:shd w:fill="c9daf8" w:val="clear"/>
              </w:rPr>
            </w:pPr>
            <w:r w:rsidDel="00000000" w:rsidR="00000000" w:rsidRPr="00000000">
              <w:rPr>
                <w:sz w:val="28"/>
                <w:szCs w:val="28"/>
                <w:shd w:fill="c9daf8" w:val="clear"/>
                <w:rtl w:val="0"/>
              </w:rPr>
              <w:t xml:space="preserve">cin_2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ZERO MASS PRIVATE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U66120MH2007PTC168756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ZERO MICROFINANCE AND SAVINGS SUPPORT PRIVATE LIMITED</w:t>
            </w:r>
          </w:p>
          <w:p w:rsidR="00000000" w:rsidDel="00000000" w:rsidP="00000000" w:rsidRDefault="00000000" w:rsidRPr="00000000" w14:paraId="0000003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U74999MH2007PTC168756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HITACHI SOLUTIONS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U74999TN2013FTC091536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HITACHI SOLUTIONS INDIA PRIVATE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U72200PN2001PTC016412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SORIL INFRA RESOURCES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L52190HR2005PLC077960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Store One Retail India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L52190DL2005PLC181536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IAPL GROUP PRIVATE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U55101DL2010PTC206586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INTERNATIONAL AIRCON PRIVATE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U51909DL2010PTC206586</w:t>
            </w:r>
          </w:p>
        </w:tc>
      </w:tr>
    </w:tbl>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br w:type="textWrapping"/>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Screenshots from the official CSR portal </w:t>
      </w:r>
    </w:p>
    <w:p w:rsidR="00000000" w:rsidDel="00000000" w:rsidP="00000000" w:rsidRDefault="00000000" w:rsidRPr="00000000" w14:paraId="00000052">
      <w:pPr>
        <w:rPr>
          <w:sz w:val="28"/>
          <w:szCs w:val="28"/>
        </w:rPr>
      </w:pPr>
      <w:r w:rsidDel="00000000" w:rsidR="00000000" w:rsidRPr="00000000">
        <w:rPr>
          <w:sz w:val="28"/>
          <w:szCs w:val="28"/>
        </w:rPr>
        <w:drawing>
          <wp:inline distB="114300" distT="114300" distL="114300" distR="114300">
            <wp:extent cx="6629400" cy="5270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29400" cy="5270500"/>
                    </a:xfrm>
                    <a:prstGeom prst="rect"/>
                    <a:ln/>
                  </pic:spPr>
                </pic:pic>
              </a:graphicData>
            </a:graphic>
          </wp:inline>
        </w:drawing>
      </w:r>
      <w:r w:rsidDel="00000000" w:rsidR="00000000" w:rsidRPr="00000000">
        <w:rPr>
          <w:sz w:val="28"/>
          <w:szCs w:val="28"/>
        </w:rPr>
        <w:drawing>
          <wp:inline distB="114300" distT="114300" distL="114300" distR="114300">
            <wp:extent cx="6629400" cy="4991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29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ind w:left="90" w:firstLine="0"/>
        <w:rPr>
          <w:sz w:val="28"/>
          <w:szCs w:val="28"/>
        </w:rPr>
      </w:pPr>
      <w:r w:rsidDel="00000000" w:rsidR="00000000" w:rsidRPr="00000000">
        <w:rPr>
          <w:rtl w:val="0"/>
        </w:rPr>
      </w:r>
    </w:p>
    <w:sectPr>
      <w:pgSz w:h="15840" w:w="12240" w:orient="portrait"/>
      <w:pgMar w:bottom="1440" w:top="1440" w:left="126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