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Calibri" w:hAnsi="Calibri"/>
          <w:b/>
          <w:color w:val="64748B"/>
          <w:sz w:val="24"/>
        </w:rPr>
        <w:t>ENTERPRISE AI STRATEGY &amp; TRANSFORMATION PRACTICE</w:t>
      </w:r>
    </w:p>
    <w:p>
      <w:pPr>
        <w:spacing w:before="0" w:after="240" w:line="264" w:lineRule="auto"/>
      </w:pPr>
      <w:r>
        <w:rPr>
          <w:rFonts w:ascii="Calibri" w:hAnsi="Calibri"/>
          <w:b/>
          <w:color w:val="003366"/>
          <w:sz w:val="52"/>
        </w:rPr>
        <w:t>ENTERPRISE ARTIFICIAL INTELLIGENCE STRATEGIC MASTER PLAN &amp; FEASIBILITY REPORT</w:t>
      </w:r>
    </w:p>
    <w:p>
      <w:pPr>
        <w:spacing w:before="0" w:after="560"/>
      </w:pPr>
      <w:r>
        <w:rPr>
          <w:rFonts w:ascii="Calibri" w:hAnsi="Calibri"/>
          <w:color w:val="475569"/>
          <w:sz w:val="26"/>
        </w:rPr>
        <w:t>Harnessing Autonomous Multi-Agent Swarms, Multimodal Perception, and Predictive Intelligence to Drive Next-Generation Omnichannel Supply Chain Resilience and Cognitive Decisioning</w:t>
      </w:r>
    </w:p>
    <w:tbl>
      <w:tblPr>
        <w:tblW w:type="auto" w:w="0"/>
        <w:jc w:val="center"/>
        <w:tblLook w:firstColumn="1" w:firstRow="1" w:lastColumn="0" w:lastRow="0" w:noHBand="0" w:noVBand="1" w:val="04A0"/>
      </w:tblPr>
      <w:tblGrid>
        <w:gridCol w:w="9360"/>
      </w:tblGrid>
      <w:tr>
        <w:tc>
          <w:tcPr>
            <w:tcW w:type="dxa" w:w="9360"/>
            <w:shd w:fill="003366"/>
            <w:tcMar>
              <w:top w:w="10" w:type="dxa"/>
              <w:bottom w:w="10" w:type="dxa"/>
              <w:left w:w="0" w:type="dxa"/>
              <w:right w:w="0" w:type="dxa"/>
            </w:tcMar>
          </w:tcPr>
          <w:p>
            <w:pPr>
              <w:spacing w:before="0"/>
            </w:pPr>
            <w:r>
              <w:rPr>
                <w:sz w:val="4"/>
              </w:rPr>
            </w:r>
          </w:p>
        </w:tc>
      </w:tr>
    </w:tbl>
    <w:p>
      <w:pPr>
        <w:spacing w:before="2400" w:after="80"/>
      </w:pPr>
      <w:r>
        <w:rPr>
          <w:b/>
          <w:color w:val="003366"/>
          <w:sz w:val="21"/>
        </w:rPr>
        <w:t xml:space="preserve">TARGET ENTERPRISE: </w:t>
      </w:r>
      <w:r>
        <w:t>OmniVanguard Global Logistics &amp; Retail Enterprise</w:t>
        <w:br/>
      </w:r>
      <w:r>
        <w:rPr>
          <w:b/>
          <w:color w:val="003366"/>
          <w:sz w:val="21"/>
        </w:rPr>
        <w:t xml:space="preserve">PROJECT NAME: </w:t>
      </w:r>
      <w:r>
        <w:t>Project CognitiveFlow — Autonomous Cognitive Enterprise System</w:t>
        <w:br/>
      </w:r>
      <w:r>
        <w:rPr>
          <w:b/>
          <w:color w:val="003366"/>
          <w:sz w:val="21"/>
        </w:rPr>
        <w:t xml:space="preserve">STRATEGIC HORIZON: </w:t>
      </w:r>
      <w:r>
        <w:t>24-Month Phased Rollout (FY2027 – FY2029)</w:t>
        <w:br/>
      </w:r>
      <w:r>
        <w:rPr>
          <w:b/>
          <w:color w:val="003366"/>
          <w:sz w:val="21"/>
        </w:rPr>
        <w:t xml:space="preserve">DOCUMENT CLASSIFICATION: </w:t>
      </w:r>
      <w:r>
        <w:t>Executive Confidential | Board-Ready Strategic Deliverable | Version 3.2-Final</w:t>
      </w:r>
    </w:p>
    <w:p>
      <w:r>
        <w:br w:type="page"/>
      </w:r>
    </w:p>
    <w:p>
      <w:pPr>
        <w:pStyle w:val="Heading1"/>
        <w:keepNext/>
        <w:spacing w:before="400" w:after="160"/>
      </w:pPr>
      <w:r>
        <w:rPr>
          <w:rFonts w:ascii="Calibri" w:hAnsi="Calibri"/>
          <w:b/>
          <w:color w:val="003366"/>
          <w:sz w:val="34"/>
        </w:rPr>
        <w:t>TABLE OF CONTENTS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c>
          <w:tcPr>
            <w:tcW w:type="dxa" w:w="1728"/>
            <w:shd w:fill="003366"/>
            <w:tcMar>
              <w:top w:w="120" w:type="dxa"/>
              <w:bottom w:w="120" w:type="dxa"/>
              <w:left w:w="140" w:type="dxa"/>
              <w:right w:w="140" w:type="dxa"/>
            </w:tcMar>
          </w:tcPr>
          <w:p>
            <w:pPr>
              <w:spacing w:before="0" w:after="0"/>
            </w:pPr>
            <w:r>
              <w:rPr>
                <w:rFonts w:ascii="Calibri" w:hAnsi="Calibri"/>
                <w:b/>
                <w:color w:val="FFFFFF"/>
                <w:sz w:val="19"/>
              </w:rPr>
              <w:t>Section</w:t>
            </w:r>
          </w:p>
        </w:tc>
        <w:tc>
          <w:tcPr>
            <w:tcW w:type="dxa" w:w="6192"/>
            <w:shd w:fill="003366"/>
            <w:tcMar>
              <w:top w:w="120" w:type="dxa"/>
              <w:bottom w:w="120" w:type="dxa"/>
              <w:left w:w="140" w:type="dxa"/>
              <w:right w:w="140" w:type="dxa"/>
            </w:tcMar>
          </w:tcPr>
          <w:p>
            <w:pPr>
              <w:spacing w:before="0" w:after="0"/>
            </w:pPr>
            <w:r>
              <w:rPr>
                <w:rFonts w:ascii="Calibri" w:hAnsi="Calibri"/>
                <w:b/>
                <w:color w:val="FFFFFF"/>
                <w:sz w:val="19"/>
              </w:rPr>
              <w:t>Document Title / Major Strategic Segment</w:t>
            </w:r>
          </w:p>
        </w:tc>
        <w:tc>
          <w:tcPr>
            <w:tcW w:type="dxa" w:w="1440"/>
            <w:shd w:fill="003366"/>
            <w:tcMar>
              <w:top w:w="120" w:type="dxa"/>
              <w:bottom w:w="120" w:type="dxa"/>
              <w:left w:w="140" w:type="dxa"/>
              <w:right w:w="140" w:type="dxa"/>
            </w:tcMar>
          </w:tcPr>
          <w:p>
            <w:pPr>
              <w:spacing w:before="0" w:after="0"/>
              <w:jc w:val="right"/>
            </w:pPr>
            <w:r>
              <w:rPr>
                <w:rFonts w:ascii="Calibri" w:hAnsi="Calibri"/>
                <w:b/>
                <w:color w:val="FFFFFF"/>
                <w:sz w:val="19"/>
              </w:rPr>
              <w:t>Ref</w:t>
            </w:r>
          </w:p>
        </w:tc>
      </w:tr>
      <w:tr>
        <w:tc>
          <w:tcPr>
            <w:tcW w:type="dxa" w:w="1728"/>
            <w:shd w:fill="FFFFFF"/>
            <w:tcMar>
              <w:top w:w="100" w:type="dxa"/>
              <w:bottom w:w="100" w:type="dxa"/>
              <w:left w:w="140" w:type="dxa"/>
              <w:right w:w="140" w:type="dxa"/>
            </w:tcMar>
          </w:tcPr>
          <w:p>
            <w:pPr>
              <w:spacing w:before="0" w:after="0" w:line="276" w:lineRule="auto"/>
            </w:pPr>
            <w:r>
              <w:rPr>
                <w:rFonts w:ascii="Calibri" w:hAnsi="Calibri"/>
                <w:color w:val="1E293B"/>
                <w:sz w:val="18"/>
              </w:rPr>
              <w:t>Section 1</w:t>
            </w:r>
          </w:p>
        </w:tc>
        <w:tc>
          <w:tcPr>
            <w:tcW w:type="dxa" w:w="6192"/>
            <w:shd w:fill="FFFFFF"/>
            <w:tcMar>
              <w:top w:w="100" w:type="dxa"/>
              <w:bottom w:w="100" w:type="dxa"/>
              <w:left w:w="140" w:type="dxa"/>
              <w:right w:w="140" w:type="dxa"/>
            </w:tcMar>
          </w:tcPr>
          <w:p>
            <w:pPr>
              <w:spacing w:before="0" w:after="0" w:line="276" w:lineRule="auto"/>
            </w:pPr>
            <w:r>
              <w:rPr>
                <w:rFonts w:ascii="Calibri" w:hAnsi="Calibri"/>
                <w:color w:val="1E293B"/>
                <w:sz w:val="18"/>
              </w:rPr>
              <w:t>Executive Summary &amp; Core Strategic Directives</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Page 3</w:t>
            </w:r>
          </w:p>
        </w:tc>
      </w:tr>
      <w:tr>
        <w:tc>
          <w:tcPr>
            <w:tcW w:type="dxa" w:w="1728"/>
            <w:shd w:fill="F8FAFC"/>
            <w:tcMar>
              <w:top w:w="100" w:type="dxa"/>
              <w:bottom w:w="100" w:type="dxa"/>
              <w:left w:w="140" w:type="dxa"/>
              <w:right w:w="140" w:type="dxa"/>
            </w:tcMar>
          </w:tcPr>
          <w:p>
            <w:pPr>
              <w:spacing w:before="0" w:after="0" w:line="276" w:lineRule="auto"/>
            </w:pPr>
            <w:r>
              <w:rPr>
                <w:rFonts w:ascii="Calibri" w:hAnsi="Calibri"/>
                <w:color w:val="1E293B"/>
                <w:sz w:val="18"/>
              </w:rPr>
              <w:t>Section 2</w:t>
            </w:r>
          </w:p>
        </w:tc>
        <w:tc>
          <w:tcPr>
            <w:tcW w:type="dxa" w:w="6192"/>
            <w:shd w:fill="F8FAFC"/>
            <w:tcMar>
              <w:top w:w="100" w:type="dxa"/>
              <w:bottom w:w="100" w:type="dxa"/>
              <w:left w:w="140" w:type="dxa"/>
              <w:right w:w="140" w:type="dxa"/>
            </w:tcMar>
          </w:tcPr>
          <w:p>
            <w:pPr>
              <w:spacing w:before="0" w:after="0" w:line="276" w:lineRule="auto"/>
            </w:pPr>
            <w:r>
              <w:rPr>
                <w:rFonts w:ascii="Calibri" w:hAnsi="Calibri"/>
                <w:color w:val="1E293B"/>
                <w:sz w:val="18"/>
              </w:rPr>
              <w:t>Contemporary AI Landscape &amp; Technology Trends Research</w:t>
            </w:r>
          </w:p>
        </w:tc>
        <w:tc>
          <w:tcPr>
            <w:tcW w:type="dxa" w:w="1440"/>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Page 5</w:t>
            </w:r>
          </w:p>
        </w:tc>
      </w:tr>
      <w:tr>
        <w:tc>
          <w:tcPr>
            <w:tcW w:type="dxa" w:w="1728"/>
            <w:shd w:fill="FFFFFF"/>
            <w:tcMar>
              <w:top w:w="100" w:type="dxa"/>
              <w:bottom w:w="100" w:type="dxa"/>
              <w:left w:w="140" w:type="dxa"/>
              <w:right w:w="140" w:type="dxa"/>
            </w:tcMar>
          </w:tcPr>
          <w:p>
            <w:pPr>
              <w:spacing w:before="0" w:after="0" w:line="276" w:lineRule="auto"/>
            </w:pPr>
            <w:r>
              <w:rPr>
                <w:rFonts w:ascii="Calibri" w:hAnsi="Calibri"/>
                <w:color w:val="1E293B"/>
                <w:sz w:val="18"/>
              </w:rPr>
              <w:t>Section 3</w:t>
            </w:r>
          </w:p>
        </w:tc>
        <w:tc>
          <w:tcPr>
            <w:tcW w:type="dxa" w:w="6192"/>
            <w:shd w:fill="FFFFFF"/>
            <w:tcMar>
              <w:top w:w="100" w:type="dxa"/>
              <w:bottom w:w="100" w:type="dxa"/>
              <w:left w:w="140" w:type="dxa"/>
              <w:right w:w="140" w:type="dxa"/>
            </w:tcMar>
          </w:tcPr>
          <w:p>
            <w:pPr>
              <w:spacing w:before="0" w:after="0" w:line="276" w:lineRule="auto"/>
            </w:pPr>
            <w:r>
              <w:rPr>
                <w:rFonts w:ascii="Calibri" w:hAnsi="Calibri"/>
                <w:color w:val="1E293B"/>
                <w:sz w:val="18"/>
              </w:rPr>
              <w:t>Strategic Business Problem Identification &amp; Opportunity Framing</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Page 11</w:t>
            </w:r>
          </w:p>
        </w:tc>
      </w:tr>
      <w:tr>
        <w:tc>
          <w:tcPr>
            <w:tcW w:type="dxa" w:w="1728"/>
            <w:shd w:fill="F8FAFC"/>
            <w:tcMar>
              <w:top w:w="100" w:type="dxa"/>
              <w:bottom w:w="100" w:type="dxa"/>
              <w:left w:w="140" w:type="dxa"/>
              <w:right w:w="140" w:type="dxa"/>
            </w:tcMar>
          </w:tcPr>
          <w:p>
            <w:pPr>
              <w:spacing w:before="0" w:after="0" w:line="276" w:lineRule="auto"/>
            </w:pPr>
            <w:r>
              <w:rPr>
                <w:rFonts w:ascii="Calibri" w:hAnsi="Calibri"/>
                <w:color w:val="1E293B"/>
                <w:sz w:val="18"/>
              </w:rPr>
              <w:t>Section 4</w:t>
            </w:r>
          </w:p>
        </w:tc>
        <w:tc>
          <w:tcPr>
            <w:tcW w:type="dxa" w:w="6192"/>
            <w:shd w:fill="F8FAFC"/>
            <w:tcMar>
              <w:top w:w="100" w:type="dxa"/>
              <w:bottom w:w="100" w:type="dxa"/>
              <w:left w:w="140" w:type="dxa"/>
              <w:right w:w="140" w:type="dxa"/>
            </w:tcMar>
          </w:tcPr>
          <w:p>
            <w:pPr>
              <w:spacing w:before="0" w:after="0" w:line="276" w:lineRule="auto"/>
            </w:pPr>
            <w:r>
              <w:rPr>
                <w:rFonts w:ascii="Calibri" w:hAnsi="Calibri"/>
                <w:color w:val="1E293B"/>
                <w:sz w:val="18"/>
              </w:rPr>
              <w:t>Strategic Feasibility Analysis (SWOT, Porter's, PESTLE)</w:t>
            </w:r>
          </w:p>
        </w:tc>
        <w:tc>
          <w:tcPr>
            <w:tcW w:type="dxa" w:w="1440"/>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Page 15</w:t>
            </w:r>
          </w:p>
        </w:tc>
      </w:tr>
      <w:tr>
        <w:tc>
          <w:tcPr>
            <w:tcW w:type="dxa" w:w="1728"/>
            <w:shd w:fill="FFFFFF"/>
            <w:tcMar>
              <w:top w:w="100" w:type="dxa"/>
              <w:bottom w:w="100" w:type="dxa"/>
              <w:left w:w="140" w:type="dxa"/>
              <w:right w:w="140" w:type="dxa"/>
            </w:tcMar>
          </w:tcPr>
          <w:p>
            <w:pPr>
              <w:spacing w:before="0" w:after="0" w:line="276" w:lineRule="auto"/>
            </w:pPr>
            <w:r>
              <w:rPr>
                <w:rFonts w:ascii="Calibri" w:hAnsi="Calibri"/>
                <w:color w:val="1E293B"/>
                <w:sz w:val="18"/>
              </w:rPr>
              <w:t>Section 5</w:t>
            </w:r>
          </w:p>
        </w:tc>
        <w:tc>
          <w:tcPr>
            <w:tcW w:type="dxa" w:w="6192"/>
            <w:shd w:fill="FFFFFF"/>
            <w:tcMar>
              <w:top w:w="100" w:type="dxa"/>
              <w:bottom w:w="100" w:type="dxa"/>
              <w:left w:w="140" w:type="dxa"/>
              <w:right w:w="140" w:type="dxa"/>
            </w:tcMar>
          </w:tcPr>
          <w:p>
            <w:pPr>
              <w:spacing w:before="0" w:after="0" w:line="276" w:lineRule="auto"/>
            </w:pPr>
            <w:r>
              <w:rPr>
                <w:rFonts w:ascii="Calibri" w:hAnsi="Calibri"/>
                <w:color w:val="1E293B"/>
                <w:sz w:val="18"/>
              </w:rPr>
              <w:t>System Architecture Blueprint: Project CognitiveFlow</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Page 20</w:t>
            </w:r>
          </w:p>
        </w:tc>
      </w:tr>
      <w:tr>
        <w:tc>
          <w:tcPr>
            <w:tcW w:type="dxa" w:w="1728"/>
            <w:shd w:fill="F8FAFC"/>
            <w:tcMar>
              <w:top w:w="100" w:type="dxa"/>
              <w:bottom w:w="100" w:type="dxa"/>
              <w:left w:w="140" w:type="dxa"/>
              <w:right w:w="140" w:type="dxa"/>
            </w:tcMar>
          </w:tcPr>
          <w:p>
            <w:pPr>
              <w:spacing w:before="0" w:after="0" w:line="276" w:lineRule="auto"/>
            </w:pPr>
            <w:r>
              <w:rPr>
                <w:rFonts w:ascii="Calibri" w:hAnsi="Calibri"/>
                <w:color w:val="1E293B"/>
                <w:sz w:val="18"/>
              </w:rPr>
              <w:t>Section 6</w:t>
            </w:r>
          </w:p>
        </w:tc>
        <w:tc>
          <w:tcPr>
            <w:tcW w:type="dxa" w:w="6192"/>
            <w:shd w:fill="F8FAFC"/>
            <w:tcMar>
              <w:top w:w="100" w:type="dxa"/>
              <w:bottom w:w="100" w:type="dxa"/>
              <w:left w:w="140" w:type="dxa"/>
              <w:right w:w="140" w:type="dxa"/>
            </w:tcMar>
          </w:tcPr>
          <w:p>
            <w:pPr>
              <w:spacing w:before="0" w:after="0" w:line="276" w:lineRule="auto"/>
            </w:pPr>
            <w:r>
              <w:rPr>
                <w:rFonts w:ascii="Calibri" w:hAnsi="Calibri"/>
                <w:color w:val="1E293B"/>
                <w:sz w:val="18"/>
              </w:rPr>
              <w:t>Comprehensive Implementation Strategy &amp; 24-Month Roadmap</w:t>
            </w:r>
          </w:p>
        </w:tc>
        <w:tc>
          <w:tcPr>
            <w:tcW w:type="dxa" w:w="1440"/>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Page 26</w:t>
            </w:r>
          </w:p>
        </w:tc>
      </w:tr>
      <w:tr>
        <w:tc>
          <w:tcPr>
            <w:tcW w:type="dxa" w:w="1728"/>
            <w:shd w:fill="FFFFFF"/>
            <w:tcMar>
              <w:top w:w="100" w:type="dxa"/>
              <w:bottom w:w="100" w:type="dxa"/>
              <w:left w:w="140" w:type="dxa"/>
              <w:right w:w="140" w:type="dxa"/>
            </w:tcMar>
          </w:tcPr>
          <w:p>
            <w:pPr>
              <w:spacing w:before="0" w:after="0" w:line="276" w:lineRule="auto"/>
            </w:pPr>
            <w:r>
              <w:rPr>
                <w:rFonts w:ascii="Calibri" w:hAnsi="Calibri"/>
                <w:color w:val="1E293B"/>
                <w:sz w:val="18"/>
              </w:rPr>
              <w:t>Section 7</w:t>
            </w:r>
          </w:p>
        </w:tc>
        <w:tc>
          <w:tcPr>
            <w:tcW w:type="dxa" w:w="6192"/>
            <w:shd w:fill="FFFFFF"/>
            <w:tcMar>
              <w:top w:w="100" w:type="dxa"/>
              <w:bottom w:w="100" w:type="dxa"/>
              <w:left w:w="140" w:type="dxa"/>
              <w:right w:w="140" w:type="dxa"/>
            </w:tcMar>
          </w:tcPr>
          <w:p>
            <w:pPr>
              <w:spacing w:before="0" w:after="0" w:line="276" w:lineRule="auto"/>
            </w:pPr>
            <w:r>
              <w:rPr>
                <w:rFonts w:ascii="Calibri" w:hAnsi="Calibri"/>
                <w:color w:val="1E293B"/>
                <w:sz w:val="18"/>
              </w:rPr>
              <w:t>Enterprise Risk Management, Governance, &amp; Ethical AI Framework</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Page 32</w:t>
            </w:r>
          </w:p>
        </w:tc>
      </w:tr>
      <w:tr>
        <w:tc>
          <w:tcPr>
            <w:tcW w:type="dxa" w:w="1728"/>
            <w:shd w:fill="F8FAFC"/>
            <w:tcMar>
              <w:top w:w="100" w:type="dxa"/>
              <w:bottom w:w="100" w:type="dxa"/>
              <w:left w:w="140" w:type="dxa"/>
              <w:right w:w="140" w:type="dxa"/>
            </w:tcMar>
          </w:tcPr>
          <w:p>
            <w:pPr>
              <w:spacing w:before="0" w:after="0" w:line="276" w:lineRule="auto"/>
            </w:pPr>
            <w:r>
              <w:rPr>
                <w:rFonts w:ascii="Calibri" w:hAnsi="Calibri"/>
                <w:color w:val="1E293B"/>
                <w:sz w:val="18"/>
              </w:rPr>
              <w:t>Section 8</w:t>
            </w:r>
          </w:p>
        </w:tc>
        <w:tc>
          <w:tcPr>
            <w:tcW w:type="dxa" w:w="6192"/>
            <w:shd w:fill="F8FAFC"/>
            <w:tcMar>
              <w:top w:w="100" w:type="dxa"/>
              <w:bottom w:w="100" w:type="dxa"/>
              <w:left w:w="140" w:type="dxa"/>
              <w:right w:w="140" w:type="dxa"/>
            </w:tcMar>
          </w:tcPr>
          <w:p>
            <w:pPr>
              <w:spacing w:before="0" w:after="0" w:line="276" w:lineRule="auto"/>
            </w:pPr>
            <w:r>
              <w:rPr>
                <w:rFonts w:ascii="Calibri" w:hAnsi="Calibri"/>
                <w:color w:val="1E293B"/>
                <w:sz w:val="18"/>
              </w:rPr>
              <w:t>Financial Model, CapEx/OpEx Breakdown, &amp; ROI Analysis</w:t>
            </w:r>
          </w:p>
        </w:tc>
        <w:tc>
          <w:tcPr>
            <w:tcW w:type="dxa" w:w="1440"/>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Page 37</w:t>
            </w:r>
          </w:p>
        </w:tc>
      </w:tr>
      <w:tr>
        <w:tc>
          <w:tcPr>
            <w:tcW w:type="dxa" w:w="1728"/>
            <w:shd w:fill="FFFFFF"/>
            <w:tcMar>
              <w:top w:w="100" w:type="dxa"/>
              <w:bottom w:w="100" w:type="dxa"/>
              <w:left w:w="140" w:type="dxa"/>
              <w:right w:w="140" w:type="dxa"/>
            </w:tcMar>
          </w:tcPr>
          <w:p>
            <w:pPr>
              <w:spacing w:before="0" w:after="0" w:line="276" w:lineRule="auto"/>
            </w:pPr>
            <w:r>
              <w:rPr>
                <w:rFonts w:ascii="Calibri" w:hAnsi="Calibri"/>
                <w:color w:val="1E293B"/>
                <w:sz w:val="18"/>
              </w:rPr>
              <w:t>Section 9</w:t>
            </w:r>
          </w:p>
        </w:tc>
        <w:tc>
          <w:tcPr>
            <w:tcW w:type="dxa" w:w="6192"/>
            <w:shd w:fill="FFFFFF"/>
            <w:tcMar>
              <w:top w:w="100" w:type="dxa"/>
              <w:bottom w:w="100" w:type="dxa"/>
              <w:left w:w="140" w:type="dxa"/>
              <w:right w:w="140" w:type="dxa"/>
            </w:tcMar>
          </w:tcPr>
          <w:p>
            <w:pPr>
              <w:spacing w:before="0" w:after="0" w:line="276" w:lineRule="auto"/>
            </w:pPr>
            <w:r>
              <w:rPr>
                <w:rFonts w:ascii="Calibri" w:hAnsi="Calibri"/>
                <w:color w:val="1E293B"/>
                <w:sz w:val="18"/>
              </w:rPr>
              <w:t>Executive Action Plan: The Immediate 90-Day Tactical Horizon</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Page 41</w:t>
            </w:r>
          </w:p>
        </w:tc>
      </w:tr>
      <w:tr>
        <w:tc>
          <w:tcPr>
            <w:tcW w:type="dxa" w:w="1728"/>
            <w:shd w:fill="F8FAFC"/>
            <w:tcMar>
              <w:top w:w="100" w:type="dxa"/>
              <w:bottom w:w="100" w:type="dxa"/>
              <w:left w:w="140" w:type="dxa"/>
              <w:right w:w="140" w:type="dxa"/>
            </w:tcMar>
          </w:tcPr>
          <w:p>
            <w:pPr>
              <w:spacing w:before="0" w:after="0" w:line="276" w:lineRule="auto"/>
            </w:pPr>
            <w:r>
              <w:rPr>
                <w:rFonts w:ascii="Calibri" w:hAnsi="Calibri"/>
                <w:color w:val="1E293B"/>
                <w:sz w:val="18"/>
              </w:rPr>
              <w:t>Appendix</w:t>
            </w:r>
          </w:p>
        </w:tc>
        <w:tc>
          <w:tcPr>
            <w:tcW w:type="dxa" w:w="6192"/>
            <w:shd w:fill="F8FAFC"/>
            <w:tcMar>
              <w:top w:w="100" w:type="dxa"/>
              <w:bottom w:w="100" w:type="dxa"/>
              <w:left w:w="140" w:type="dxa"/>
              <w:right w:w="140" w:type="dxa"/>
            </w:tcMar>
          </w:tcPr>
          <w:p>
            <w:pPr>
              <w:spacing w:before="0" w:after="0" w:line="276" w:lineRule="auto"/>
            </w:pPr>
            <w:r>
              <w:rPr>
                <w:rFonts w:ascii="Calibri" w:hAnsi="Calibri"/>
                <w:color w:val="1E293B"/>
                <w:sz w:val="18"/>
              </w:rPr>
              <w:t>Regulatory Compliance Mapping (EU AI Act &amp; NIST AI RMF)</w:t>
            </w:r>
          </w:p>
        </w:tc>
        <w:tc>
          <w:tcPr>
            <w:tcW w:type="dxa" w:w="1440"/>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Page 44</w:t>
            </w:r>
          </w:p>
        </w:tc>
      </w:tr>
    </w:tbl>
    <w:p>
      <w:pPr>
        <w:spacing w:before="0" w:after="120"/>
      </w:pPr>
    </w:p>
    <w:p>
      <w:pPr>
        <w:pStyle w:val="Heading1"/>
        <w:keepNext/>
        <w:spacing w:before="400" w:after="160"/>
      </w:pPr>
      <w:r>
        <w:rPr>
          <w:rFonts w:ascii="Calibri" w:hAnsi="Calibri"/>
          <w:b/>
          <w:color w:val="003366"/>
          <w:sz w:val="34"/>
        </w:rPr>
        <w:t>SECTION 1: EXECUTIVE SUMMARY &amp; CORE STRATEGIC DIRECTIVES</w:t>
      </w:r>
    </w:p>
    <w:p>
      <w:pPr>
        <w:spacing w:before="0" w:after="120" w:line="276" w:lineRule="auto"/>
      </w:pPr>
      <w:r>
        <w:rPr>
          <w:rFonts w:ascii="Calibri" w:hAnsi="Calibri"/>
          <w:b/>
          <w:color w:val="0F172A"/>
          <w:sz w:val="21"/>
        </w:rPr>
        <w:t xml:space="preserve">1.1 The Imperative for Autonomous Cognitive Transformation: </w:t>
      </w:r>
      <w:r>
        <w:rPr>
          <w:rFonts w:ascii="Calibri" w:hAnsi="Calibri"/>
          <w:color w:val="1E293B"/>
          <w:sz w:val="21"/>
        </w:rPr>
        <w:t>The rapid maturation of Artificial Intelligence—transitioning from static, backward-looking predictive models to autonomous, multi-agent systems and foundation multimodal architectures—represents the most transformative economic force of the contemporary business landscape. Modern global commercial enterprises face unprecedented structural volatility: fracturing supply chains, heightened demand variance, dynamic omnichannel purchasing behaviors, compressed product lifecycles, and intense margin compression. Organizations that rely on legacy heuristic planning, siloed enterprise resource planning (ERP) architectures, and manual decision workflows are suffering from systemic latency, acute inventory distortion, and operational fragility.</w:t>
      </w:r>
    </w:p>
    <w:p>
      <w:pPr>
        <w:spacing w:before="0" w:after="120" w:line="276" w:lineRule="auto"/>
      </w:pPr>
      <w:r>
        <w:rPr>
          <w:rFonts w:ascii="Calibri" w:hAnsi="Calibri"/>
          <w:b/>
          <w:color w:val="0F172A"/>
          <w:sz w:val="21"/>
        </w:rPr>
        <w:t xml:space="preserve">1.2 Strategic Scope and Context: </w:t>
      </w:r>
      <w:r>
        <w:rPr>
          <w:rFonts w:ascii="Calibri" w:hAnsi="Calibri"/>
          <w:color w:val="1E293B"/>
          <w:sz w:val="21"/>
        </w:rPr>
        <w:t>This comprehensive strategic analysis report outlines a rigorous, enterprise-wide transformation blueprint for OmniVanguard Global Commerce ('OmniVanguard'), a multi-billion-dollar omnichannel retailer and supply chain operator managing over 42 regional distribution centers, 680 retail storefronts, and direct-to-consumer e-commerce channels across North America and Europe. The strategic initiative—designated 'Project CognitiveFlow'—establishes an autonomous, self-optimizing cognitive enterprise nervous system. Rather than implementing fragmented, point-solution AI tools, CognitiveFlow integrates multimodal perception, retrieval-augmented intelligence, and goal-directed autonomous multi-agent systems into the core transaction loop of the enterprise.</w:t>
      </w:r>
    </w:p>
    <w:tbl>
      <w:tblPr>
        <w:tblW w:type="auto" w:w="0"/>
        <w:jc w:val="center"/>
        <w:tblLook w:firstColumn="1" w:firstRow="1" w:lastColumn="0" w:lastRow="0" w:noHBand="0" w:noVBand="1" w:val="04A0"/>
      </w:tblPr>
      <w:tblGrid>
        <w:gridCol w:w="9360"/>
      </w:tblGrid>
      <w:tr>
        <w:tc>
          <w:tcPr>
            <w:tcW w:type="dxa" w:w="9360"/>
            <w:shd w:fill="F4F7FB"/>
            <w:tcMar>
              <w:top w:w="160" w:type="dxa"/>
              <w:bottom w:w="160" w:type="dxa"/>
              <w:left w:w="240" w:type="dxa"/>
              <w:right w:w="200" w:type="dxa"/>
            </w:tcMar>
            <w:tcBorders>
              <w:left w:val="single" w:sz="24" w:space="0" w:color="003366"/>
              <w:top w:val="none"/>
              <w:right w:val="none"/>
              <w:bottom w:val="none"/>
            </w:tcBorders>
          </w:tcPr>
          <w:p>
            <w:pPr>
              <w:spacing w:before="40" w:after="60" w:line="276" w:lineRule="auto"/>
            </w:pPr>
            <w:r>
              <w:rPr>
                <w:rFonts w:ascii="Calibri" w:hAnsi="Calibri"/>
                <w:b/>
                <w:color w:val="003366"/>
                <w:sz w:val="21"/>
              </w:rPr>
              <w:t xml:space="preserve">✦ EXECUTIVE VALUE CREATION DIRECTIVE: </w:t>
            </w:r>
            <w:r>
              <w:rPr>
                <w:rFonts w:ascii="Calibri" w:hAnsi="Calibri"/>
                <w:i/>
                <w:color w:val="1E293B"/>
                <w:sz w:val="20"/>
              </w:rPr>
              <w:t>Project CognitiveFlow is engineered to deliver a 284% Net Return on Investment (ROI) over a 36-month operational horizon, generating $42.6 Million in net audited value through working capital liberation ($37M reduction in trapped inventory), stockout elimination (reducing out-of-stock rates from 8.4% to 1.8%), supplier contract optimization (4.2-day autonomous negotiation cycles), and labor productivity enhancement across warehouse, fulfillment, and customer touchpoints. Payback break-even is achieved at Month 14.</w:t>
            </w:r>
          </w:p>
        </w:tc>
      </w:tr>
    </w:tbl>
    <w:p>
      <w:pPr>
        <w:spacing w:before="0" w:after="120"/>
      </w:pPr>
    </w:p>
    <w:p>
      <w:pPr>
        <w:pStyle w:val="Heading2"/>
        <w:keepNext/>
        <w:spacing w:before="280" w:after="120"/>
      </w:pPr>
      <w:r>
        <w:rPr>
          <w:rFonts w:ascii="Calibri" w:hAnsi="Calibri"/>
          <w:b/>
          <w:color w:val="1E508C"/>
          <w:sz w:val="27"/>
        </w:rPr>
        <w:t>1.3 Core Business Case Summary &amp; Key Performance Indicators (KPIs)</w:t>
      </w:r>
    </w:p>
    <w:p>
      <w:pPr>
        <w:spacing w:before="0" w:after="120" w:line="276" w:lineRule="auto"/>
      </w:pPr>
      <w:r>
        <w:rPr>
          <w:rFonts w:ascii="Calibri" w:hAnsi="Calibri"/>
          <w:color w:val="1E293B"/>
          <w:sz w:val="21"/>
        </w:rPr>
        <w:t>To guarantee executive accountability and measurable shareholder value, Project CognitiveFlow ties every technical architecture decision directly to four core business performance vectors:</w:t>
      </w:r>
    </w:p>
    <w:p>
      <w:pPr>
        <w:pStyle w:val="ListBullet"/>
        <w:spacing w:before="0" w:after="80" w:line="276" w:lineRule="auto"/>
      </w:pPr>
      <w:r>
        <w:rPr>
          <w:rFonts w:ascii="Calibri" w:hAnsi="Calibri"/>
          <w:b/>
          <w:color w:val="003366"/>
          <w:sz w:val="21"/>
        </w:rPr>
        <w:t xml:space="preserve">1. Working Capital Optimization: </w:t>
      </w:r>
      <w:r>
        <w:rPr>
          <w:rFonts w:ascii="Calibri" w:hAnsi="Calibri"/>
          <w:color w:val="1E293B"/>
          <w:sz w:val="21"/>
        </w:rPr>
        <w:t>Compressing end-to-end safety stock buffers by 43.5% through real-time demand sensing, continuous inventory re-balancing, and graph-based network routing, releasing $37.0M in liquid cash flow.</w:t>
      </w:r>
    </w:p>
    <w:p>
      <w:pPr>
        <w:pStyle w:val="ListBullet"/>
        <w:spacing w:before="0" w:after="80" w:line="276" w:lineRule="auto"/>
      </w:pPr>
      <w:r>
        <w:rPr>
          <w:rFonts w:ascii="Calibri" w:hAnsi="Calibri"/>
          <w:b/>
          <w:color w:val="003366"/>
          <w:sz w:val="21"/>
        </w:rPr>
        <w:t xml:space="preserve">2. Revenue Protection &amp; Stockout Mitigation: </w:t>
      </w:r>
      <w:r>
        <w:rPr>
          <w:rFonts w:ascii="Calibri" w:hAnsi="Calibri"/>
          <w:color w:val="1E293B"/>
          <w:sz w:val="21"/>
        </w:rPr>
        <w:t>Reducing shelf and digital stockouts from 8.4% to under 1.8%, protecting an estimated $18.4M in annualized top-line gross merchandise value (GMV) that is currently lost to competitor substitution.</w:t>
      </w:r>
    </w:p>
    <w:p>
      <w:pPr>
        <w:pStyle w:val="ListBullet"/>
        <w:spacing w:before="0" w:after="80" w:line="276" w:lineRule="auto"/>
      </w:pPr>
      <w:r>
        <w:rPr>
          <w:rFonts w:ascii="Calibri" w:hAnsi="Calibri"/>
          <w:b/>
          <w:color w:val="003366"/>
          <w:sz w:val="21"/>
        </w:rPr>
        <w:t xml:space="preserve">3. Autonomous Operational Throughput: </w:t>
      </w:r>
      <w:r>
        <w:rPr>
          <w:rFonts w:ascii="Calibri" w:hAnsi="Calibri"/>
          <w:color w:val="1E293B"/>
          <w:sz w:val="21"/>
        </w:rPr>
        <w:t>Automating 72% of routine Tier-1/Tier-2 supplier procurement negotiations and 84% of omnichannel customer service workflows using self-governed agentic workflows with strict financial guardrails.</w:t>
      </w:r>
    </w:p>
    <w:p>
      <w:pPr>
        <w:pStyle w:val="ListBullet"/>
        <w:spacing w:before="0" w:after="80" w:line="276" w:lineRule="auto"/>
      </w:pPr>
      <w:r>
        <w:rPr>
          <w:rFonts w:ascii="Calibri" w:hAnsi="Calibri"/>
          <w:b/>
          <w:color w:val="003366"/>
          <w:sz w:val="21"/>
        </w:rPr>
        <w:t xml:space="preserve">4. Regulatory Compliance &amp; Enterprise Trust: </w:t>
      </w:r>
      <w:r>
        <w:rPr>
          <w:rFonts w:ascii="Calibri" w:hAnsi="Calibri"/>
          <w:color w:val="1E293B"/>
          <w:sz w:val="21"/>
        </w:rPr>
        <w:t>Achieving 100% compliance with Tier-2/Tier-3 High-Risk Artificial Intelligence standards stipulated by the European Union AI Act (Regulation 2024/1689) and the NIST AI Risk Management Framework (RMF 1.0).</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872"/>
        <w:gridCol w:w="1872"/>
        <w:gridCol w:w="1872"/>
        <w:gridCol w:w="1872"/>
        <w:gridCol w:w="1872"/>
      </w:tblGrid>
      <w:tr>
        <w:tc>
          <w:tcPr>
            <w:tcW w:type="dxa" w:w="2304"/>
            <w:shd w:fill="003366"/>
            <w:tcMar>
              <w:top w:w="120" w:type="dxa"/>
              <w:bottom w:w="120" w:type="dxa"/>
              <w:left w:w="140" w:type="dxa"/>
              <w:right w:w="140" w:type="dxa"/>
            </w:tcMar>
          </w:tcPr>
          <w:p>
            <w:pPr>
              <w:spacing w:before="0" w:after="0"/>
            </w:pPr>
            <w:r>
              <w:rPr>
                <w:rFonts w:ascii="Calibri" w:hAnsi="Calibri"/>
                <w:b/>
                <w:color w:val="FFFFFF"/>
                <w:sz w:val="19"/>
              </w:rPr>
              <w:t>Performance Metric</w:t>
            </w:r>
          </w:p>
        </w:tc>
        <w:tc>
          <w:tcPr>
            <w:tcW w:type="dxa" w:w="1584"/>
            <w:shd w:fill="003366"/>
            <w:tcMar>
              <w:top w:w="120" w:type="dxa"/>
              <w:bottom w:w="120" w:type="dxa"/>
              <w:left w:w="140" w:type="dxa"/>
              <w:right w:w="140" w:type="dxa"/>
            </w:tcMar>
          </w:tcPr>
          <w:p>
            <w:pPr>
              <w:spacing w:before="0" w:after="0"/>
            </w:pPr>
            <w:r>
              <w:rPr>
                <w:rFonts w:ascii="Calibri" w:hAnsi="Calibri"/>
                <w:b/>
                <w:color w:val="FFFFFF"/>
                <w:sz w:val="19"/>
              </w:rPr>
              <w:t>Current Baseline</w:t>
            </w:r>
          </w:p>
        </w:tc>
        <w:tc>
          <w:tcPr>
            <w:tcW w:type="dxa" w:w="1584"/>
            <w:shd w:fill="003366"/>
            <w:tcMar>
              <w:top w:w="120" w:type="dxa"/>
              <w:bottom w:w="120" w:type="dxa"/>
              <w:left w:w="140" w:type="dxa"/>
              <w:right w:w="140" w:type="dxa"/>
            </w:tcMar>
          </w:tcPr>
          <w:p>
            <w:pPr>
              <w:spacing w:before="0" w:after="0"/>
            </w:pPr>
            <w:r>
              <w:rPr>
                <w:rFonts w:ascii="Calibri" w:hAnsi="Calibri"/>
                <w:b/>
                <w:color w:val="FFFFFF"/>
                <w:sz w:val="19"/>
              </w:rPr>
              <w:t>Target Year 2</w:t>
            </w:r>
          </w:p>
        </w:tc>
        <w:tc>
          <w:tcPr>
            <w:tcW w:type="dxa" w:w="2016"/>
            <w:shd w:fill="003366"/>
            <w:tcMar>
              <w:top w:w="120" w:type="dxa"/>
              <w:bottom w:w="120" w:type="dxa"/>
              <w:left w:w="140" w:type="dxa"/>
              <w:right w:w="140" w:type="dxa"/>
            </w:tcMar>
          </w:tcPr>
          <w:p>
            <w:pPr>
              <w:spacing w:before="0" w:after="0"/>
            </w:pPr>
            <w:r>
              <w:rPr>
                <w:rFonts w:ascii="Calibri" w:hAnsi="Calibri"/>
                <w:b/>
                <w:color w:val="FFFFFF"/>
                <w:sz w:val="19"/>
              </w:rPr>
              <w:t>Expected Variance</w:t>
            </w:r>
          </w:p>
        </w:tc>
        <w:tc>
          <w:tcPr>
            <w:tcW w:type="dxa" w:w="1872"/>
            <w:shd w:fill="003366"/>
            <w:tcMar>
              <w:top w:w="120" w:type="dxa"/>
              <w:bottom w:w="120" w:type="dxa"/>
              <w:left w:w="140" w:type="dxa"/>
              <w:right w:w="140" w:type="dxa"/>
            </w:tcMar>
          </w:tcPr>
          <w:p>
            <w:pPr>
              <w:spacing w:before="0" w:after="0"/>
            </w:pPr>
            <w:r>
              <w:rPr>
                <w:rFonts w:ascii="Calibri" w:hAnsi="Calibri"/>
                <w:b/>
                <w:color w:val="FFFFFF"/>
                <w:sz w:val="19"/>
              </w:rPr>
              <w:t>Strategic Business Impact</w:t>
            </w:r>
          </w:p>
        </w:tc>
      </w:tr>
      <w:tr>
        <w:tc>
          <w:tcPr>
            <w:tcW w:type="dxa" w:w="2304"/>
            <w:shd w:fill="FFFFFF"/>
            <w:tcMar>
              <w:top w:w="100" w:type="dxa"/>
              <w:bottom w:w="100" w:type="dxa"/>
              <w:left w:w="140" w:type="dxa"/>
              <w:right w:w="140" w:type="dxa"/>
            </w:tcMar>
          </w:tcPr>
          <w:p>
            <w:pPr>
              <w:spacing w:before="0" w:after="0" w:line="276" w:lineRule="auto"/>
            </w:pPr>
            <w:r>
              <w:rPr>
                <w:rFonts w:ascii="Calibri" w:hAnsi="Calibri"/>
                <w:color w:val="1E293B"/>
                <w:sz w:val="18"/>
              </w:rPr>
              <w:t>Inventory Safety Stock</w:t>
            </w:r>
          </w:p>
        </w:tc>
        <w:tc>
          <w:tcPr>
            <w:tcW w:type="dxa" w:w="1584"/>
            <w:shd w:fill="FFFFFF"/>
            <w:tcMar>
              <w:top w:w="100" w:type="dxa"/>
              <w:bottom w:w="100" w:type="dxa"/>
              <w:left w:w="140" w:type="dxa"/>
              <w:right w:w="140" w:type="dxa"/>
            </w:tcMar>
          </w:tcPr>
          <w:p>
            <w:pPr>
              <w:spacing w:before="0" w:after="0" w:line="276" w:lineRule="auto"/>
            </w:pPr>
            <w:r>
              <w:rPr>
                <w:rFonts w:ascii="Calibri" w:hAnsi="Calibri"/>
                <w:color w:val="1E293B"/>
                <w:sz w:val="18"/>
              </w:rPr>
              <w:t>$85.0 Million</w:t>
            </w:r>
          </w:p>
        </w:tc>
        <w:tc>
          <w:tcPr>
            <w:tcW w:type="dxa" w:w="1584"/>
            <w:shd w:fill="FFFFFF"/>
            <w:tcMar>
              <w:top w:w="100" w:type="dxa"/>
              <w:bottom w:w="100" w:type="dxa"/>
              <w:left w:w="140" w:type="dxa"/>
              <w:right w:w="140" w:type="dxa"/>
            </w:tcMar>
          </w:tcPr>
          <w:p>
            <w:pPr>
              <w:spacing w:before="0" w:after="0" w:line="276" w:lineRule="auto"/>
            </w:pPr>
            <w:r>
              <w:rPr>
                <w:rFonts w:ascii="Calibri" w:hAnsi="Calibri"/>
                <w:color w:val="1E293B"/>
                <w:sz w:val="18"/>
              </w:rPr>
              <w:t>$48.0 Million</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-43.5% ($37M Liberated)</w:t>
            </w:r>
          </w:p>
        </w:tc>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Direct Balance Sheet Relief</w:t>
            </w:r>
          </w:p>
        </w:tc>
      </w:tr>
      <w:tr>
        <w:tc>
          <w:tcPr>
            <w:tcW w:type="dxa" w:w="2304"/>
            <w:shd w:fill="F8FAFC"/>
            <w:tcMar>
              <w:top w:w="100" w:type="dxa"/>
              <w:bottom w:w="100" w:type="dxa"/>
              <w:left w:w="140" w:type="dxa"/>
              <w:right w:w="140" w:type="dxa"/>
            </w:tcMar>
          </w:tcPr>
          <w:p>
            <w:pPr>
              <w:spacing w:before="0" w:after="0" w:line="276" w:lineRule="auto"/>
            </w:pPr>
            <w:r>
              <w:rPr>
                <w:rFonts w:ascii="Calibri" w:hAnsi="Calibri"/>
                <w:color w:val="1E293B"/>
                <w:sz w:val="18"/>
              </w:rPr>
              <w:t>Systemic Stockout Rate</w:t>
            </w:r>
          </w:p>
        </w:tc>
        <w:tc>
          <w:tcPr>
            <w:tcW w:type="dxa" w:w="1584"/>
            <w:shd w:fill="F8FAFC"/>
            <w:tcMar>
              <w:top w:w="100" w:type="dxa"/>
              <w:bottom w:w="100" w:type="dxa"/>
              <w:left w:w="140" w:type="dxa"/>
              <w:right w:w="140" w:type="dxa"/>
            </w:tcMar>
          </w:tcPr>
          <w:p>
            <w:pPr>
              <w:spacing w:before="0" w:after="0" w:line="276" w:lineRule="auto"/>
            </w:pPr>
            <w:r>
              <w:rPr>
                <w:rFonts w:ascii="Calibri" w:hAnsi="Calibri"/>
                <w:color w:val="1E293B"/>
                <w:sz w:val="18"/>
              </w:rPr>
              <w:t>8.4% of Orders</w:t>
            </w:r>
          </w:p>
        </w:tc>
        <w:tc>
          <w:tcPr>
            <w:tcW w:type="dxa" w:w="1584"/>
            <w:shd w:fill="F8FAFC"/>
            <w:tcMar>
              <w:top w:w="100" w:type="dxa"/>
              <w:bottom w:w="100" w:type="dxa"/>
              <w:left w:w="140" w:type="dxa"/>
              <w:right w:w="140" w:type="dxa"/>
            </w:tcMar>
          </w:tcPr>
          <w:p>
            <w:pPr>
              <w:spacing w:before="0" w:after="0" w:line="276" w:lineRule="auto"/>
            </w:pPr>
            <w:r>
              <w:rPr>
                <w:rFonts w:ascii="Calibri" w:hAnsi="Calibri"/>
                <w:color w:val="1E293B"/>
                <w:sz w:val="18"/>
              </w:rPr>
              <w:t>1.8% of Orders</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-78.5% Relative Drop</w:t>
            </w:r>
          </w:p>
        </w:tc>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Revenue Recapture &amp; Loyalty</w:t>
            </w:r>
          </w:p>
        </w:tc>
      </w:tr>
      <w:tr>
        <w:tc>
          <w:tcPr>
            <w:tcW w:type="dxa" w:w="2304"/>
            <w:shd w:fill="FFFFFF"/>
            <w:tcMar>
              <w:top w:w="100" w:type="dxa"/>
              <w:bottom w:w="100" w:type="dxa"/>
              <w:left w:w="140" w:type="dxa"/>
              <w:right w:w="140" w:type="dxa"/>
            </w:tcMar>
          </w:tcPr>
          <w:p>
            <w:pPr>
              <w:spacing w:before="0" w:after="0" w:line="276" w:lineRule="auto"/>
            </w:pPr>
            <w:r>
              <w:rPr>
                <w:rFonts w:ascii="Calibri" w:hAnsi="Calibri"/>
                <w:color w:val="1E293B"/>
                <w:sz w:val="18"/>
              </w:rPr>
              <w:t>Procurement Negotiation Lead Time</w:t>
            </w:r>
          </w:p>
        </w:tc>
        <w:tc>
          <w:tcPr>
            <w:tcW w:type="dxa" w:w="1584"/>
            <w:shd w:fill="FFFFFF"/>
            <w:tcMar>
              <w:top w:w="100" w:type="dxa"/>
              <w:bottom w:w="100" w:type="dxa"/>
              <w:left w:w="140" w:type="dxa"/>
              <w:right w:w="140" w:type="dxa"/>
            </w:tcMar>
          </w:tcPr>
          <w:p>
            <w:pPr>
              <w:spacing w:before="0" w:after="0" w:line="276" w:lineRule="auto"/>
            </w:pPr>
            <w:r>
              <w:rPr>
                <w:rFonts w:ascii="Calibri" w:hAnsi="Calibri"/>
                <w:color w:val="1E293B"/>
                <w:sz w:val="18"/>
              </w:rPr>
              <w:t>26.4 Business Days</w:t>
            </w:r>
          </w:p>
        </w:tc>
        <w:tc>
          <w:tcPr>
            <w:tcW w:type="dxa" w:w="1584"/>
            <w:shd w:fill="FFFFFF"/>
            <w:tcMar>
              <w:top w:w="100" w:type="dxa"/>
              <w:bottom w:w="100" w:type="dxa"/>
              <w:left w:w="140" w:type="dxa"/>
              <w:right w:w="140" w:type="dxa"/>
            </w:tcMar>
          </w:tcPr>
          <w:p>
            <w:pPr>
              <w:spacing w:before="0" w:after="0" w:line="276" w:lineRule="auto"/>
            </w:pPr>
            <w:r>
              <w:rPr>
                <w:rFonts w:ascii="Calibri" w:hAnsi="Calibri"/>
                <w:color w:val="1E293B"/>
                <w:sz w:val="18"/>
              </w:rPr>
              <w:t>4.2 Business Days</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-84.1% Cycle Compression</w:t>
            </w:r>
          </w:p>
        </w:tc>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Agile Margin Optimization</w:t>
            </w:r>
          </w:p>
        </w:tc>
      </w:tr>
      <w:tr>
        <w:tc>
          <w:tcPr>
            <w:tcW w:type="dxa" w:w="2304"/>
            <w:shd w:fill="F8FAFC"/>
            <w:tcMar>
              <w:top w:w="100" w:type="dxa"/>
              <w:bottom w:w="100" w:type="dxa"/>
              <w:left w:w="140" w:type="dxa"/>
              <w:right w:w="140" w:type="dxa"/>
            </w:tcMar>
          </w:tcPr>
          <w:p>
            <w:pPr>
              <w:spacing w:before="0" w:after="0" w:line="276" w:lineRule="auto"/>
            </w:pPr>
            <w:r>
              <w:rPr>
                <w:rFonts w:ascii="Calibri" w:hAnsi="Calibri"/>
                <w:color w:val="1E293B"/>
                <w:sz w:val="18"/>
              </w:rPr>
              <w:t>Customer Inquiry First-Contact SLA</w:t>
            </w:r>
          </w:p>
        </w:tc>
        <w:tc>
          <w:tcPr>
            <w:tcW w:type="dxa" w:w="1584"/>
            <w:shd w:fill="F8FAFC"/>
            <w:tcMar>
              <w:top w:w="100" w:type="dxa"/>
              <w:bottom w:w="100" w:type="dxa"/>
              <w:left w:w="140" w:type="dxa"/>
              <w:right w:w="140" w:type="dxa"/>
            </w:tcMar>
          </w:tcPr>
          <w:p>
            <w:pPr>
              <w:spacing w:before="0" w:after="0" w:line="276" w:lineRule="auto"/>
            </w:pPr>
            <w:r>
              <w:rPr>
                <w:rFonts w:ascii="Calibri" w:hAnsi="Calibri"/>
                <w:color w:val="1E293B"/>
                <w:sz w:val="18"/>
              </w:rPr>
              <w:t>14.5 Hours</w:t>
            </w:r>
          </w:p>
        </w:tc>
        <w:tc>
          <w:tcPr>
            <w:tcW w:type="dxa" w:w="1584"/>
            <w:shd w:fill="F8FAFC"/>
            <w:tcMar>
              <w:top w:w="100" w:type="dxa"/>
              <w:bottom w:w="100" w:type="dxa"/>
              <w:left w:w="140" w:type="dxa"/>
              <w:right w:w="140" w:type="dxa"/>
            </w:tcMar>
          </w:tcPr>
          <w:p>
            <w:pPr>
              <w:spacing w:before="0" w:after="0" w:line="276" w:lineRule="auto"/>
            </w:pPr>
            <w:r>
              <w:rPr>
                <w:rFonts w:ascii="Calibri" w:hAnsi="Calibri"/>
                <w:color w:val="1E293B"/>
                <w:sz w:val="18"/>
              </w:rPr>
              <w:t>2.1 Minutes</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-99.7% Latency Collapse</w:t>
            </w:r>
          </w:p>
        </w:tc>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NPS +28 Points Increase</w:t>
            </w:r>
          </w:p>
        </w:tc>
      </w:tr>
      <w:tr>
        <w:tc>
          <w:tcPr>
            <w:tcW w:type="dxa" w:w="2304"/>
            <w:shd w:fill="FFFFFF"/>
            <w:tcMar>
              <w:top w:w="100" w:type="dxa"/>
              <w:bottom w:w="100" w:type="dxa"/>
              <w:left w:w="140" w:type="dxa"/>
              <w:right w:w="140" w:type="dxa"/>
            </w:tcMar>
          </w:tcPr>
          <w:p>
            <w:pPr>
              <w:spacing w:before="0" w:after="0" w:line="276" w:lineRule="auto"/>
            </w:pPr>
            <w:r>
              <w:rPr>
                <w:rFonts w:ascii="Calibri" w:hAnsi="Calibri"/>
                <w:color w:val="1E293B"/>
                <w:sz w:val="18"/>
              </w:rPr>
              <w:t>Fulfillment Order Accuracy</w:t>
            </w:r>
          </w:p>
        </w:tc>
        <w:tc>
          <w:tcPr>
            <w:tcW w:type="dxa" w:w="1584"/>
            <w:shd w:fill="FFFFFF"/>
            <w:tcMar>
              <w:top w:w="100" w:type="dxa"/>
              <w:bottom w:w="100" w:type="dxa"/>
              <w:left w:w="140" w:type="dxa"/>
              <w:right w:w="140" w:type="dxa"/>
            </w:tcMar>
          </w:tcPr>
          <w:p>
            <w:pPr>
              <w:spacing w:before="0" w:after="0" w:line="276" w:lineRule="auto"/>
            </w:pPr>
            <w:r>
              <w:rPr>
                <w:rFonts w:ascii="Calibri" w:hAnsi="Calibri"/>
                <w:color w:val="1E293B"/>
                <w:sz w:val="18"/>
              </w:rPr>
              <w:t>91.2%</w:t>
            </w:r>
          </w:p>
        </w:tc>
        <w:tc>
          <w:tcPr>
            <w:tcW w:type="dxa" w:w="1584"/>
            <w:shd w:fill="FFFFFF"/>
            <w:tcMar>
              <w:top w:w="100" w:type="dxa"/>
              <w:bottom w:w="100" w:type="dxa"/>
              <w:left w:w="140" w:type="dxa"/>
              <w:right w:w="140" w:type="dxa"/>
            </w:tcMar>
          </w:tcPr>
          <w:p>
            <w:pPr>
              <w:spacing w:before="0" w:after="0" w:line="276" w:lineRule="auto"/>
            </w:pPr>
            <w:r>
              <w:rPr>
                <w:rFonts w:ascii="Calibri" w:hAnsi="Calibri"/>
                <w:color w:val="1E293B"/>
                <w:sz w:val="18"/>
              </w:rPr>
              <w:t>99.4%</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+8.2% Absolute Gain</w:t>
            </w:r>
          </w:p>
        </w:tc>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Reverse Logistics Reduction</w:t>
            </w:r>
          </w:p>
        </w:tc>
      </w:tr>
      <w:tr>
        <w:tc>
          <w:tcPr>
            <w:tcW w:type="dxa" w:w="2304"/>
            <w:shd w:fill="F8FAFC"/>
            <w:tcMar>
              <w:top w:w="100" w:type="dxa"/>
              <w:bottom w:w="100" w:type="dxa"/>
              <w:left w:w="140" w:type="dxa"/>
              <w:right w:w="140" w:type="dxa"/>
            </w:tcMar>
          </w:tcPr>
          <w:p>
            <w:pPr>
              <w:spacing w:before="0" w:after="0" w:line="276" w:lineRule="auto"/>
            </w:pPr>
            <w:r>
              <w:rPr>
                <w:rFonts w:ascii="Calibri" w:hAnsi="Calibri"/>
                <w:color w:val="1E293B"/>
                <w:sz w:val="18"/>
              </w:rPr>
              <w:t>Net 3-Year Audited Economic ROI</w:t>
            </w:r>
          </w:p>
        </w:tc>
        <w:tc>
          <w:tcPr>
            <w:tcW w:type="dxa" w:w="1584"/>
            <w:shd w:fill="F8FAFC"/>
            <w:tcMar>
              <w:top w:w="100" w:type="dxa"/>
              <w:bottom w:w="100" w:type="dxa"/>
              <w:left w:w="140" w:type="dxa"/>
              <w:right w:w="140" w:type="dxa"/>
            </w:tcMar>
          </w:tcPr>
          <w:p>
            <w:pPr>
              <w:spacing w:before="0" w:after="0" w:line="276" w:lineRule="auto"/>
            </w:pPr>
            <w:r>
              <w:rPr>
                <w:rFonts w:ascii="Calibri" w:hAnsi="Calibri"/>
                <w:color w:val="1E293B"/>
                <w:sz w:val="18"/>
              </w:rPr>
              <w:t>Baseline 0.0%</w:t>
            </w:r>
          </w:p>
        </w:tc>
        <w:tc>
          <w:tcPr>
            <w:tcW w:type="dxa" w:w="1584"/>
            <w:shd w:fill="F8FAFC"/>
            <w:tcMar>
              <w:top w:w="100" w:type="dxa"/>
              <w:bottom w:w="100" w:type="dxa"/>
              <w:left w:w="140" w:type="dxa"/>
              <w:right w:w="140" w:type="dxa"/>
            </w:tcMar>
          </w:tcPr>
          <w:p>
            <w:pPr>
              <w:spacing w:before="0" w:after="0" w:line="276" w:lineRule="auto"/>
            </w:pPr>
            <w:r>
              <w:rPr>
                <w:rFonts w:ascii="Calibri" w:hAnsi="Calibri"/>
                <w:color w:val="1E293B"/>
                <w:sz w:val="18"/>
              </w:rPr>
              <w:t>284% Net ROI</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+$42.6M Cumulative Net</w:t>
            </w:r>
          </w:p>
        </w:tc>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Payback Achieved Month 14</w:t>
            </w:r>
          </w:p>
        </w:tc>
      </w:tr>
    </w:tbl>
    <w:p>
      <w:pPr>
        <w:spacing w:before="0" w:after="120"/>
      </w:pPr>
    </w:p>
    <w:p>
      <w:r>
        <w:br w:type="page"/>
      </w:r>
    </w:p>
    <w:p>
      <w:pPr>
        <w:pStyle w:val="Heading1"/>
        <w:keepNext/>
        <w:spacing w:before="400" w:after="160"/>
      </w:pPr>
      <w:r>
        <w:rPr>
          <w:rFonts w:ascii="Calibri" w:hAnsi="Calibri"/>
          <w:b/>
          <w:color w:val="003366"/>
          <w:sz w:val="34"/>
        </w:rPr>
        <w:t>SECTION 2: CONTEMPORARY AI LANDSCAPE &amp; TECHNOLOGY TRENDS RESEARCH</w:t>
      </w:r>
    </w:p>
    <w:p>
      <w:pPr>
        <w:spacing w:before="0" w:after="120" w:line="276" w:lineRule="auto"/>
      </w:pPr>
      <w:r>
        <w:rPr>
          <w:rFonts w:ascii="Calibri" w:hAnsi="Calibri"/>
          <w:b/>
          <w:color w:val="0F172A"/>
          <w:sz w:val="21"/>
        </w:rPr>
        <w:t xml:space="preserve">2.1 The Paradigm Evolution in Enterprise AI: </w:t>
      </w:r>
      <w:r>
        <w:rPr>
          <w:rFonts w:ascii="Calibri" w:hAnsi="Calibri"/>
          <w:color w:val="1E293B"/>
          <w:sz w:val="21"/>
        </w:rPr>
        <w:t>To construct an enterprise strategy that is both technically resilient and commercially transformative, we conducted comprehensive research across academic, open-source, and enterprise AI production environments from 2023 through late 2026. The artificial intelligence domain has crossed an inflection point: the era of passive statistical curve-fitting and standalone chatbots has yielded to dynamic, autonomous cognitive architectures capable of multi-step reasoning, external tool invocation, and continuous self-correction.</w:t>
      </w:r>
    </w:p>
    <w:p>
      <w:pPr>
        <w:spacing w:before="0" w:after="120" w:line="276" w:lineRule="auto"/>
      </w:pPr>
      <w:r>
        <w:rPr>
          <w:rFonts w:ascii="Calibri" w:hAnsi="Calibri"/>
          <w:b/>
          <w:color w:val="0F172A"/>
          <w:sz w:val="21"/>
        </w:rPr>
        <w:t xml:space="preserve">The Shift to Agentic Autonomy: </w:t>
      </w:r>
      <w:r>
        <w:rPr>
          <w:rFonts w:ascii="Calibri" w:hAnsi="Calibri"/>
          <w:color w:val="1E293B"/>
          <w:sz w:val="21"/>
        </w:rPr>
        <w:t>Historically, enterprise AI was bifurcated into two disconnected archetypes: (1) Narrow Predictive Machine Learning (XGBoost, Random Forests, ARIMA) utilized for localized demand forecasting or churn modeling, which suffered from severe rigidity under macro-economic shocks; and (2) Conversational Chatbots based on early Large Language Models (LLMs), which operated as passive text processors prone to confabulation, isolated from backend transaction systems. In the current enterprise paradigm, these streams have converged into Autonomous Multi-Agent Swarms (MAS) augmented by Multimodal Foundation Models and Graph-Enhanced Retrieval (GraphRAG).</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1872"/>
            <w:shd w:fill="003366"/>
            <w:tcMar>
              <w:top w:w="120" w:type="dxa"/>
              <w:bottom w:w="120" w:type="dxa"/>
              <w:left w:w="140" w:type="dxa"/>
              <w:right w:w="140" w:type="dxa"/>
            </w:tcMar>
          </w:tcPr>
          <w:p>
            <w:pPr>
              <w:spacing w:before="0" w:after="0"/>
            </w:pPr>
            <w:r>
              <w:rPr>
                <w:rFonts w:ascii="Calibri" w:hAnsi="Calibri"/>
                <w:b/>
                <w:color w:val="FFFFFF"/>
                <w:sz w:val="19"/>
              </w:rPr>
              <w:t>Capability Dimension</w:t>
            </w:r>
          </w:p>
        </w:tc>
        <w:tc>
          <w:tcPr>
            <w:tcW w:type="dxa" w:w="2448"/>
            <w:shd w:fill="003366"/>
            <w:tcMar>
              <w:top w:w="120" w:type="dxa"/>
              <w:bottom w:w="120" w:type="dxa"/>
              <w:left w:w="140" w:type="dxa"/>
              <w:right w:w="140" w:type="dxa"/>
            </w:tcMar>
          </w:tcPr>
          <w:p>
            <w:pPr>
              <w:spacing w:before="0" w:after="0"/>
            </w:pPr>
            <w:r>
              <w:rPr>
                <w:rFonts w:ascii="Calibri" w:hAnsi="Calibri"/>
                <w:b/>
                <w:color w:val="FFFFFF"/>
                <w:sz w:val="19"/>
              </w:rPr>
              <w:t>Traditional Enterprise ML (2015-2021)</w:t>
            </w:r>
          </w:p>
        </w:tc>
        <w:tc>
          <w:tcPr>
            <w:tcW w:type="dxa" w:w="2448"/>
            <w:shd w:fill="003366"/>
            <w:tcMar>
              <w:top w:w="120" w:type="dxa"/>
              <w:bottom w:w="120" w:type="dxa"/>
              <w:left w:w="140" w:type="dxa"/>
              <w:right w:w="140" w:type="dxa"/>
            </w:tcMar>
          </w:tcPr>
          <w:p>
            <w:pPr>
              <w:spacing w:before="0" w:after="0"/>
            </w:pPr>
            <w:r>
              <w:rPr>
                <w:rFonts w:ascii="Calibri" w:hAnsi="Calibri"/>
                <w:b/>
                <w:color w:val="FFFFFF"/>
                <w:sz w:val="19"/>
              </w:rPr>
              <w:t>Generative AI Phase I (2022-2024)</w:t>
            </w:r>
          </w:p>
        </w:tc>
        <w:tc>
          <w:tcPr>
            <w:tcW w:type="dxa" w:w="2592"/>
            <w:shd w:fill="003366"/>
            <w:tcMar>
              <w:top w:w="120" w:type="dxa"/>
              <w:bottom w:w="120" w:type="dxa"/>
              <w:left w:w="140" w:type="dxa"/>
              <w:right w:w="140" w:type="dxa"/>
            </w:tcMar>
          </w:tcPr>
          <w:p>
            <w:pPr>
              <w:spacing w:before="0" w:after="0"/>
            </w:pPr>
            <w:r>
              <w:rPr>
                <w:rFonts w:ascii="Calibri" w:hAnsi="Calibri"/>
                <w:b/>
                <w:color w:val="FFFFFF"/>
                <w:sz w:val="19"/>
              </w:rPr>
              <w:t>Autonomous Agentic AI (2025-2027+)</w:t>
            </w:r>
          </w:p>
        </w:tc>
      </w:tr>
      <w:tr>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Core Architecture</w:t>
            </w:r>
          </w:p>
        </w:tc>
        <w:tc>
          <w:tcPr>
            <w:tcW w:type="dxa" w:w="2448"/>
            <w:shd w:fill="FFFFFF"/>
            <w:tcMar>
              <w:top w:w="100" w:type="dxa"/>
              <w:bottom w:w="100" w:type="dxa"/>
              <w:left w:w="140" w:type="dxa"/>
              <w:right w:w="140" w:type="dxa"/>
            </w:tcMar>
          </w:tcPr>
          <w:p>
            <w:pPr>
              <w:spacing w:before="0" w:after="0" w:line="276" w:lineRule="auto"/>
            </w:pPr>
            <w:r>
              <w:rPr>
                <w:rFonts w:ascii="Calibri" w:hAnsi="Calibri"/>
                <w:color w:val="1E293B"/>
                <w:sz w:val="18"/>
              </w:rPr>
              <w:t>Supervised regression, tree ensembles, CNNs</w:t>
            </w:r>
          </w:p>
        </w:tc>
        <w:tc>
          <w:tcPr>
            <w:tcW w:type="dxa" w:w="2448"/>
            <w:shd w:fill="FFFFFF"/>
            <w:tcMar>
              <w:top w:w="100" w:type="dxa"/>
              <w:bottom w:w="100" w:type="dxa"/>
              <w:left w:w="140" w:type="dxa"/>
              <w:right w:w="140" w:type="dxa"/>
            </w:tcMar>
          </w:tcPr>
          <w:p>
            <w:pPr>
              <w:spacing w:before="0" w:after="0" w:line="276" w:lineRule="auto"/>
            </w:pPr>
            <w:r>
              <w:rPr>
                <w:rFonts w:ascii="Calibri" w:hAnsi="Calibri"/>
                <w:color w:val="1E293B"/>
                <w:sz w:val="18"/>
              </w:rPr>
              <w:t>Monolithic LLMs, prompt completion</w:t>
            </w:r>
          </w:p>
        </w:tc>
        <w:tc>
          <w:tcPr>
            <w:tcW w:type="dxa" w:w="2592"/>
            <w:shd w:fill="FFFFFF"/>
            <w:tcMar>
              <w:top w:w="100" w:type="dxa"/>
              <w:bottom w:w="100" w:type="dxa"/>
              <w:left w:w="140" w:type="dxa"/>
              <w:right w:w="140" w:type="dxa"/>
            </w:tcMar>
          </w:tcPr>
          <w:p>
            <w:pPr>
              <w:spacing w:before="0" w:after="0" w:line="276" w:lineRule="auto"/>
            </w:pPr>
            <w:r>
              <w:rPr>
                <w:rFonts w:ascii="Calibri" w:hAnsi="Calibri"/>
                <w:color w:val="1E293B"/>
                <w:sz w:val="18"/>
              </w:rPr>
              <w:t>Multi-Agent Swarms, Tool-Augmented LLMs</w:t>
            </w:r>
          </w:p>
        </w:tc>
      </w:tr>
      <w:tr>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Execution Modality</w:t>
            </w:r>
          </w:p>
        </w:tc>
        <w:tc>
          <w:tcPr>
            <w:tcW w:type="dxa" w:w="2448"/>
            <w:shd w:fill="F8FAFC"/>
            <w:tcMar>
              <w:top w:w="100" w:type="dxa"/>
              <w:bottom w:w="100" w:type="dxa"/>
              <w:left w:w="140" w:type="dxa"/>
              <w:right w:w="140" w:type="dxa"/>
            </w:tcMar>
          </w:tcPr>
          <w:p>
            <w:pPr>
              <w:spacing w:before="0" w:after="0" w:line="276" w:lineRule="auto"/>
            </w:pPr>
            <w:r>
              <w:rPr>
                <w:rFonts w:ascii="Calibri" w:hAnsi="Calibri"/>
                <w:color w:val="1E293B"/>
                <w:sz w:val="18"/>
              </w:rPr>
              <w:t>Batch scoring, offline predictive outputs</w:t>
            </w:r>
          </w:p>
        </w:tc>
        <w:tc>
          <w:tcPr>
            <w:tcW w:type="dxa" w:w="2448"/>
            <w:shd w:fill="F8FAFC"/>
            <w:tcMar>
              <w:top w:w="100" w:type="dxa"/>
              <w:bottom w:w="100" w:type="dxa"/>
              <w:left w:w="140" w:type="dxa"/>
              <w:right w:w="140" w:type="dxa"/>
            </w:tcMar>
          </w:tcPr>
          <w:p>
            <w:pPr>
              <w:spacing w:before="0" w:after="0" w:line="276" w:lineRule="auto"/>
            </w:pPr>
            <w:r>
              <w:rPr>
                <w:rFonts w:ascii="Calibri" w:hAnsi="Calibri"/>
                <w:color w:val="1E293B"/>
                <w:sz w:val="18"/>
              </w:rPr>
              <w:t>Passive human-in-the-loop chat interfaces</w:t>
            </w:r>
          </w:p>
        </w:tc>
        <w:tc>
          <w:tcPr>
            <w:tcW w:type="dxa" w:w="2592"/>
            <w:shd w:fill="F8FAFC"/>
            <w:tcMar>
              <w:top w:w="100" w:type="dxa"/>
              <w:bottom w:w="100" w:type="dxa"/>
              <w:left w:w="140" w:type="dxa"/>
              <w:right w:w="140" w:type="dxa"/>
            </w:tcMar>
          </w:tcPr>
          <w:p>
            <w:pPr>
              <w:spacing w:before="0" w:after="0" w:line="276" w:lineRule="auto"/>
            </w:pPr>
            <w:r>
              <w:rPr>
                <w:rFonts w:ascii="Calibri" w:hAnsi="Calibri"/>
                <w:color w:val="1E293B"/>
                <w:sz w:val="18"/>
              </w:rPr>
              <w:t>Goal-directed, closed-loop autonomous action</w:t>
            </w:r>
          </w:p>
        </w:tc>
      </w:tr>
      <w:tr>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Data Context</w:t>
            </w:r>
          </w:p>
        </w:tc>
        <w:tc>
          <w:tcPr>
            <w:tcW w:type="dxa" w:w="2448"/>
            <w:shd w:fill="FFFFFF"/>
            <w:tcMar>
              <w:top w:w="100" w:type="dxa"/>
              <w:bottom w:w="100" w:type="dxa"/>
              <w:left w:w="140" w:type="dxa"/>
              <w:right w:w="140" w:type="dxa"/>
            </w:tcMar>
          </w:tcPr>
          <w:p>
            <w:pPr>
              <w:spacing w:before="0" w:after="0" w:line="276" w:lineRule="auto"/>
            </w:pPr>
            <w:r>
              <w:rPr>
                <w:rFonts w:ascii="Calibri" w:hAnsi="Calibri"/>
                <w:color w:val="1E293B"/>
                <w:sz w:val="18"/>
              </w:rPr>
              <w:t>Tabular feature stores, rigid schemas</w:t>
            </w:r>
          </w:p>
        </w:tc>
        <w:tc>
          <w:tcPr>
            <w:tcW w:type="dxa" w:w="2448"/>
            <w:shd w:fill="FFFFFF"/>
            <w:tcMar>
              <w:top w:w="100" w:type="dxa"/>
              <w:bottom w:w="100" w:type="dxa"/>
              <w:left w:w="140" w:type="dxa"/>
              <w:right w:w="140" w:type="dxa"/>
            </w:tcMar>
          </w:tcPr>
          <w:p>
            <w:pPr>
              <w:spacing w:before="0" w:after="0" w:line="276" w:lineRule="auto"/>
            </w:pPr>
            <w:r>
              <w:rPr>
                <w:rFonts w:ascii="Calibri" w:hAnsi="Calibri"/>
                <w:color w:val="1E293B"/>
                <w:sz w:val="18"/>
              </w:rPr>
              <w:t>Unstructured text via naive chunk-based RAG</w:t>
            </w:r>
          </w:p>
        </w:tc>
        <w:tc>
          <w:tcPr>
            <w:tcW w:type="dxa" w:w="2592"/>
            <w:shd w:fill="FFFFFF"/>
            <w:tcMar>
              <w:top w:w="100" w:type="dxa"/>
              <w:bottom w:w="100" w:type="dxa"/>
              <w:left w:w="140" w:type="dxa"/>
              <w:right w:w="140" w:type="dxa"/>
            </w:tcMar>
          </w:tcPr>
          <w:p>
            <w:pPr>
              <w:spacing w:before="0" w:after="0" w:line="276" w:lineRule="auto"/>
            </w:pPr>
            <w:r>
              <w:rPr>
                <w:rFonts w:ascii="Calibri" w:hAnsi="Calibri"/>
                <w:color w:val="1E293B"/>
                <w:sz w:val="18"/>
              </w:rPr>
              <w:t>Multimodal Data Fabric + Knowledge GraphRAG</w:t>
            </w:r>
          </w:p>
        </w:tc>
      </w:tr>
      <w:tr>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Decision Authority</w:t>
            </w:r>
          </w:p>
        </w:tc>
        <w:tc>
          <w:tcPr>
            <w:tcW w:type="dxa" w:w="2448"/>
            <w:shd w:fill="F8FAFC"/>
            <w:tcMar>
              <w:top w:w="100" w:type="dxa"/>
              <w:bottom w:w="100" w:type="dxa"/>
              <w:left w:w="140" w:type="dxa"/>
              <w:right w:w="140" w:type="dxa"/>
            </w:tcMar>
          </w:tcPr>
          <w:p>
            <w:pPr>
              <w:spacing w:before="0" w:after="0" w:line="276" w:lineRule="auto"/>
            </w:pPr>
            <w:r>
              <w:rPr>
                <w:rFonts w:ascii="Calibri" w:hAnsi="Calibri"/>
                <w:color w:val="1E293B"/>
                <w:sz w:val="18"/>
              </w:rPr>
              <w:t>Advisory only; manual execution required</w:t>
            </w:r>
          </w:p>
        </w:tc>
        <w:tc>
          <w:tcPr>
            <w:tcW w:type="dxa" w:w="2448"/>
            <w:shd w:fill="F8FAFC"/>
            <w:tcMar>
              <w:top w:w="100" w:type="dxa"/>
              <w:bottom w:w="100" w:type="dxa"/>
              <w:left w:w="140" w:type="dxa"/>
              <w:right w:w="140" w:type="dxa"/>
            </w:tcMar>
          </w:tcPr>
          <w:p>
            <w:pPr>
              <w:spacing w:before="0" w:after="0" w:line="276" w:lineRule="auto"/>
            </w:pPr>
            <w:r>
              <w:rPr>
                <w:rFonts w:ascii="Calibri" w:hAnsi="Calibri"/>
                <w:color w:val="1E293B"/>
                <w:sz w:val="18"/>
              </w:rPr>
              <w:t>Informational drafting; human review essential</w:t>
            </w:r>
          </w:p>
        </w:tc>
        <w:tc>
          <w:tcPr>
            <w:tcW w:type="dxa" w:w="2592"/>
            <w:shd w:fill="F8FAFC"/>
            <w:tcMar>
              <w:top w:w="100" w:type="dxa"/>
              <w:bottom w:w="100" w:type="dxa"/>
              <w:left w:w="140" w:type="dxa"/>
              <w:right w:w="140" w:type="dxa"/>
            </w:tcMar>
          </w:tcPr>
          <w:p>
            <w:pPr>
              <w:spacing w:before="0" w:after="0" w:line="276" w:lineRule="auto"/>
            </w:pPr>
            <w:r>
              <w:rPr>
                <w:rFonts w:ascii="Calibri" w:hAnsi="Calibri"/>
                <w:color w:val="1E293B"/>
                <w:sz w:val="18"/>
              </w:rPr>
              <w:t>Autonomous within policy guardrails &amp; budgets</w:t>
            </w:r>
          </w:p>
        </w:tc>
      </w:tr>
      <w:tr>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Integration Level</w:t>
            </w:r>
          </w:p>
        </w:tc>
        <w:tc>
          <w:tcPr>
            <w:tcW w:type="dxa" w:w="2448"/>
            <w:shd w:fill="FFFFFF"/>
            <w:tcMar>
              <w:top w:w="100" w:type="dxa"/>
              <w:bottom w:w="100" w:type="dxa"/>
              <w:left w:w="140" w:type="dxa"/>
              <w:right w:w="140" w:type="dxa"/>
            </w:tcMar>
          </w:tcPr>
          <w:p>
            <w:pPr>
              <w:spacing w:before="0" w:after="0" w:line="276" w:lineRule="auto"/>
            </w:pPr>
            <w:r>
              <w:rPr>
                <w:rFonts w:ascii="Calibri" w:hAnsi="Calibri"/>
                <w:color w:val="1E293B"/>
                <w:sz w:val="18"/>
              </w:rPr>
              <w:t>Siloed database batch jobs</w:t>
            </w:r>
          </w:p>
        </w:tc>
        <w:tc>
          <w:tcPr>
            <w:tcW w:type="dxa" w:w="2448"/>
            <w:shd w:fill="FFFFFF"/>
            <w:tcMar>
              <w:top w:w="100" w:type="dxa"/>
              <w:bottom w:w="100" w:type="dxa"/>
              <w:left w:w="140" w:type="dxa"/>
              <w:right w:w="140" w:type="dxa"/>
            </w:tcMar>
          </w:tcPr>
          <w:p>
            <w:pPr>
              <w:spacing w:before="0" w:after="0" w:line="276" w:lineRule="auto"/>
            </w:pPr>
            <w:r>
              <w:rPr>
                <w:rFonts w:ascii="Calibri" w:hAnsi="Calibri"/>
                <w:color w:val="1E293B"/>
                <w:sz w:val="18"/>
              </w:rPr>
              <w:t>Web portals, auxiliary sidecar plugins</w:t>
            </w:r>
          </w:p>
        </w:tc>
        <w:tc>
          <w:tcPr>
            <w:tcW w:type="dxa" w:w="2592"/>
            <w:shd w:fill="FFFFFF"/>
            <w:tcMar>
              <w:top w:w="100" w:type="dxa"/>
              <w:bottom w:w="100" w:type="dxa"/>
              <w:left w:w="140" w:type="dxa"/>
              <w:right w:w="140" w:type="dxa"/>
            </w:tcMar>
          </w:tcPr>
          <w:p>
            <w:pPr>
              <w:spacing w:before="0" w:after="0" w:line="276" w:lineRule="auto"/>
            </w:pPr>
            <w:r>
              <w:rPr>
                <w:rFonts w:ascii="Calibri" w:hAnsi="Calibri"/>
                <w:color w:val="1E293B"/>
                <w:sz w:val="18"/>
              </w:rPr>
              <w:t>Deep bi-directional ERP/WMS/CRM integration</w:t>
            </w:r>
          </w:p>
        </w:tc>
      </w:tr>
      <w:tr>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Adaptability</w:t>
            </w:r>
          </w:p>
        </w:tc>
        <w:tc>
          <w:tcPr>
            <w:tcW w:type="dxa" w:w="2448"/>
            <w:shd w:fill="F8FAFC"/>
            <w:tcMar>
              <w:top w:w="100" w:type="dxa"/>
              <w:bottom w:w="100" w:type="dxa"/>
              <w:left w:w="140" w:type="dxa"/>
              <w:right w:w="140" w:type="dxa"/>
            </w:tcMar>
          </w:tcPr>
          <w:p>
            <w:pPr>
              <w:spacing w:before="0" w:after="0" w:line="276" w:lineRule="auto"/>
            </w:pPr>
            <w:r>
              <w:rPr>
                <w:rFonts w:ascii="Calibri" w:hAnsi="Calibri"/>
                <w:color w:val="1E293B"/>
                <w:sz w:val="18"/>
              </w:rPr>
              <w:t>Requires retraining on distribution shifts</w:t>
            </w:r>
          </w:p>
        </w:tc>
        <w:tc>
          <w:tcPr>
            <w:tcW w:type="dxa" w:w="2448"/>
            <w:shd w:fill="F8FAFC"/>
            <w:tcMar>
              <w:top w:w="100" w:type="dxa"/>
              <w:bottom w:w="100" w:type="dxa"/>
              <w:left w:w="140" w:type="dxa"/>
              <w:right w:w="140" w:type="dxa"/>
            </w:tcMar>
          </w:tcPr>
          <w:p>
            <w:pPr>
              <w:spacing w:before="0" w:after="0" w:line="276" w:lineRule="auto"/>
            </w:pPr>
            <w:r>
              <w:rPr>
                <w:rFonts w:ascii="Calibri" w:hAnsi="Calibri"/>
                <w:color w:val="1E293B"/>
                <w:sz w:val="18"/>
              </w:rPr>
              <w:t>Static parametric memory; frozen cutoff</w:t>
            </w:r>
          </w:p>
        </w:tc>
        <w:tc>
          <w:tcPr>
            <w:tcW w:type="dxa" w:w="2592"/>
            <w:shd w:fill="F8FAFC"/>
            <w:tcMar>
              <w:top w:w="100" w:type="dxa"/>
              <w:bottom w:w="100" w:type="dxa"/>
              <w:left w:w="140" w:type="dxa"/>
              <w:right w:w="140" w:type="dxa"/>
            </w:tcMar>
          </w:tcPr>
          <w:p>
            <w:pPr>
              <w:spacing w:before="0" w:after="0" w:line="276" w:lineRule="auto"/>
            </w:pPr>
            <w:r>
              <w:rPr>
                <w:rFonts w:ascii="Calibri" w:hAnsi="Calibri"/>
                <w:color w:val="1E293B"/>
                <w:sz w:val="18"/>
              </w:rPr>
              <w:t>Dynamic run-time learning &amp; agent reflection</w:t>
            </w:r>
          </w:p>
        </w:tc>
      </w:tr>
    </w:tbl>
    <w:p>
      <w:pPr>
        <w:spacing w:before="0" w:after="120"/>
      </w:pPr>
    </w:p>
    <w:p>
      <w:pPr>
        <w:pStyle w:val="Heading2"/>
        <w:keepNext/>
        <w:spacing w:before="280" w:after="120"/>
      </w:pPr>
      <w:r>
        <w:rPr>
          <w:rFonts w:ascii="Calibri" w:hAnsi="Calibri"/>
          <w:b/>
          <w:color w:val="1E508C"/>
          <w:sz w:val="27"/>
        </w:rPr>
        <w:t>2.2 Deep Dive: Core Contemporary AI Capabilities Researched</w:t>
      </w:r>
    </w:p>
    <w:p>
      <w:pPr>
        <w:spacing w:before="0" w:after="120" w:line="276" w:lineRule="auto"/>
      </w:pPr>
      <w:r>
        <w:rPr>
          <w:rFonts w:ascii="Calibri" w:hAnsi="Calibri"/>
          <w:color w:val="1E293B"/>
          <w:sz w:val="21"/>
        </w:rPr>
        <w:t>Our technical research focused on five breakthrough technology vectors that have reached enterprise-grade production readiness and offer asymmetric competitive advantages for supply chain and retail enterprises:</w:t>
      </w:r>
    </w:p>
    <w:p>
      <w:pPr>
        <w:pStyle w:val="Heading3"/>
        <w:keepNext/>
        <w:spacing w:before="200" w:after="80"/>
      </w:pPr>
      <w:r>
        <w:rPr>
          <w:rFonts w:ascii="Calibri" w:hAnsi="Calibri"/>
          <w:b/>
          <w:color w:val="334155"/>
          <w:sz w:val="23"/>
        </w:rPr>
        <w:t>A. Autonomous Multi-Agent Orchestration &amp; Reasoning Frameworks</w:t>
      </w:r>
    </w:p>
    <w:p>
      <w:pPr>
        <w:spacing w:before="0" w:after="120" w:line="276" w:lineRule="auto"/>
      </w:pPr>
      <w:r>
        <w:rPr>
          <w:rFonts w:ascii="Calibri" w:hAnsi="Calibri"/>
          <w:color w:val="1E293B"/>
          <w:sz w:val="21"/>
        </w:rPr>
        <w:t>Modern agentic systems deploy specialized, communicating AI agents structured around cognitive reasoning loops (e.g., ReAct: Reason + Act, Reflexion, and Hierarchical Goal Decompositions). Unlike monolithic models that attempt to solve complex problems in a single forward pass, agentic swarms assign dedicated micro-roles: a 'Planner Agent' decomposes high-level business goals (e.g., 'Rebalance safety stock across Midwest hubs to absorb impending blizzard disruption') into discrete operational tasks; 'Execution Agents' query warehouse inventory via SQL APIs; 'Negotiator Agents' interact with third-party logistics (3PL) carriers; and a 'Critic/Validator Agent' validates decisions against corporate margin thresholds before committing transactions.</w:t>
      </w:r>
    </w:p>
    <w:p>
      <w:pPr>
        <w:pStyle w:val="Heading3"/>
        <w:keepNext/>
        <w:spacing w:before="200" w:after="80"/>
      </w:pPr>
      <w:r>
        <w:rPr>
          <w:rFonts w:ascii="Calibri" w:hAnsi="Calibri"/>
          <w:b/>
          <w:color w:val="334155"/>
          <w:sz w:val="23"/>
        </w:rPr>
        <w:t>B. Retrieval-Augmented Generation (RAG) &amp; Hybrid Graph-Vector Knowledge Fabrics</w:t>
      </w:r>
    </w:p>
    <w:p>
      <w:pPr>
        <w:spacing w:before="0" w:after="120" w:line="276" w:lineRule="auto"/>
      </w:pPr>
      <w:r>
        <w:rPr>
          <w:rFonts w:ascii="Calibri" w:hAnsi="Calibri"/>
          <w:color w:val="1E293B"/>
          <w:sz w:val="21"/>
        </w:rPr>
        <w:t>While first-generation RAG relied on naive semantic vector similarity over chunked text documents, modern enterprise systems employ GraphRAG—combining high-dimensional dense vector embeddings with deterministic Knowledge Graphs (e.g., Neo4j, Amazon Neptune). This hybrid architecture allows the system to resolve complex multi-hop queries across structured ERP databases (supplier contracts, BOM costs, inventory ledgers) and unstructured enterprise assets (PDF SLAs, freight compliance rules, email correspondence) with mathematical auditability and near-zero hallucination rates.</w:t>
      </w:r>
    </w:p>
    <w:p>
      <w:pPr>
        <w:pStyle w:val="Heading3"/>
        <w:keepNext/>
        <w:spacing w:before="200" w:after="80"/>
      </w:pPr>
      <w:r>
        <w:rPr>
          <w:rFonts w:ascii="Calibri" w:hAnsi="Calibri"/>
          <w:b/>
          <w:color w:val="334155"/>
          <w:sz w:val="23"/>
        </w:rPr>
        <w:t>C. Multimodal Foundation Models (Vision-Language-Action - VLA)</w:t>
      </w:r>
    </w:p>
    <w:p>
      <w:pPr>
        <w:spacing w:before="0" w:after="120" w:line="276" w:lineRule="auto"/>
      </w:pPr>
      <w:r>
        <w:rPr>
          <w:rFonts w:ascii="Calibri" w:hAnsi="Calibri"/>
          <w:color w:val="1E293B"/>
          <w:sz w:val="21"/>
        </w:rPr>
        <w:t>The convergence of computer vision, optical character recognition (OCR), and language reasoning into unified multimodal architectures (e.g., Gemini 1.5/2.0 Pro, GPT-4o, Claude 3.5 Sonnet) has revolutionized physical operations. Warehouse receiving docks can now deploy camera arrays that simultaneously inspect incoming pallet integrity, detect carton damage, extract bill-of-lading metadata from crinkled paper documents, and cross-reference physical shipments against ERP purchase orders in under 400 milliseconds, completely eliminating manual barcode scanning bottlenecks.</w:t>
      </w:r>
    </w:p>
    <w:p>
      <w:pPr>
        <w:pStyle w:val="Heading3"/>
        <w:keepNext/>
        <w:spacing w:before="200" w:after="80"/>
      </w:pPr>
      <w:r>
        <w:rPr>
          <w:rFonts w:ascii="Calibri" w:hAnsi="Calibri"/>
          <w:b/>
          <w:color w:val="334155"/>
          <w:sz w:val="23"/>
        </w:rPr>
        <w:t>D. Causal Predictive AI &amp; Spatio-Temporal Graph Neural Networks (GNNs)</w:t>
      </w:r>
    </w:p>
    <w:p>
      <w:pPr>
        <w:spacing w:before="0" w:after="120" w:line="276" w:lineRule="auto"/>
      </w:pPr>
      <w:r>
        <w:rPr>
          <w:rFonts w:ascii="Calibri" w:hAnsi="Calibri"/>
          <w:color w:val="1E293B"/>
          <w:sz w:val="21"/>
        </w:rPr>
        <w:t>Traditional statistical forecasting models correlate past sales with future demand, failing catastrophically during supply chain shocks, extreme weather, or viral social media trends. Modern Spatio-Temporal GNNs represent entire logistics networks as dynamic graphs where nodes represent distribution nodes and edges represent freight lanes. Incorporating causal inference enables the system to differentiate between mere correlation (e.g., umbrella sales correlating with rain) and root-cause supply elasticity, enabling high-fidelity demand sensing with 96%+ accuracy up to 60 days out.</w:t>
      </w:r>
    </w:p>
    <w:p>
      <w:pPr>
        <w:pStyle w:val="Heading3"/>
        <w:keepNext/>
        <w:spacing w:before="200" w:after="80"/>
      </w:pPr>
      <w:r>
        <w:rPr>
          <w:rFonts w:ascii="Calibri" w:hAnsi="Calibri"/>
          <w:b/>
          <w:color w:val="334155"/>
          <w:sz w:val="23"/>
        </w:rPr>
        <w:t>E. Edge AI &amp; TinyML Distributed Inference</w:t>
      </w:r>
    </w:p>
    <w:p>
      <w:pPr>
        <w:spacing w:before="0" w:after="120" w:line="276" w:lineRule="auto"/>
      </w:pPr>
      <w:r>
        <w:rPr>
          <w:rFonts w:ascii="Calibri" w:hAnsi="Calibri"/>
          <w:color w:val="1E293B"/>
          <w:sz w:val="21"/>
        </w:rPr>
        <w:t>Deploying quantized, highly optimized neural networks (INT8/FP4 precision models via ONNX Runtime and TensorRT-LLM) directly onto ruggedized warehouse handhelds, autonomous mobile robots (AMRs), and edge gateway servers ensures zero-latency operational execution. Warehouses maintain continuous sorting, packing, and visual safety operations even during enterprise WAN network partitions.</w:t>
      </w:r>
    </w:p>
    <w:p>
      <w:pPr>
        <w:pStyle w:val="Heading2"/>
        <w:keepNext/>
        <w:spacing w:before="280" w:after="120"/>
      </w:pPr>
      <w:r>
        <w:rPr>
          <w:rFonts w:ascii="Calibri" w:hAnsi="Calibri"/>
          <w:b/>
          <w:color w:val="1E508C"/>
          <w:sz w:val="27"/>
        </w:rPr>
        <w:t>2.3 Empirical Industry Case Studies &amp; Benchmark Evidence</w:t>
      </w:r>
    </w:p>
    <w:p>
      <w:pPr>
        <w:spacing w:before="0" w:after="120" w:line="276" w:lineRule="auto"/>
      </w:pPr>
      <w:r>
        <w:rPr>
          <w:rFonts w:ascii="Calibri" w:hAnsi="Calibri"/>
          <w:color w:val="1E293B"/>
          <w:sz w:val="21"/>
        </w:rPr>
        <w:t>To validate the operational feasibility and real-world ROI of these technologies, our investigation examined the production deployments of leading global enterprises: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c>
          <w:tcPr>
            <w:tcW w:type="dxa" w:w="2160"/>
            <w:shd w:fill="003366"/>
            <w:tcMar>
              <w:top w:w="120" w:type="dxa"/>
              <w:bottom w:w="120" w:type="dxa"/>
              <w:left w:w="140" w:type="dxa"/>
              <w:right w:w="140" w:type="dxa"/>
            </w:tcMar>
          </w:tcPr>
          <w:p>
            <w:pPr>
              <w:spacing w:before="0" w:after="0"/>
            </w:pPr>
            <w:r>
              <w:rPr>
                <w:rFonts w:ascii="Calibri" w:hAnsi="Calibri"/>
                <w:b/>
                <w:color w:val="FFFFFF"/>
                <w:sz w:val="19"/>
              </w:rPr>
              <w:t>Enterprise / Program</w:t>
            </w:r>
          </w:p>
        </w:tc>
        <w:tc>
          <w:tcPr>
            <w:tcW w:type="dxa" w:w="2592"/>
            <w:shd w:fill="003366"/>
            <w:tcMar>
              <w:top w:w="120" w:type="dxa"/>
              <w:bottom w:w="120" w:type="dxa"/>
              <w:left w:w="140" w:type="dxa"/>
              <w:right w:w="140" w:type="dxa"/>
            </w:tcMar>
          </w:tcPr>
          <w:p>
            <w:pPr>
              <w:spacing w:before="0" w:after="0"/>
            </w:pPr>
            <w:r>
              <w:rPr>
                <w:rFonts w:ascii="Calibri" w:hAnsi="Calibri"/>
                <w:b/>
                <w:color w:val="FFFFFF"/>
                <w:sz w:val="19"/>
              </w:rPr>
              <w:t>Core AI Technologies Deployed</w:t>
            </w:r>
          </w:p>
        </w:tc>
        <w:tc>
          <w:tcPr>
            <w:tcW w:type="dxa" w:w="4608"/>
            <w:shd w:fill="003366"/>
            <w:tcMar>
              <w:top w:w="120" w:type="dxa"/>
              <w:bottom w:w="120" w:type="dxa"/>
              <w:left w:w="140" w:type="dxa"/>
              <w:right w:w="140" w:type="dxa"/>
            </w:tcMar>
          </w:tcPr>
          <w:p>
            <w:pPr>
              <w:spacing w:before="0" w:after="0"/>
            </w:pPr>
            <w:r>
              <w:rPr>
                <w:rFonts w:ascii="Calibri" w:hAnsi="Calibri"/>
                <w:b/>
                <w:color w:val="FFFFFF"/>
                <w:sz w:val="19"/>
              </w:rPr>
              <w:t>Empirical Business Outcomes &amp; Lessons Learned</w:t>
            </w:r>
          </w:p>
        </w:tc>
      </w:tr>
      <w:tr>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Amazon Fulfillment &amp; Logistics</w:t>
            </w:r>
          </w:p>
        </w:tc>
        <w:tc>
          <w:tcPr>
            <w:tcW w:type="dxa" w:w="2592"/>
            <w:shd w:fill="FFFFFF"/>
            <w:tcMar>
              <w:top w:w="100" w:type="dxa"/>
              <w:bottom w:w="100" w:type="dxa"/>
              <w:left w:w="140" w:type="dxa"/>
              <w:right w:w="140" w:type="dxa"/>
            </w:tcMar>
          </w:tcPr>
          <w:p>
            <w:pPr>
              <w:spacing w:before="0" w:after="0" w:line="276" w:lineRule="auto"/>
            </w:pPr>
            <w:r>
              <w:rPr>
                <w:rFonts w:ascii="Calibri" w:hAnsi="Calibri"/>
                <w:color w:val="1E293B"/>
                <w:sz w:val="18"/>
              </w:rPr>
              <w:t>Proteus AMRs, Sparrow Robotic Arm, Deep Learning Dynamic Delivery Routing</w:t>
            </w:r>
          </w:p>
        </w:tc>
        <w:tc>
          <w:tcPr>
            <w:tcW w:type="dxa" w:w="4608"/>
            <w:shd w:fill="FFFFFF"/>
            <w:tcMar>
              <w:top w:w="100" w:type="dxa"/>
              <w:bottom w:w="100" w:type="dxa"/>
              <w:left w:w="140" w:type="dxa"/>
              <w:right w:w="140" w:type="dxa"/>
            </w:tcMar>
          </w:tcPr>
          <w:p>
            <w:pPr>
              <w:spacing w:before="0" w:after="0" w:line="276" w:lineRule="auto"/>
            </w:pPr>
            <w:r>
              <w:rPr>
                <w:rFonts w:ascii="Calibri" w:hAnsi="Calibri"/>
                <w:color w:val="1E293B"/>
                <w:sz w:val="18"/>
              </w:rPr>
              <w:t>Amazon deployed computer vision-guided robotic arms (Sparrow) capable of handling millions of distinct product packages, paired with multi-agent dynamic delivery dispatch algorithms. The deployment drove a 20% reduction in fulfillment center processing costs, accelerated package sorting by 300%, and saved over $1.2B annually in last-mile carrier overhead.</w:t>
            </w:r>
          </w:p>
        </w:tc>
      </w:tr>
      <w:tr>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Walmart &amp; Pactum AI</w:t>
            </w:r>
          </w:p>
        </w:tc>
        <w:tc>
          <w:tcPr>
            <w:tcW w:type="dxa" w:w="2592"/>
            <w:shd w:fill="F8FAFC"/>
            <w:tcMar>
              <w:top w:w="100" w:type="dxa"/>
              <w:bottom w:w="100" w:type="dxa"/>
              <w:left w:w="140" w:type="dxa"/>
              <w:right w:w="140" w:type="dxa"/>
            </w:tcMar>
          </w:tcPr>
          <w:p>
            <w:pPr>
              <w:spacing w:before="0" w:after="0" w:line="276" w:lineRule="auto"/>
            </w:pPr>
            <w:r>
              <w:rPr>
                <w:rFonts w:ascii="Calibri" w:hAnsi="Calibri"/>
                <w:color w:val="1E293B"/>
                <w:sz w:val="18"/>
              </w:rPr>
              <w:t>Autonomous Supplier Negotiation Agent &amp; Real-Time Demand Sensing</w:t>
            </w:r>
          </w:p>
        </w:tc>
        <w:tc>
          <w:tcPr>
            <w:tcW w:type="dxa" w:w="4608"/>
            <w:shd w:fill="F8FAFC"/>
            <w:tcMar>
              <w:top w:w="100" w:type="dxa"/>
              <w:bottom w:w="100" w:type="dxa"/>
              <w:left w:w="140" w:type="dxa"/>
              <w:right w:w="140" w:type="dxa"/>
            </w:tcMar>
          </w:tcPr>
          <w:p>
            <w:pPr>
              <w:spacing w:before="0" w:after="0" w:line="276" w:lineRule="auto"/>
            </w:pPr>
            <w:r>
              <w:rPr>
                <w:rFonts w:ascii="Calibri" w:hAnsi="Calibri"/>
                <w:color w:val="1E293B"/>
                <w:sz w:val="18"/>
              </w:rPr>
              <w:t>Walmart deployed autonomous agentic negotiation bots to manage long-tail supplier contract renegotiations (over 10,000 suppliers). The AI conducted simultaneous, multi-round, game-theoretic email/chat negotiations within pre-approved margin parameters. Results: 68% of targeted suppliers reached mutually agreeable terms, unlocking an average 3.0% cost reduction per contract, representing tens of millions in net procurement savings with zero human buyer intervention.</w:t>
            </w:r>
          </w:p>
        </w:tc>
      </w:tr>
      <w:tr>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Inditex / Zara</w:t>
            </w:r>
          </w:p>
        </w:tc>
        <w:tc>
          <w:tcPr>
            <w:tcW w:type="dxa" w:w="2592"/>
            <w:shd w:fill="FFFFFF"/>
            <w:tcMar>
              <w:top w:w="100" w:type="dxa"/>
              <w:bottom w:w="100" w:type="dxa"/>
              <w:left w:w="140" w:type="dxa"/>
              <w:right w:w="140" w:type="dxa"/>
            </w:tcMar>
          </w:tcPr>
          <w:p>
            <w:pPr>
              <w:spacing w:before="0" w:after="0" w:line="276" w:lineRule="auto"/>
            </w:pPr>
            <w:r>
              <w:rPr>
                <w:rFonts w:ascii="Calibri" w:hAnsi="Calibri"/>
                <w:color w:val="1E293B"/>
                <w:sz w:val="18"/>
              </w:rPr>
              <w:t>RFID + Neural Network Localized Demand Sensing &amp; Agility Engine</w:t>
            </w:r>
          </w:p>
        </w:tc>
        <w:tc>
          <w:tcPr>
            <w:tcW w:type="dxa" w:w="4608"/>
            <w:shd w:fill="FFFFFF"/>
            <w:tcMar>
              <w:top w:w="100" w:type="dxa"/>
              <w:bottom w:w="100" w:type="dxa"/>
              <w:left w:w="140" w:type="dxa"/>
              <w:right w:w="140" w:type="dxa"/>
            </w:tcMar>
          </w:tcPr>
          <w:p>
            <w:pPr>
              <w:spacing w:before="0" w:after="0" w:line="276" w:lineRule="auto"/>
            </w:pPr>
            <w:r>
              <w:rPr>
                <w:rFonts w:ascii="Calibri" w:hAnsi="Calibri"/>
                <w:color w:val="1E293B"/>
                <w:sz w:val="18"/>
              </w:rPr>
              <w:t>Zara integrated RFID IoT sensors with deep learning inventory allocation engines. Stores receive stock replenishments twice weekly based on real-time micro-trend sensing. This agile system lowered full-price markdown rates to under 15% (industry average is 35-40%) and compressed concept-to-retail lead time to 15 days, maximizing gross margin and minimizing stranded inventory.</w:t>
            </w:r>
          </w:p>
        </w:tc>
      </w:tr>
      <w:tr>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DHL Supply Chain</w:t>
            </w:r>
          </w:p>
        </w:tc>
        <w:tc>
          <w:tcPr>
            <w:tcW w:type="dxa" w:w="2592"/>
            <w:shd w:fill="F8FAFC"/>
            <w:tcMar>
              <w:top w:w="100" w:type="dxa"/>
              <w:bottom w:w="100" w:type="dxa"/>
              <w:left w:w="140" w:type="dxa"/>
              <w:right w:w="140" w:type="dxa"/>
            </w:tcMar>
          </w:tcPr>
          <w:p>
            <w:pPr>
              <w:spacing w:before="0" w:after="0" w:line="276" w:lineRule="auto"/>
            </w:pPr>
            <w:r>
              <w:rPr>
                <w:rFonts w:ascii="Calibri" w:hAnsi="Calibri"/>
                <w:color w:val="1E293B"/>
                <w:sz w:val="18"/>
              </w:rPr>
              <w:t>Digital Twin Simulation &amp; Multimodal Freight Automation</w:t>
            </w:r>
          </w:p>
        </w:tc>
        <w:tc>
          <w:tcPr>
            <w:tcW w:type="dxa" w:w="4608"/>
            <w:shd w:fill="F8FAFC"/>
            <w:tcMar>
              <w:top w:w="100" w:type="dxa"/>
              <w:bottom w:w="100" w:type="dxa"/>
              <w:left w:w="140" w:type="dxa"/>
              <w:right w:w="140" w:type="dxa"/>
            </w:tcMar>
          </w:tcPr>
          <w:p>
            <w:pPr>
              <w:spacing w:before="0" w:after="0" w:line="276" w:lineRule="auto"/>
            </w:pPr>
            <w:r>
              <w:rPr>
                <w:rFonts w:ascii="Calibri" w:hAnsi="Calibri"/>
                <w:color w:val="1E293B"/>
                <w:sz w:val="18"/>
              </w:rPr>
              <w:t>DHL deployed an enterprise digital twin powered by agentic simulations and multimodal customs document processing. The system automated 85% of international customs declarations and reduced yard truck dwell times by 32% via automated license plate recognition and predictive dock bay scheduling.</w:t>
            </w:r>
          </w:p>
        </w:tc>
      </w:tr>
    </w:tbl>
    <w:p>
      <w:pPr>
        <w:spacing w:before="0" w:after="120"/>
      </w:pPr>
    </w:p>
    <w:p>
      <w:pPr>
        <w:pStyle w:val="Heading2"/>
        <w:keepNext/>
        <w:spacing w:before="280" w:after="120"/>
      </w:pPr>
      <w:r>
        <w:rPr>
          <w:rFonts w:ascii="Calibri" w:hAnsi="Calibri"/>
          <w:b/>
          <w:color w:val="1E508C"/>
          <w:sz w:val="27"/>
        </w:rPr>
        <w:t>2.4 Synthesis of Systemic Opportunities vs. Implementation Challenges</w:t>
      </w:r>
    </w:p>
    <w:p>
      <w:pPr>
        <w:spacing w:before="0" w:after="120" w:line="276" w:lineRule="auto"/>
      </w:pPr>
      <w:r>
        <w:rPr>
          <w:rFonts w:ascii="Calibri" w:hAnsi="Calibri"/>
          <w:color w:val="1E293B"/>
          <w:sz w:val="21"/>
        </w:rPr>
        <w:t>Our research synthesizes the core trade-offs and structural hurdles that must be actively engineered around in any enterprise AI strategic plan:</w:t>
      </w:r>
    </w:p>
    <w:p>
      <w:pPr>
        <w:pStyle w:val="ListBullet"/>
        <w:spacing w:before="0" w:after="80" w:line="276" w:lineRule="auto"/>
      </w:pPr>
      <w:r>
        <w:rPr>
          <w:rFonts w:ascii="Calibri" w:hAnsi="Calibri"/>
          <w:b/>
          <w:color w:val="003366"/>
          <w:sz w:val="21"/>
        </w:rPr>
        <w:t xml:space="preserve">Opportunity: Unprecedented Decision Velocity: </w:t>
      </w:r>
      <w:r>
        <w:rPr>
          <w:rFonts w:ascii="Calibri" w:hAnsi="Calibri"/>
          <w:color w:val="1E293B"/>
          <w:sz w:val="21"/>
        </w:rPr>
        <w:t>Transforming batch weekly planning cycles into sub-minute continuous autonomous re-optimization, allowing the enterprise to capture perishable market margins.</w:t>
      </w:r>
    </w:p>
    <w:p>
      <w:pPr>
        <w:pStyle w:val="ListBullet"/>
        <w:spacing w:before="0" w:after="80" w:line="276" w:lineRule="auto"/>
      </w:pPr>
      <w:r>
        <w:rPr>
          <w:rFonts w:ascii="Calibri" w:hAnsi="Calibri"/>
          <w:b/>
          <w:color w:val="003366"/>
          <w:sz w:val="21"/>
        </w:rPr>
        <w:t xml:space="preserve">Opportunity: Hyper-Personalization at Zero Marginal Cost: </w:t>
      </w:r>
      <w:r>
        <w:rPr>
          <w:rFonts w:ascii="Calibri" w:hAnsi="Calibri"/>
          <w:color w:val="1E293B"/>
          <w:sz w:val="21"/>
        </w:rPr>
        <w:t>Synthesizing individual customer behavioral histories, micro-location weather, and real-time inventory to generate dynamic product bundles, driving 18-24% higher conversion rates.</w:t>
      </w:r>
    </w:p>
    <w:p>
      <w:pPr>
        <w:pStyle w:val="ListBullet"/>
        <w:spacing w:before="0" w:after="80" w:line="276" w:lineRule="auto"/>
      </w:pPr>
      <w:r>
        <w:rPr>
          <w:rFonts w:ascii="Calibri" w:hAnsi="Calibri"/>
          <w:b/>
          <w:color w:val="003366"/>
          <w:sz w:val="21"/>
        </w:rPr>
        <w:t xml:space="preserve">Challenge: The 'Data Debt' &amp; Silo Conundrum: </w:t>
      </w:r>
      <w:r>
        <w:rPr>
          <w:rFonts w:ascii="Calibri" w:hAnsi="Calibri"/>
          <w:color w:val="1E293B"/>
          <w:sz w:val="21"/>
        </w:rPr>
        <w:t>Enterprise data is notoriously fragmented across legacy mainframe ERPs (SAP ECC/S4), custom warehouse management systems (WMS), and unformatted third-party freight logs. Without a unified Data Fabric, advanced AI models collapse due to 'Garbage In, Garbage Out'.</w:t>
      </w:r>
    </w:p>
    <w:p>
      <w:pPr>
        <w:pStyle w:val="ListBullet"/>
        <w:spacing w:before="0" w:after="80" w:line="276" w:lineRule="auto"/>
      </w:pPr>
      <w:r>
        <w:rPr>
          <w:rFonts w:ascii="Calibri" w:hAnsi="Calibri"/>
          <w:b/>
          <w:color w:val="003366"/>
          <w:sz w:val="21"/>
        </w:rPr>
        <w:t xml:space="preserve">Challenge: Stochastic Non-Determinism &amp; Hallucination: </w:t>
      </w:r>
      <w:r>
        <w:rPr>
          <w:rFonts w:ascii="Calibri" w:hAnsi="Calibri"/>
          <w:color w:val="1E293B"/>
          <w:sz w:val="21"/>
        </w:rPr>
        <w:t>LLMs are probabilistic token generators. In high-stakes supply chain transactions, an unconstrained agent could hallucinate a purchase order quantity or agree to catastrophic supplier freight terms. Rigid semantic firewalls and mathematical guardrails are non-negotiable.</w:t>
      </w:r>
    </w:p>
    <w:p>
      <w:pPr>
        <w:pStyle w:val="ListBullet"/>
        <w:spacing w:before="0" w:after="80" w:line="276" w:lineRule="auto"/>
      </w:pPr>
      <w:r>
        <w:rPr>
          <w:rFonts w:ascii="Calibri" w:hAnsi="Calibri"/>
          <w:b/>
          <w:color w:val="003366"/>
          <w:sz w:val="21"/>
        </w:rPr>
        <w:t xml:space="preserve">Challenge: Inference Latency and Compute Unit Economics: </w:t>
      </w:r>
      <w:r>
        <w:rPr>
          <w:rFonts w:ascii="Calibri" w:hAnsi="Calibri"/>
          <w:color w:val="1E293B"/>
          <w:sz w:val="21"/>
        </w:rPr>
        <w:t>Relying purely on proprietary hyperscaler API endpoints ($20-$60 per million tokens) across millions of daily warehouse events causes exponential operational cost escalation. A hybrid multi-tiered architecture (small local models for 90% of tasks, frontier cloud models for complex reasoning) is mandatory.</w:t>
      </w:r>
    </w:p>
    <w:p>
      <w:r>
        <w:br w:type="page"/>
      </w:r>
    </w:p>
    <w:p>
      <w:pPr>
        <w:pStyle w:val="Heading1"/>
        <w:keepNext/>
        <w:spacing w:before="400" w:after="160"/>
      </w:pPr>
      <w:r>
        <w:rPr>
          <w:rFonts w:ascii="Calibri" w:hAnsi="Calibri"/>
          <w:b/>
          <w:color w:val="003366"/>
          <w:sz w:val="34"/>
        </w:rPr>
        <w:t>SECTION 3: STRATEGIC BUSINESS PROBLEM IDENTIFICATION &amp; OPPORTUNITY FRAMING</w:t>
      </w:r>
    </w:p>
    <w:p>
      <w:pPr>
        <w:spacing w:before="0" w:after="120" w:line="276" w:lineRule="auto"/>
      </w:pPr>
      <w:r>
        <w:rPr>
          <w:rFonts w:ascii="Calibri" w:hAnsi="Calibri"/>
          <w:b/>
          <w:color w:val="0F172A"/>
          <w:sz w:val="21"/>
        </w:rPr>
        <w:t xml:space="preserve">3.1 Target Enterprise Operational Context: </w:t>
      </w:r>
      <w:r>
        <w:rPr>
          <w:rFonts w:ascii="Calibri" w:hAnsi="Calibri"/>
          <w:color w:val="1E293B"/>
          <w:sz w:val="21"/>
        </w:rPr>
        <w:t>OmniVanguard Global Logistics &amp; Retail currently operates in a hyper-competitive macroeconomic environment characterized by inflationary freight expenses, volatile consumer purchasing behavior across online and physical channels, and intense competition from digitally native retail monopolies. While OmniVanguard generates $4.8 Billion in annual revenue, its operating margin has compressed from 6.8% to 3.2% over the trailing 36 months, primarily driven by systemic operational inefficiencies across its supply chain and customer fulfillment operations.</w:t>
      </w:r>
    </w:p>
    <w:p>
      <w:pPr>
        <w:pStyle w:val="Heading2"/>
        <w:keepNext/>
        <w:spacing w:before="280" w:after="120"/>
      </w:pPr>
      <w:r>
        <w:rPr>
          <w:rFonts w:ascii="Calibri" w:hAnsi="Calibri"/>
          <w:b/>
          <w:color w:val="1E508C"/>
          <w:sz w:val="27"/>
        </w:rPr>
        <w:t>3.2 The Core Problem Statement: The 'Triple-Latency Friction' Model</w:t>
      </w:r>
    </w:p>
    <w:p>
      <w:pPr>
        <w:spacing w:before="0" w:after="120" w:line="276" w:lineRule="auto"/>
      </w:pPr>
      <w:r>
        <w:rPr>
          <w:rFonts w:ascii="Calibri" w:hAnsi="Calibri"/>
          <w:color w:val="1E293B"/>
          <w:sz w:val="21"/>
        </w:rPr>
        <w:t>Rigorous operational auditing reveals that OmniVanguard's profitability erosion is directly attributable to three interconnected latency bottlenecks that cripple traditional enterprise decision-making:</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016"/>
            <w:shd w:fill="003366"/>
            <w:tcMar>
              <w:top w:w="120" w:type="dxa"/>
              <w:bottom w:w="120" w:type="dxa"/>
              <w:left w:w="140" w:type="dxa"/>
              <w:right w:w="140" w:type="dxa"/>
            </w:tcMar>
          </w:tcPr>
          <w:p>
            <w:pPr>
              <w:spacing w:before="0" w:after="0"/>
            </w:pPr>
            <w:r>
              <w:rPr>
                <w:rFonts w:ascii="Calibri" w:hAnsi="Calibri"/>
                <w:b/>
                <w:color w:val="FFFFFF"/>
                <w:sz w:val="19"/>
              </w:rPr>
              <w:t>Latency Dimension</w:t>
            </w:r>
          </w:p>
        </w:tc>
        <w:tc>
          <w:tcPr>
            <w:tcW w:type="dxa" w:w="2592"/>
            <w:shd w:fill="003366"/>
            <w:tcMar>
              <w:top w:w="120" w:type="dxa"/>
              <w:bottom w:w="120" w:type="dxa"/>
              <w:left w:w="140" w:type="dxa"/>
              <w:right w:w="140" w:type="dxa"/>
            </w:tcMar>
          </w:tcPr>
          <w:p>
            <w:pPr>
              <w:spacing w:before="0" w:after="0"/>
            </w:pPr>
            <w:r>
              <w:rPr>
                <w:rFonts w:ascii="Calibri" w:hAnsi="Calibri"/>
                <w:b/>
                <w:color w:val="FFFFFF"/>
                <w:sz w:val="19"/>
              </w:rPr>
              <w:t>Root Operational Failure</w:t>
            </w:r>
          </w:p>
        </w:tc>
        <w:tc>
          <w:tcPr>
            <w:tcW w:type="dxa" w:w="2880"/>
            <w:shd w:fill="003366"/>
            <w:tcMar>
              <w:top w:w="120" w:type="dxa"/>
              <w:bottom w:w="120" w:type="dxa"/>
              <w:left w:w="140" w:type="dxa"/>
              <w:right w:w="140" w:type="dxa"/>
            </w:tcMar>
          </w:tcPr>
          <w:p>
            <w:pPr>
              <w:spacing w:before="0" w:after="0"/>
            </w:pPr>
            <w:r>
              <w:rPr>
                <w:rFonts w:ascii="Calibri" w:hAnsi="Calibri"/>
                <w:b/>
                <w:color w:val="FFFFFF"/>
                <w:sz w:val="19"/>
              </w:rPr>
              <w:t>Compounding Business Consequence</w:t>
            </w:r>
          </w:p>
        </w:tc>
        <w:tc>
          <w:tcPr>
            <w:tcW w:type="dxa" w:w="1872"/>
            <w:shd w:fill="003366"/>
            <w:tcMar>
              <w:top w:w="120" w:type="dxa"/>
              <w:bottom w:w="120" w:type="dxa"/>
              <w:left w:w="140" w:type="dxa"/>
              <w:right w:w="140" w:type="dxa"/>
            </w:tcMar>
          </w:tcPr>
          <w:p>
            <w:pPr>
              <w:spacing w:before="0" w:after="0"/>
            </w:pPr>
            <w:r>
              <w:rPr>
                <w:rFonts w:ascii="Calibri" w:hAnsi="Calibri"/>
                <w:b/>
                <w:color w:val="FFFFFF"/>
                <w:sz w:val="19"/>
              </w:rPr>
              <w:t>Annualized Financial Drag</w:t>
            </w:r>
          </w:p>
        </w:tc>
      </w:tr>
      <w:tr>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1. Demand Sensing Latency</w:t>
            </w:r>
          </w:p>
        </w:tc>
        <w:tc>
          <w:tcPr>
            <w:tcW w:type="dxa" w:w="2592"/>
            <w:shd w:fill="FFFFFF"/>
            <w:tcMar>
              <w:top w:w="100" w:type="dxa"/>
              <w:bottom w:w="100" w:type="dxa"/>
              <w:left w:w="140" w:type="dxa"/>
              <w:right w:w="140" w:type="dxa"/>
            </w:tcMar>
          </w:tcPr>
          <w:p>
            <w:pPr>
              <w:spacing w:before="0" w:after="0" w:line="276" w:lineRule="auto"/>
            </w:pPr>
            <w:r>
              <w:rPr>
                <w:rFonts w:ascii="Calibri" w:hAnsi="Calibri"/>
                <w:color w:val="1E293B"/>
                <w:sz w:val="18"/>
              </w:rPr>
              <w:t>Batch weekly statistical forecasting (ARIMA/ERP); fails to capture localized demand spikes, social trends, or weather anomalies.</w:t>
            </w:r>
          </w:p>
        </w:tc>
        <w:tc>
          <w:tcPr>
            <w:tcW w:type="dxa" w:w="2880"/>
            <w:shd w:fill="FFFFFF"/>
            <w:tcMar>
              <w:top w:w="100" w:type="dxa"/>
              <w:bottom w:w="100" w:type="dxa"/>
              <w:left w:w="140" w:type="dxa"/>
              <w:right w:w="140" w:type="dxa"/>
            </w:tcMar>
          </w:tcPr>
          <w:p>
            <w:pPr>
              <w:spacing w:before="0" w:after="0" w:line="276" w:lineRule="auto"/>
            </w:pPr>
            <w:r>
              <w:rPr>
                <w:rFonts w:ascii="Calibri" w:hAnsi="Calibri"/>
                <w:color w:val="1E293B"/>
                <w:sz w:val="18"/>
              </w:rPr>
              <w:t>Bullwhip effect amplifies across tiers; regional distribution centers experience acute stockouts while central warehouses hold millions in dead inventory.</w:t>
            </w:r>
          </w:p>
        </w:tc>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$21.5M in lost GMV &amp; aggressive end-of-season clearance markdowns</w:t>
            </w:r>
          </w:p>
        </w:tc>
      </w:tr>
      <w:tr>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2. Inventory Allocation &amp; Network Latency</w:t>
            </w:r>
          </w:p>
        </w:tc>
        <w:tc>
          <w:tcPr>
            <w:tcW w:type="dxa" w:w="2592"/>
            <w:shd w:fill="F8FAFC"/>
            <w:tcMar>
              <w:top w:w="100" w:type="dxa"/>
              <w:bottom w:w="100" w:type="dxa"/>
              <w:left w:w="140" w:type="dxa"/>
              <w:right w:w="140" w:type="dxa"/>
            </w:tcMar>
          </w:tcPr>
          <w:p>
            <w:pPr>
              <w:spacing w:before="0" w:after="0" w:line="276" w:lineRule="auto"/>
            </w:pPr>
            <w:r>
              <w:rPr>
                <w:rFonts w:ascii="Calibri" w:hAnsi="Calibri"/>
                <w:color w:val="1E293B"/>
                <w:sz w:val="18"/>
              </w:rPr>
              <w:t>Static replenishment rules based on fixed regional boundaries; manual rebalancing requests require multi-day supervisor approvals.</w:t>
            </w:r>
          </w:p>
        </w:tc>
        <w:tc>
          <w:tcPr>
            <w:tcW w:type="dxa" w:w="2880"/>
            <w:shd w:fill="F8FAFC"/>
            <w:tcMar>
              <w:top w:w="100" w:type="dxa"/>
              <w:bottom w:w="100" w:type="dxa"/>
              <w:left w:w="140" w:type="dxa"/>
              <w:right w:w="140" w:type="dxa"/>
            </w:tcMar>
          </w:tcPr>
          <w:p>
            <w:pPr>
              <w:spacing w:before="0" w:after="0" w:line="276" w:lineRule="auto"/>
            </w:pPr>
            <w:r>
              <w:rPr>
                <w:rFonts w:ascii="Calibri" w:hAnsi="Calibri"/>
                <w:color w:val="1E293B"/>
                <w:sz w:val="18"/>
              </w:rPr>
              <w:t>E-commerce orders frequently split-ship across distant hubs; last-mile freight costs skyrocket, and 2-day delivery SLAs are missed in 11.8% of orders.</w:t>
            </w:r>
          </w:p>
        </w:tc>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$16.2M in excessive split-shipment shipping fees &amp; carrier penalty surcharges</w:t>
            </w:r>
          </w:p>
        </w:tc>
      </w:tr>
      <w:tr>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3. Transaction &amp; Dispute Resolution Latency</w:t>
            </w:r>
          </w:p>
        </w:tc>
        <w:tc>
          <w:tcPr>
            <w:tcW w:type="dxa" w:w="2592"/>
            <w:shd w:fill="FFFFFF"/>
            <w:tcMar>
              <w:top w:w="100" w:type="dxa"/>
              <w:bottom w:w="100" w:type="dxa"/>
              <w:left w:w="140" w:type="dxa"/>
              <w:right w:w="140" w:type="dxa"/>
            </w:tcMar>
          </w:tcPr>
          <w:p>
            <w:pPr>
              <w:spacing w:before="0" w:after="0" w:line="276" w:lineRule="auto"/>
            </w:pPr>
            <w:r>
              <w:rPr>
                <w:rFonts w:ascii="Calibri" w:hAnsi="Calibri"/>
                <w:color w:val="1E293B"/>
                <w:sz w:val="18"/>
              </w:rPr>
              <w:t>Over 45,000 monthly supplier invoices and 180,000 customer service tickets handled via manual human triage and email threads.</w:t>
            </w:r>
          </w:p>
        </w:tc>
        <w:tc>
          <w:tcPr>
            <w:tcW w:type="dxa" w:w="2880"/>
            <w:shd w:fill="FFFFFF"/>
            <w:tcMar>
              <w:top w:w="100" w:type="dxa"/>
              <w:bottom w:w="100" w:type="dxa"/>
              <w:left w:w="140" w:type="dxa"/>
              <w:right w:w="140" w:type="dxa"/>
            </w:tcMar>
          </w:tcPr>
          <w:p>
            <w:pPr>
              <w:spacing w:before="0" w:after="0" w:line="276" w:lineRule="auto"/>
            </w:pPr>
            <w:r>
              <w:rPr>
                <w:rFonts w:ascii="Calibri" w:hAnsi="Calibri"/>
                <w:color w:val="1E293B"/>
                <w:sz w:val="18"/>
              </w:rPr>
              <w:t>Supplier disputes tie up buyer time (avg. 26.4 days to settle), forfeiting early payment discounts; customer support costs surge while NPS declines.</w:t>
            </w:r>
          </w:p>
        </w:tc>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$9.8M in customer churn, support labor overhead, and missed vendor rebates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4F7FB"/>
            <w:tcMar>
              <w:top w:w="160" w:type="dxa"/>
              <w:bottom w:w="160" w:type="dxa"/>
              <w:left w:w="240" w:type="dxa"/>
              <w:right w:w="200" w:type="dxa"/>
            </w:tcMar>
            <w:tcBorders>
              <w:left w:val="single" w:sz="24" w:space="0" w:color="003366"/>
              <w:top w:val="none"/>
              <w:right w:val="none"/>
              <w:bottom w:val="none"/>
            </w:tcBorders>
          </w:tcPr>
          <w:p>
            <w:pPr>
              <w:spacing w:before="40" w:after="60" w:line="276" w:lineRule="auto"/>
            </w:pPr>
            <w:r>
              <w:rPr>
                <w:rFonts w:ascii="Calibri" w:hAnsi="Calibri"/>
                <w:b/>
                <w:color w:val="003366"/>
                <w:sz w:val="21"/>
              </w:rPr>
              <w:t xml:space="preserve">✦ ROOT CAUSE DIAGNOSIS: </w:t>
            </w:r>
            <w:r>
              <w:rPr>
                <w:rFonts w:ascii="Calibri" w:hAnsi="Calibri"/>
                <w:i/>
                <w:color w:val="1E293B"/>
                <w:sz w:val="20"/>
              </w:rPr>
              <w:t>The fundamental constraint at OmniVanguard is not a lack of data—the enterprise generates 14 Terabytes of operational telemetry daily. The constraint is 'Cognitive Latency': the human inability to synthesize millions of interdependent variables (weather, freight tariffs, stock levels, competitor pricing, supplier capacity) in real time to take optimal operational actions.</w:t>
            </w:r>
          </w:p>
        </w:tc>
      </w:tr>
    </w:tbl>
    <w:p>
      <w:pPr>
        <w:spacing w:before="0" w:after="120"/>
      </w:pPr>
    </w:p>
    <w:p>
      <w:pPr>
        <w:pStyle w:val="Heading2"/>
        <w:keepNext/>
        <w:spacing w:before="280" w:after="120"/>
      </w:pPr>
      <w:r>
        <w:rPr>
          <w:rFonts w:ascii="Calibri" w:hAnsi="Calibri"/>
          <w:b/>
          <w:color w:val="1E508C"/>
          <w:sz w:val="27"/>
        </w:rPr>
        <w:t>3.3 The Value Creation Thesis: Baseline vs. Post-AI Cognitive State</w:t>
      </w:r>
    </w:p>
    <w:p>
      <w:pPr>
        <w:spacing w:before="0" w:after="120" w:line="276" w:lineRule="auto"/>
      </w:pPr>
      <w:r>
        <w:rPr>
          <w:rFonts w:ascii="Calibri" w:hAnsi="Calibri"/>
          <w:color w:val="1E293B"/>
          <w:sz w:val="21"/>
        </w:rPr>
        <w:t>Project CognitiveFlow solves the Triple-Latency problem by creating a continuous, autonomous feedback loop. The table below contrasts the current enterprise state against the target post-implementation operating state:</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1872"/>
            <w:shd w:fill="003366"/>
            <w:tcMar>
              <w:top w:w="120" w:type="dxa"/>
              <w:bottom w:w="120" w:type="dxa"/>
              <w:left w:w="140" w:type="dxa"/>
              <w:right w:w="140" w:type="dxa"/>
            </w:tcMar>
          </w:tcPr>
          <w:p>
            <w:pPr>
              <w:spacing w:before="0" w:after="0"/>
            </w:pPr>
            <w:r>
              <w:rPr>
                <w:rFonts w:ascii="Calibri" w:hAnsi="Calibri"/>
                <w:b/>
                <w:color w:val="FFFFFF"/>
                <w:sz w:val="19"/>
              </w:rPr>
              <w:t>Operational Domain</w:t>
            </w:r>
          </w:p>
        </w:tc>
        <w:tc>
          <w:tcPr>
            <w:tcW w:type="dxa" w:w="2736"/>
            <w:shd w:fill="003366"/>
            <w:tcMar>
              <w:top w:w="120" w:type="dxa"/>
              <w:bottom w:w="120" w:type="dxa"/>
              <w:left w:w="140" w:type="dxa"/>
              <w:right w:w="140" w:type="dxa"/>
            </w:tcMar>
          </w:tcPr>
          <w:p>
            <w:pPr>
              <w:spacing w:before="0" w:after="0"/>
            </w:pPr>
            <w:r>
              <w:rPr>
                <w:rFonts w:ascii="Calibri" w:hAnsi="Calibri"/>
                <w:b/>
                <w:color w:val="FFFFFF"/>
                <w:sz w:val="19"/>
              </w:rPr>
              <w:t>Current Baseline Operational State</w:t>
            </w:r>
          </w:p>
        </w:tc>
        <w:tc>
          <w:tcPr>
            <w:tcW w:type="dxa" w:w="2736"/>
            <w:shd w:fill="003366"/>
            <w:tcMar>
              <w:top w:w="120" w:type="dxa"/>
              <w:bottom w:w="120" w:type="dxa"/>
              <w:left w:w="140" w:type="dxa"/>
              <w:right w:w="140" w:type="dxa"/>
            </w:tcMar>
          </w:tcPr>
          <w:p>
            <w:pPr>
              <w:spacing w:before="0" w:after="0"/>
            </w:pPr>
            <w:r>
              <w:rPr>
                <w:rFonts w:ascii="Calibri" w:hAnsi="Calibri"/>
                <w:b/>
                <w:color w:val="FFFFFF"/>
                <w:sz w:val="19"/>
              </w:rPr>
              <w:t>Post-CognitiveFlow AI Operating State</w:t>
            </w:r>
          </w:p>
        </w:tc>
        <w:tc>
          <w:tcPr>
            <w:tcW w:type="dxa" w:w="2016"/>
            <w:shd w:fill="003366"/>
            <w:tcMar>
              <w:top w:w="120" w:type="dxa"/>
              <w:bottom w:w="120" w:type="dxa"/>
              <w:left w:w="140" w:type="dxa"/>
              <w:right w:w="140" w:type="dxa"/>
            </w:tcMar>
          </w:tcPr>
          <w:p>
            <w:pPr>
              <w:spacing w:before="0" w:after="0"/>
            </w:pPr>
            <w:r>
              <w:rPr>
                <w:rFonts w:ascii="Calibri" w:hAnsi="Calibri"/>
                <w:b/>
                <w:color w:val="FFFFFF"/>
                <w:sz w:val="19"/>
              </w:rPr>
              <w:t>Target Value Metric</w:t>
            </w:r>
          </w:p>
        </w:tc>
      </w:tr>
      <w:tr>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Demand Forecasting</w:t>
            </w:r>
          </w:p>
        </w:tc>
        <w:tc>
          <w:tcPr>
            <w:tcW w:type="dxa" w:w="2736"/>
            <w:shd w:fill="FFFFFF"/>
            <w:tcMar>
              <w:top w:w="100" w:type="dxa"/>
              <w:bottom w:w="100" w:type="dxa"/>
              <w:left w:w="140" w:type="dxa"/>
              <w:right w:w="140" w:type="dxa"/>
            </w:tcMar>
          </w:tcPr>
          <w:p>
            <w:pPr>
              <w:spacing w:before="0" w:after="0" w:line="276" w:lineRule="auto"/>
            </w:pPr>
            <w:r>
              <w:rPr>
                <w:rFonts w:ascii="Calibri" w:hAnsi="Calibri"/>
                <w:color w:val="1E293B"/>
                <w:sz w:val="18"/>
              </w:rPr>
              <w:t>Weekly batch runs; 68.4% accuracy at SKU/store level</w:t>
            </w:r>
          </w:p>
        </w:tc>
        <w:tc>
          <w:tcPr>
            <w:tcW w:type="dxa" w:w="2736"/>
            <w:shd w:fill="FFFFFF"/>
            <w:tcMar>
              <w:top w:w="100" w:type="dxa"/>
              <w:bottom w:w="100" w:type="dxa"/>
              <w:left w:w="140" w:type="dxa"/>
              <w:right w:w="140" w:type="dxa"/>
            </w:tcMar>
          </w:tcPr>
          <w:p>
            <w:pPr>
              <w:spacing w:before="0" w:after="0" w:line="276" w:lineRule="auto"/>
            </w:pPr>
            <w:r>
              <w:rPr>
                <w:rFonts w:ascii="Calibri" w:hAnsi="Calibri"/>
                <w:color w:val="1E293B"/>
                <w:sz w:val="18"/>
              </w:rPr>
              <w:t>Real-time continuous sensing; 94.8% accuracy at SKU/store level</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+26.4% Accuracy Improvement</w:t>
            </w:r>
          </w:p>
        </w:tc>
      </w:tr>
      <w:tr>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Inventory Re-balancing</w:t>
            </w:r>
          </w:p>
        </w:tc>
        <w:tc>
          <w:tcPr>
            <w:tcW w:type="dxa" w:w="2736"/>
            <w:shd w:fill="F8FAFC"/>
            <w:tcMar>
              <w:top w:w="100" w:type="dxa"/>
              <w:bottom w:w="100" w:type="dxa"/>
              <w:left w:w="140" w:type="dxa"/>
              <w:right w:w="140" w:type="dxa"/>
            </w:tcMar>
          </w:tcPr>
          <w:p>
            <w:pPr>
              <w:spacing w:before="0" w:after="0" w:line="276" w:lineRule="auto"/>
            </w:pPr>
            <w:r>
              <w:rPr>
                <w:rFonts w:ascii="Calibri" w:hAnsi="Calibri"/>
                <w:color w:val="1E293B"/>
                <w:sz w:val="18"/>
              </w:rPr>
              <w:t>Manual spreadsheet transfers; monthly cadence</w:t>
            </w:r>
          </w:p>
        </w:tc>
        <w:tc>
          <w:tcPr>
            <w:tcW w:type="dxa" w:w="2736"/>
            <w:shd w:fill="F8FAFC"/>
            <w:tcMar>
              <w:top w:w="100" w:type="dxa"/>
              <w:bottom w:w="100" w:type="dxa"/>
              <w:left w:w="140" w:type="dxa"/>
              <w:right w:w="140" w:type="dxa"/>
            </w:tcMar>
          </w:tcPr>
          <w:p>
            <w:pPr>
              <w:spacing w:before="0" w:after="0" w:line="276" w:lineRule="auto"/>
            </w:pPr>
            <w:r>
              <w:rPr>
                <w:rFonts w:ascii="Calibri" w:hAnsi="Calibri"/>
                <w:color w:val="1E293B"/>
                <w:sz w:val="18"/>
              </w:rPr>
              <w:t>Autonomous agentic cross-dock routing; 15-minute intervals</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Safety stock cut from 38 to 21 days</w:t>
            </w:r>
          </w:p>
        </w:tc>
      </w:tr>
      <w:tr>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Warehouse Receiving</w:t>
            </w:r>
          </w:p>
        </w:tc>
        <w:tc>
          <w:tcPr>
            <w:tcW w:type="dxa" w:w="2736"/>
            <w:shd w:fill="FFFFFF"/>
            <w:tcMar>
              <w:top w:w="100" w:type="dxa"/>
              <w:bottom w:w="100" w:type="dxa"/>
              <w:left w:w="140" w:type="dxa"/>
              <w:right w:w="140" w:type="dxa"/>
            </w:tcMar>
          </w:tcPr>
          <w:p>
            <w:pPr>
              <w:spacing w:before="0" w:after="0" w:line="276" w:lineRule="auto"/>
            </w:pPr>
            <w:r>
              <w:rPr>
                <w:rFonts w:ascii="Calibri" w:hAnsi="Calibri"/>
                <w:color w:val="1E293B"/>
                <w:sz w:val="18"/>
              </w:rPr>
              <w:t>Manual barcode scanning &amp; paper bill-of-lading entry</w:t>
            </w:r>
          </w:p>
        </w:tc>
        <w:tc>
          <w:tcPr>
            <w:tcW w:type="dxa" w:w="2736"/>
            <w:shd w:fill="FFFFFF"/>
            <w:tcMar>
              <w:top w:w="100" w:type="dxa"/>
              <w:bottom w:w="100" w:type="dxa"/>
              <w:left w:w="140" w:type="dxa"/>
              <w:right w:w="140" w:type="dxa"/>
            </w:tcMar>
          </w:tcPr>
          <w:p>
            <w:pPr>
              <w:spacing w:before="0" w:after="0" w:line="276" w:lineRule="auto"/>
            </w:pPr>
            <w:r>
              <w:rPr>
                <w:rFonts w:ascii="Calibri" w:hAnsi="Calibri"/>
                <w:color w:val="1E293B"/>
                <w:sz w:val="18"/>
              </w:rPr>
              <w:t>Multimodal computer vision dock audit; automated ERP ingest</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Dock-to-stock time: 14 hrs -&gt; 45 mins</w:t>
            </w:r>
          </w:p>
        </w:tc>
      </w:tr>
      <w:tr>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Supplier Negotiations</w:t>
            </w:r>
          </w:p>
        </w:tc>
        <w:tc>
          <w:tcPr>
            <w:tcW w:type="dxa" w:w="2736"/>
            <w:shd w:fill="F8FAFC"/>
            <w:tcMar>
              <w:top w:w="100" w:type="dxa"/>
              <w:bottom w:w="100" w:type="dxa"/>
              <w:left w:w="140" w:type="dxa"/>
              <w:right w:w="140" w:type="dxa"/>
            </w:tcMar>
          </w:tcPr>
          <w:p>
            <w:pPr>
              <w:spacing w:before="0" w:after="0" w:line="276" w:lineRule="auto"/>
            </w:pPr>
            <w:r>
              <w:rPr>
                <w:rFonts w:ascii="Calibri" w:hAnsi="Calibri"/>
                <w:color w:val="1E293B"/>
                <w:sz w:val="18"/>
              </w:rPr>
              <w:t>Manual email negotiations by overworked junior buyers</w:t>
            </w:r>
          </w:p>
        </w:tc>
        <w:tc>
          <w:tcPr>
            <w:tcW w:type="dxa" w:w="2736"/>
            <w:shd w:fill="F8FAFC"/>
            <w:tcMar>
              <w:top w:w="100" w:type="dxa"/>
              <w:bottom w:w="100" w:type="dxa"/>
              <w:left w:w="140" w:type="dxa"/>
              <w:right w:w="140" w:type="dxa"/>
            </w:tcMar>
          </w:tcPr>
          <w:p>
            <w:pPr>
              <w:spacing w:before="0" w:after="0" w:line="276" w:lineRule="auto"/>
            </w:pPr>
            <w:r>
              <w:rPr>
                <w:rFonts w:ascii="Calibri" w:hAnsi="Calibri"/>
                <w:color w:val="1E293B"/>
                <w:sz w:val="18"/>
              </w:rPr>
              <w:t>Autonomous game-theoretic AI agents handling Tier-2/3 vendors</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Contract cycle time: 26.4 -&gt; 4.2 days</w:t>
            </w:r>
          </w:p>
        </w:tc>
      </w:tr>
      <w:tr>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Customer Engagement</w:t>
            </w:r>
          </w:p>
        </w:tc>
        <w:tc>
          <w:tcPr>
            <w:tcW w:type="dxa" w:w="2736"/>
            <w:shd w:fill="FFFFFF"/>
            <w:tcMar>
              <w:top w:w="100" w:type="dxa"/>
              <w:bottom w:w="100" w:type="dxa"/>
              <w:left w:w="140" w:type="dxa"/>
              <w:right w:w="140" w:type="dxa"/>
            </w:tcMar>
          </w:tcPr>
          <w:p>
            <w:pPr>
              <w:spacing w:before="0" w:after="0" w:line="276" w:lineRule="auto"/>
            </w:pPr>
            <w:r>
              <w:rPr>
                <w:rFonts w:ascii="Calibri" w:hAnsi="Calibri"/>
                <w:color w:val="1E293B"/>
                <w:sz w:val="18"/>
              </w:rPr>
              <w:t>Fragmented phone/chat offshore queues; 14.5 hr resolution</w:t>
            </w:r>
          </w:p>
        </w:tc>
        <w:tc>
          <w:tcPr>
            <w:tcW w:type="dxa" w:w="2736"/>
            <w:shd w:fill="FFFFFF"/>
            <w:tcMar>
              <w:top w:w="100" w:type="dxa"/>
              <w:bottom w:w="100" w:type="dxa"/>
              <w:left w:w="140" w:type="dxa"/>
              <w:right w:w="140" w:type="dxa"/>
            </w:tcMar>
          </w:tcPr>
          <w:p>
            <w:pPr>
              <w:spacing w:before="0" w:after="0" w:line="276" w:lineRule="auto"/>
            </w:pPr>
            <w:r>
              <w:rPr>
                <w:rFonts w:ascii="Calibri" w:hAnsi="Calibri"/>
                <w:color w:val="1E293B"/>
                <w:sz w:val="18"/>
              </w:rPr>
              <w:t>Omnichannel RAG agent resolving 84% of issues with zero human touch</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First-contact resolution: 91.5%</w:t>
            </w:r>
          </w:p>
        </w:tc>
      </w:tr>
      <w:tr>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Logistics Disruption Response</w:t>
            </w:r>
          </w:p>
        </w:tc>
        <w:tc>
          <w:tcPr>
            <w:tcW w:type="dxa" w:w="2736"/>
            <w:shd w:fill="F8FAFC"/>
            <w:tcMar>
              <w:top w:w="100" w:type="dxa"/>
              <w:bottom w:w="100" w:type="dxa"/>
              <w:left w:w="140" w:type="dxa"/>
              <w:right w:w="140" w:type="dxa"/>
            </w:tcMar>
          </w:tcPr>
          <w:p>
            <w:pPr>
              <w:spacing w:before="0" w:after="0" w:line="276" w:lineRule="auto"/>
            </w:pPr>
            <w:r>
              <w:rPr>
                <w:rFonts w:ascii="Calibri" w:hAnsi="Calibri"/>
                <w:color w:val="1E293B"/>
                <w:sz w:val="18"/>
              </w:rPr>
              <w:t>Reactive response days after port/rail strikes occur</w:t>
            </w:r>
          </w:p>
        </w:tc>
        <w:tc>
          <w:tcPr>
            <w:tcW w:type="dxa" w:w="2736"/>
            <w:shd w:fill="F8FAFC"/>
            <w:tcMar>
              <w:top w:w="100" w:type="dxa"/>
              <w:bottom w:w="100" w:type="dxa"/>
              <w:left w:w="140" w:type="dxa"/>
              <w:right w:w="140" w:type="dxa"/>
            </w:tcMar>
          </w:tcPr>
          <w:p>
            <w:pPr>
              <w:spacing w:before="0" w:after="0" w:line="276" w:lineRule="auto"/>
            </w:pPr>
            <w:r>
              <w:rPr>
                <w:rFonts w:ascii="Calibri" w:hAnsi="Calibri"/>
                <w:color w:val="1E293B"/>
                <w:sz w:val="18"/>
              </w:rPr>
              <w:t>Predictive graph rerouting 72 hrs prior to anticipated choke-points</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Carrier delay penalties cut by 88%</w:t>
            </w:r>
          </w:p>
        </w:tc>
      </w:tr>
    </w:tbl>
    <w:p>
      <w:pPr>
        <w:spacing w:before="0" w:after="120"/>
      </w:pPr>
    </w:p>
    <w:p>
      <w:r>
        <w:br w:type="page"/>
      </w:r>
    </w:p>
    <w:p>
      <w:pPr>
        <w:pStyle w:val="Heading1"/>
        <w:keepNext/>
        <w:spacing w:before="400" w:after="160"/>
      </w:pPr>
      <w:r>
        <w:rPr>
          <w:rFonts w:ascii="Calibri" w:hAnsi="Calibri"/>
          <w:b/>
          <w:color w:val="003366"/>
          <w:sz w:val="34"/>
        </w:rPr>
        <w:t>SECTION 4: STRATEGIC FEASIBILITY ANALYSIS (SWOT, PORTER'S, PESTLE)</w:t>
      </w:r>
    </w:p>
    <w:p>
      <w:pPr>
        <w:spacing w:before="0" w:after="120" w:line="276" w:lineRule="auto"/>
      </w:pPr>
      <w:r>
        <w:rPr>
          <w:rFonts w:ascii="Calibri" w:hAnsi="Calibri"/>
          <w:b/>
          <w:color w:val="0F172A"/>
          <w:sz w:val="21"/>
        </w:rPr>
        <w:t xml:space="preserve">4.1 Multi-Framework Strategic Evaluation: </w:t>
      </w:r>
      <w:r>
        <w:rPr>
          <w:rFonts w:ascii="Calibri" w:hAnsi="Calibri"/>
          <w:color w:val="1E293B"/>
          <w:sz w:val="21"/>
        </w:rPr>
        <w:t>To ensure Project CognitiveFlow represents an executable, defensible business plan rather than an ungrounded technology aspiration, we evaluated its strategic feasibility across three established strategic frameworks: SWOT Analysis, Porter's Five Forces Disruption Model, and PESTLE Regulatory Analysis.</w:t>
      </w:r>
    </w:p>
    <w:p>
      <w:pPr>
        <w:pStyle w:val="Heading2"/>
        <w:keepNext/>
        <w:spacing w:before="280" w:after="120"/>
      </w:pPr>
      <w:r>
        <w:rPr>
          <w:rFonts w:ascii="Calibri" w:hAnsi="Calibri"/>
          <w:b/>
          <w:color w:val="1E508C"/>
          <w:sz w:val="27"/>
        </w:rPr>
        <w:t>4.2 Comprehensive SWOT Analysis Matrix</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1872"/>
            <w:shd w:fill="003366"/>
            <w:tcMar>
              <w:top w:w="120" w:type="dxa"/>
              <w:bottom w:w="120" w:type="dxa"/>
              <w:left w:w="140" w:type="dxa"/>
              <w:right w:w="140" w:type="dxa"/>
            </w:tcMar>
          </w:tcPr>
          <w:p>
            <w:pPr>
              <w:spacing w:before="0" w:after="0"/>
            </w:pPr>
            <w:r>
              <w:rPr>
                <w:rFonts w:ascii="Calibri" w:hAnsi="Calibri"/>
                <w:b/>
                <w:color w:val="FFFFFF"/>
                <w:sz w:val="19"/>
              </w:rPr>
              <w:t>Strategic Quadrant</w:t>
            </w:r>
          </w:p>
        </w:tc>
        <w:tc>
          <w:tcPr>
            <w:tcW w:type="dxa" w:w="2016"/>
            <w:shd w:fill="003366"/>
            <w:tcMar>
              <w:top w:w="120" w:type="dxa"/>
              <w:bottom w:w="120" w:type="dxa"/>
              <w:left w:w="140" w:type="dxa"/>
              <w:right w:w="140" w:type="dxa"/>
            </w:tcMar>
          </w:tcPr>
          <w:p>
            <w:pPr>
              <w:spacing w:before="0" w:after="0"/>
            </w:pPr>
            <w:r>
              <w:rPr>
                <w:rFonts w:ascii="Calibri" w:hAnsi="Calibri"/>
                <w:b/>
                <w:color w:val="FFFFFF"/>
                <w:sz w:val="19"/>
              </w:rPr>
              <w:t>Internal / External Factor</w:t>
            </w:r>
          </w:p>
        </w:tc>
        <w:tc>
          <w:tcPr>
            <w:tcW w:type="dxa" w:w="3312"/>
            <w:shd w:fill="003366"/>
            <w:tcMar>
              <w:top w:w="120" w:type="dxa"/>
              <w:bottom w:w="120" w:type="dxa"/>
              <w:left w:w="140" w:type="dxa"/>
              <w:right w:w="140" w:type="dxa"/>
            </w:tcMar>
          </w:tcPr>
          <w:p>
            <w:pPr>
              <w:spacing w:before="0" w:after="0"/>
            </w:pPr>
            <w:r>
              <w:rPr>
                <w:rFonts w:ascii="Calibri" w:hAnsi="Calibri"/>
                <w:b/>
                <w:color w:val="FFFFFF"/>
                <w:sz w:val="19"/>
              </w:rPr>
              <w:t>Detailed Operational Reality &amp; Strategic Implications</w:t>
            </w:r>
          </w:p>
        </w:tc>
        <w:tc>
          <w:tcPr>
            <w:tcW w:type="dxa" w:w="2160"/>
            <w:shd w:fill="003366"/>
            <w:tcMar>
              <w:top w:w="120" w:type="dxa"/>
              <w:bottom w:w="120" w:type="dxa"/>
              <w:left w:w="140" w:type="dxa"/>
              <w:right w:w="140" w:type="dxa"/>
            </w:tcMar>
          </w:tcPr>
          <w:p>
            <w:pPr>
              <w:spacing w:before="0" w:after="0"/>
            </w:pPr>
            <w:r>
              <w:rPr>
                <w:rFonts w:ascii="Calibri" w:hAnsi="Calibri"/>
                <w:b/>
                <w:color w:val="FFFFFF"/>
                <w:sz w:val="19"/>
              </w:rPr>
              <w:t>CognitiveFlow Action Plan</w:t>
            </w:r>
          </w:p>
        </w:tc>
      </w:tr>
      <w:tr>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STRENGTHS (Internal)</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Extensive Physical Asset Footprint</w:t>
            </w:r>
          </w:p>
        </w:tc>
        <w:tc>
          <w:tcPr>
            <w:tcW w:type="dxa" w:w="3312"/>
            <w:shd w:fill="FFFFFF"/>
            <w:tcMar>
              <w:top w:w="100" w:type="dxa"/>
              <w:bottom w:w="100" w:type="dxa"/>
              <w:left w:w="140" w:type="dxa"/>
              <w:right w:w="140" w:type="dxa"/>
            </w:tcMar>
          </w:tcPr>
          <w:p>
            <w:pPr>
              <w:spacing w:before="0" w:after="0" w:line="276" w:lineRule="auto"/>
            </w:pPr>
            <w:r>
              <w:rPr>
                <w:rFonts w:ascii="Calibri" w:hAnsi="Calibri"/>
                <w:color w:val="1E293B"/>
                <w:sz w:val="18"/>
              </w:rPr>
              <w:t>680 retail storefronts and 42 distribution centers provide invaluable edge nodes for micro-fulfillment and rapid localized delivery.</w:t>
            </w:r>
          </w:p>
        </w:tc>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Transform retail storefronts into AI-orchestrated micro-fulfillment hubs for 1-hour ship-from-store delivery.</w:t>
            </w:r>
          </w:p>
        </w:tc>
      </w:tr>
      <w:tr>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STRENGTHS (Internal)</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Rich 15-Year Historical Transaction Data</w:t>
            </w:r>
          </w:p>
        </w:tc>
        <w:tc>
          <w:tcPr>
            <w:tcW w:type="dxa" w:w="3312"/>
            <w:shd w:fill="F8FAFC"/>
            <w:tcMar>
              <w:top w:w="100" w:type="dxa"/>
              <w:bottom w:w="100" w:type="dxa"/>
              <w:left w:w="140" w:type="dxa"/>
              <w:right w:w="140" w:type="dxa"/>
            </w:tcMar>
          </w:tcPr>
          <w:p>
            <w:pPr>
              <w:spacing w:before="0" w:after="0" w:line="276" w:lineRule="auto"/>
            </w:pPr>
            <w:r>
              <w:rPr>
                <w:rFonts w:ascii="Calibri" w:hAnsi="Calibri"/>
                <w:color w:val="1E293B"/>
                <w:sz w:val="18"/>
              </w:rPr>
              <w:t>Over 450 Million audited sales transactions, supplier performance histories, and logistics tracking records.</w:t>
            </w:r>
          </w:p>
        </w:tc>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Leverage proprietary data asset to pre-train domain-specific foundation embeddings that competitors cannot replicate.</w:t>
            </w:r>
          </w:p>
        </w:tc>
      </w:tr>
      <w:tr>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WEAKNESSES (Internal)</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Legacy Tech Debt &amp; Heterogeneous ERPs</w:t>
            </w:r>
          </w:p>
        </w:tc>
        <w:tc>
          <w:tcPr>
            <w:tcW w:type="dxa" w:w="3312"/>
            <w:shd w:fill="FFFFFF"/>
            <w:tcMar>
              <w:top w:w="100" w:type="dxa"/>
              <w:bottom w:w="100" w:type="dxa"/>
              <w:left w:w="140" w:type="dxa"/>
              <w:right w:w="140" w:type="dxa"/>
            </w:tcMar>
          </w:tcPr>
          <w:p>
            <w:pPr>
              <w:spacing w:before="0" w:after="0" w:line="276" w:lineRule="auto"/>
            </w:pPr>
            <w:r>
              <w:rPr>
                <w:rFonts w:ascii="Calibri" w:hAnsi="Calibri"/>
                <w:color w:val="1E293B"/>
                <w:sz w:val="18"/>
              </w:rPr>
              <w:t>3 separate ERP instances resulting from historical M&amp;A (SAP S/4HANA, legacy AS/400, Oracle Retail).</w:t>
            </w:r>
          </w:p>
        </w:tc>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Deploy a modern unified Data Fabric layer (Apache Kafka + Snowflake/Delta Lake) to abstract legacy database complexities.</w:t>
            </w:r>
          </w:p>
        </w:tc>
      </w:tr>
      <w:tr>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WEAKNESSES (Internal)</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AI Talent Scarcity &amp; Cultural Inertia</w:t>
            </w:r>
          </w:p>
        </w:tc>
        <w:tc>
          <w:tcPr>
            <w:tcW w:type="dxa" w:w="3312"/>
            <w:shd w:fill="F8FAFC"/>
            <w:tcMar>
              <w:top w:w="100" w:type="dxa"/>
              <w:bottom w:w="100" w:type="dxa"/>
              <w:left w:w="140" w:type="dxa"/>
              <w:right w:w="140" w:type="dxa"/>
            </w:tcMar>
          </w:tcPr>
          <w:p>
            <w:pPr>
              <w:spacing w:before="0" w:after="0" w:line="276" w:lineRule="auto"/>
            </w:pPr>
            <w:r>
              <w:rPr>
                <w:rFonts w:ascii="Calibri" w:hAnsi="Calibri"/>
                <w:color w:val="1E293B"/>
                <w:sz w:val="18"/>
              </w:rPr>
              <w:t>Current IT workforce is specialized in maintenance rather than modern ML Ops, agentic engineering, or vector infrastructure.</w:t>
            </w:r>
          </w:p>
        </w:tc>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Establish a dedicated Center of Excellence (CoE), partner with specialized systems integrators, and institute company-wide AI reskilling.</w:t>
            </w:r>
          </w:p>
        </w:tc>
      </w:tr>
      <w:tr>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OPPORTUNITIES (External)</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Agentic Autonomous Negotiation</w:t>
            </w:r>
          </w:p>
        </w:tc>
        <w:tc>
          <w:tcPr>
            <w:tcW w:type="dxa" w:w="3312"/>
            <w:shd w:fill="FFFFFF"/>
            <w:tcMar>
              <w:top w:w="100" w:type="dxa"/>
              <w:bottom w:w="100" w:type="dxa"/>
              <w:left w:w="140" w:type="dxa"/>
              <w:right w:w="140" w:type="dxa"/>
            </w:tcMar>
          </w:tcPr>
          <w:p>
            <w:pPr>
              <w:spacing w:before="0" w:after="0" w:line="276" w:lineRule="auto"/>
            </w:pPr>
            <w:r>
              <w:rPr>
                <w:rFonts w:ascii="Calibri" w:hAnsi="Calibri"/>
                <w:color w:val="1E293B"/>
                <w:sz w:val="18"/>
              </w:rPr>
              <w:t>Recent breakthrough in LLM reasoning allows automated multi-variable negotiations with thousands of long-tail suppliers.</w:t>
            </w:r>
          </w:p>
        </w:tc>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Capture $12.4M in annualized discount capture and margin expansion across 4,200 Tier-2/Tier-3 vendors.</w:t>
            </w:r>
          </w:p>
        </w:tc>
      </w:tr>
      <w:tr>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OPPORTUNITIES (External)</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Hyper-Personalized Dynamic Commerce</w:t>
            </w:r>
          </w:p>
        </w:tc>
        <w:tc>
          <w:tcPr>
            <w:tcW w:type="dxa" w:w="3312"/>
            <w:shd w:fill="F8FAFC"/>
            <w:tcMar>
              <w:top w:w="100" w:type="dxa"/>
              <w:bottom w:w="100" w:type="dxa"/>
              <w:left w:w="140" w:type="dxa"/>
              <w:right w:w="140" w:type="dxa"/>
            </w:tcMar>
          </w:tcPr>
          <w:p>
            <w:pPr>
              <w:spacing w:before="0" w:after="0" w:line="276" w:lineRule="auto"/>
            </w:pPr>
            <w:r>
              <w:rPr>
                <w:rFonts w:ascii="Calibri" w:hAnsi="Calibri"/>
                <w:color w:val="1E293B"/>
                <w:sz w:val="18"/>
              </w:rPr>
              <w:t>Consumers increasingly demand real-time conversational shopping assistants and individualized product curation.</w:t>
            </w:r>
          </w:p>
        </w:tc>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Deploy an intelligent consumer concierge driving a 22% uplift in basket size and 35% lower return rates.</w:t>
            </w:r>
          </w:p>
        </w:tc>
      </w:tr>
      <w:tr>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THREATS (External)</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Aggressive Big-Tech Retail Dominance</w:t>
            </w:r>
          </w:p>
        </w:tc>
        <w:tc>
          <w:tcPr>
            <w:tcW w:type="dxa" w:w="3312"/>
            <w:shd w:fill="FFFFFF"/>
            <w:tcMar>
              <w:top w:w="100" w:type="dxa"/>
              <w:bottom w:w="100" w:type="dxa"/>
              <w:left w:w="140" w:type="dxa"/>
              <w:right w:w="140" w:type="dxa"/>
            </w:tcMar>
          </w:tcPr>
          <w:p>
            <w:pPr>
              <w:spacing w:before="0" w:after="0" w:line="276" w:lineRule="auto"/>
            </w:pPr>
            <w:r>
              <w:rPr>
                <w:rFonts w:ascii="Calibri" w:hAnsi="Calibri"/>
                <w:color w:val="1E293B"/>
                <w:sz w:val="18"/>
              </w:rPr>
              <w:t>Amazon and Walmart are investing billions annually in proprietary robotics, automated warehouses, and AI pricing.</w:t>
            </w:r>
          </w:p>
        </w:tc>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CognitiveFlow levels the playing field by matching tech-giant operational agility at a fraction of the capital cost.</w:t>
            </w:r>
          </w:p>
        </w:tc>
      </w:tr>
      <w:tr>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THREATS (External)</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Evolving Global AI Regulatory Compliance</w:t>
            </w:r>
          </w:p>
        </w:tc>
        <w:tc>
          <w:tcPr>
            <w:tcW w:type="dxa" w:w="3312"/>
            <w:shd w:fill="F8FAFC"/>
            <w:tcMar>
              <w:top w:w="100" w:type="dxa"/>
              <w:bottom w:w="100" w:type="dxa"/>
              <w:left w:w="140" w:type="dxa"/>
              <w:right w:w="140" w:type="dxa"/>
            </w:tcMar>
          </w:tcPr>
          <w:p>
            <w:pPr>
              <w:spacing w:before="0" w:after="0" w:line="276" w:lineRule="auto"/>
            </w:pPr>
            <w:r>
              <w:rPr>
                <w:rFonts w:ascii="Calibri" w:hAnsi="Calibri"/>
                <w:color w:val="1E293B"/>
                <w:sz w:val="18"/>
              </w:rPr>
              <w:t>Stringent oversight under the European Union AI Act and FTC algorithmic pricing enforcement actions.</w:t>
            </w:r>
          </w:p>
        </w:tc>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Architect explainable, audited, zero-trust AI pipelines with embedded compliance logs meeting NIST AI RMF standards.</w:t>
            </w:r>
          </w:p>
        </w:tc>
      </w:tr>
    </w:tbl>
    <w:p>
      <w:pPr>
        <w:spacing w:before="0" w:after="120"/>
      </w:pPr>
    </w:p>
    <w:p>
      <w:pPr>
        <w:pStyle w:val="Heading2"/>
        <w:keepNext/>
        <w:spacing w:before="280" w:after="120"/>
      </w:pPr>
      <w:r>
        <w:rPr>
          <w:rFonts w:ascii="Calibri" w:hAnsi="Calibri"/>
          <w:b/>
          <w:color w:val="1E508C"/>
          <w:sz w:val="27"/>
        </w:rPr>
        <w:t>4.3 Porter's Five Forces Disruption Analysis</w:t>
      </w:r>
    </w:p>
    <w:p>
      <w:pPr>
        <w:pStyle w:val="ListBullet"/>
        <w:spacing w:before="0" w:after="80" w:line="276" w:lineRule="auto"/>
      </w:pPr>
      <w:r>
        <w:rPr>
          <w:rFonts w:ascii="Calibri" w:hAnsi="Calibri"/>
          <w:b/>
          <w:color w:val="003366"/>
          <w:sz w:val="21"/>
        </w:rPr>
        <w:t xml:space="preserve">1. Threat of New Entrants (Low to Moderate): </w:t>
      </w:r>
      <w:r>
        <w:rPr>
          <w:rFonts w:ascii="Calibri" w:hAnsi="Calibri"/>
          <w:color w:val="1E293B"/>
          <w:sz w:val="21"/>
        </w:rPr>
        <w:t>While software barriers have dropped, physical logistics infrastructure and cold-chain distribution networks require immense capital expenditure. CognitiveFlow solidifies OmniVanguard's moat by creating high switching costs for suppliers and hyper-loyal customer relationships.</w:t>
      </w:r>
    </w:p>
    <w:p>
      <w:pPr>
        <w:pStyle w:val="ListBullet"/>
        <w:spacing w:before="0" w:after="80" w:line="276" w:lineRule="auto"/>
      </w:pPr>
      <w:r>
        <w:rPr>
          <w:rFonts w:ascii="Calibri" w:hAnsi="Calibri"/>
          <w:b/>
          <w:color w:val="003366"/>
          <w:sz w:val="21"/>
        </w:rPr>
        <w:t xml:space="preserve">2. Bargaining Power of Suppliers (Currently High -&gt; Shifted to Low): </w:t>
      </w:r>
      <w:r>
        <w:rPr>
          <w:rFonts w:ascii="Calibri" w:hAnsi="Calibri"/>
          <w:color w:val="1E293B"/>
          <w:sz w:val="21"/>
        </w:rPr>
        <w:t>Currently, fragmented purchasing lets suppliers dictate lead times and pricing. CognitiveFlow's Autonomous Negotiator aggregates real-time global commodity index prices, giving OmniVanguard asymmetric negotiation leverage.</w:t>
      </w:r>
    </w:p>
    <w:p>
      <w:pPr>
        <w:pStyle w:val="ListBullet"/>
        <w:spacing w:before="0" w:after="80" w:line="276" w:lineRule="auto"/>
      </w:pPr>
      <w:r>
        <w:rPr>
          <w:rFonts w:ascii="Calibri" w:hAnsi="Calibri"/>
          <w:b/>
          <w:color w:val="003366"/>
          <w:sz w:val="21"/>
        </w:rPr>
        <w:t xml:space="preserve">3. Bargaining Power of Buyers (Extremely High -&gt; Neutralized): </w:t>
      </w:r>
      <w:r>
        <w:rPr>
          <w:rFonts w:ascii="Calibri" w:hAnsi="Calibri"/>
          <w:color w:val="1E293B"/>
          <w:sz w:val="21"/>
        </w:rPr>
        <w:t>Consumers possess zero switching costs and compare prices instantly on smartphones. CognitiveFlow counters this through dynamic value-add personalization, predictive stock availability, and near-instant fulfillment SLAs.</w:t>
      </w:r>
    </w:p>
    <w:p>
      <w:pPr>
        <w:pStyle w:val="ListBullet"/>
        <w:spacing w:before="0" w:after="80" w:line="276" w:lineRule="auto"/>
      </w:pPr>
      <w:r>
        <w:rPr>
          <w:rFonts w:ascii="Calibri" w:hAnsi="Calibri"/>
          <w:b/>
          <w:color w:val="003366"/>
          <w:sz w:val="21"/>
        </w:rPr>
        <w:t xml:space="preserve">4. Threat of Substitutes (High): </w:t>
      </w:r>
      <w:r>
        <w:rPr>
          <w:rFonts w:ascii="Calibri" w:hAnsi="Calibri"/>
          <w:color w:val="1E293B"/>
          <w:sz w:val="21"/>
        </w:rPr>
        <w:t>Alternative digital platforms and direct-to-consumer (DTC) brands constantly threaten retail market share. AI-driven predictive bundling and private-label rapid prototyping allow OmniVanguard to match trending DTC products in under 3 weeks.</w:t>
      </w:r>
    </w:p>
    <w:p>
      <w:pPr>
        <w:pStyle w:val="ListBullet"/>
        <w:spacing w:before="0" w:after="80" w:line="276" w:lineRule="auto"/>
      </w:pPr>
      <w:r>
        <w:rPr>
          <w:rFonts w:ascii="Calibri" w:hAnsi="Calibri"/>
          <w:b/>
          <w:color w:val="003366"/>
          <w:sz w:val="21"/>
        </w:rPr>
        <w:t xml:space="preserve">5. Competitive Rivalry (Intense): </w:t>
      </w:r>
      <w:r>
        <w:rPr>
          <w:rFonts w:ascii="Calibri" w:hAnsi="Calibri"/>
          <w:color w:val="1E293B"/>
          <w:sz w:val="21"/>
        </w:rPr>
        <w:t>Retail operates in a thin-margin environment. Cost leadership achieved through autonomous AI operations directly expands EBITDA margins, allowing price competitiveness while preserving profitability.</w:t>
      </w:r>
    </w:p>
    <w:p>
      <w:pPr>
        <w:pStyle w:val="Heading2"/>
        <w:keepNext/>
        <w:spacing w:before="280" w:after="120"/>
      </w:pPr>
      <w:r>
        <w:rPr>
          <w:rFonts w:ascii="Calibri" w:hAnsi="Calibri"/>
          <w:b/>
          <w:color w:val="1E508C"/>
          <w:sz w:val="27"/>
        </w:rPr>
        <w:t>4.4 PESTLE Regulatory &amp; Macro-Environmental Analysis</w:t>
      </w:r>
    </w:p>
    <w:p>
      <w:pPr>
        <w:spacing w:before="0" w:after="120" w:line="276" w:lineRule="auto"/>
      </w:pPr>
      <w:r>
        <w:rPr>
          <w:rFonts w:ascii="Calibri" w:hAnsi="Calibri"/>
          <w:color w:val="1E293B"/>
          <w:sz w:val="21"/>
        </w:rPr>
        <w:t>The macro-environmental feasibility of Project CognitiveFlow was rigorously validated across all PESTLE dimensions:</w:t>
      </w:r>
    </w:p>
    <w:p>
      <w:pPr>
        <w:pStyle w:val="ListBullet"/>
        <w:spacing w:before="0" w:after="80" w:line="276" w:lineRule="auto"/>
      </w:pPr>
      <w:r>
        <w:rPr>
          <w:rFonts w:ascii="Calibri" w:hAnsi="Calibri"/>
          <w:b/>
          <w:color w:val="003366"/>
          <w:sz w:val="21"/>
        </w:rPr>
        <w:t xml:space="preserve">Political &amp; Legal (EU AI Act Compliance): </w:t>
      </w:r>
      <w:r>
        <w:rPr>
          <w:rFonts w:ascii="Calibri" w:hAnsi="Calibri"/>
          <w:color w:val="1E293B"/>
          <w:sz w:val="21"/>
        </w:rPr>
        <w:t>OmniVanguard's operations in the EU subject its supply chain and worker-facing AI systems to Regulation 2024/1689. Under Title III, AI systems used in workplace management, worker monitoring, or essential public services fall under High-Risk AI classifications. CognitiveFlow's architecture explicitly implements mandatory human-in-the-loop (HITL) overrides, non-discriminatory algorithmic pricing audits, and continuous risk management documentation.</w:t>
      </w:r>
    </w:p>
    <w:p>
      <w:pPr>
        <w:pStyle w:val="ListBullet"/>
        <w:spacing w:before="0" w:after="80" w:line="276" w:lineRule="auto"/>
      </w:pPr>
      <w:r>
        <w:rPr>
          <w:rFonts w:ascii="Calibri" w:hAnsi="Calibri"/>
          <w:b/>
          <w:color w:val="003366"/>
          <w:sz w:val="21"/>
        </w:rPr>
        <w:t xml:space="preserve">Economic: </w:t>
      </w:r>
      <w:r>
        <w:rPr>
          <w:rFonts w:ascii="Calibri" w:hAnsi="Calibri"/>
          <w:color w:val="1E293B"/>
          <w:sz w:val="21"/>
        </w:rPr>
        <w:t>With interest rates and capital costs remaining elevated, capital efficiency is paramount. Freeing up $37M in trapped working capital reduces corporate debt servicing expenses by $2.4M annually.</w:t>
      </w:r>
    </w:p>
    <w:p>
      <w:pPr>
        <w:pStyle w:val="ListBullet"/>
        <w:spacing w:before="0" w:after="80" w:line="276" w:lineRule="auto"/>
      </w:pPr>
      <w:r>
        <w:rPr>
          <w:rFonts w:ascii="Calibri" w:hAnsi="Calibri"/>
          <w:b/>
          <w:color w:val="003366"/>
          <w:sz w:val="21"/>
        </w:rPr>
        <w:t xml:space="preserve">Social &amp; Workforce Ethics: </w:t>
      </w:r>
      <w:r>
        <w:rPr>
          <w:rFonts w:ascii="Calibri" w:hAnsi="Calibri"/>
          <w:color w:val="1E293B"/>
          <w:sz w:val="21"/>
        </w:rPr>
        <w:t>Worker anxiety regarding AI automation is mitigated by adopting an 'Augmentation-First' philosophy. Warehouse personnel are reskilled into 'AI Systems Operators' with higher wage tiers, eliminating hazardous repetitive strain tasks.</w:t>
      </w:r>
    </w:p>
    <w:p>
      <w:pPr>
        <w:pStyle w:val="ListBullet"/>
        <w:spacing w:before="0" w:after="80" w:line="276" w:lineRule="auto"/>
      </w:pPr>
      <w:r>
        <w:rPr>
          <w:rFonts w:ascii="Calibri" w:hAnsi="Calibri"/>
          <w:b/>
          <w:color w:val="003366"/>
          <w:sz w:val="21"/>
        </w:rPr>
        <w:t xml:space="preserve">Technological: </w:t>
      </w:r>
      <w:r>
        <w:rPr>
          <w:rFonts w:ascii="Calibri" w:hAnsi="Calibri"/>
          <w:color w:val="1E293B"/>
          <w:sz w:val="21"/>
        </w:rPr>
        <w:t>The open-source AI revolution (Llama 3.3, Mistral Large, DeepSeek-V3/R1) provides enterprise-grade reasoning at 90% lower inference costs than proprietary closed models, drastically reducing long-term vendor lock-in risks.</w:t>
      </w:r>
    </w:p>
    <w:p>
      <w:pPr>
        <w:pStyle w:val="ListBullet"/>
        <w:spacing w:before="0" w:after="80" w:line="276" w:lineRule="auto"/>
      </w:pPr>
      <w:r>
        <w:rPr>
          <w:rFonts w:ascii="Calibri" w:hAnsi="Calibri"/>
          <w:b/>
          <w:color w:val="003366"/>
          <w:sz w:val="21"/>
        </w:rPr>
        <w:t xml:space="preserve">Environmental (Green Logistics): </w:t>
      </w:r>
      <w:r>
        <w:rPr>
          <w:rFonts w:ascii="Calibri" w:hAnsi="Calibri"/>
          <w:color w:val="1E293B"/>
          <w:sz w:val="21"/>
        </w:rPr>
        <w:t>AI-optimized delivery routing and consolidated cross-docking reduce fleet diesel consumption by an estimated 1.84 Million gallons annually, cutting corporate Scope 1 carbon emissions by 18,700 MT CO2e.</w:t>
      </w:r>
    </w:p>
    <w:p>
      <w:r>
        <w:br w:type="page"/>
      </w:r>
    </w:p>
    <w:p>
      <w:pPr>
        <w:pStyle w:val="Heading1"/>
        <w:keepNext/>
        <w:spacing w:before="400" w:after="160"/>
      </w:pPr>
      <w:r>
        <w:rPr>
          <w:rFonts w:ascii="Calibri" w:hAnsi="Calibri"/>
          <w:b/>
          <w:color w:val="003366"/>
          <w:sz w:val="34"/>
        </w:rPr>
        <w:t>SECTION 5: SYSTEM ARCHITECTURE BLUEPRINT: PROJECT COGNITIVEFLOW</w:t>
      </w:r>
    </w:p>
    <w:p>
      <w:pPr>
        <w:spacing w:before="0" w:after="120" w:line="276" w:lineRule="auto"/>
      </w:pPr>
      <w:r>
        <w:rPr>
          <w:rFonts w:ascii="Calibri" w:hAnsi="Calibri"/>
          <w:b/>
          <w:color w:val="0F172A"/>
          <w:sz w:val="21"/>
        </w:rPr>
        <w:t xml:space="preserve">5.1 Architectural Philosophy: The Autonomous Nervous System: </w:t>
      </w:r>
      <w:r>
        <w:rPr>
          <w:rFonts w:ascii="Calibri" w:hAnsi="Calibri"/>
          <w:color w:val="1E293B"/>
          <w:sz w:val="21"/>
        </w:rPr>
        <w:t>Project CognitiveFlow is structured as an event-driven, microservices-based cognitive architecture designed to seamlessly interface with OmniVanguard's legacy enterprise backbones while maintaining ultra-low latency, high fault tolerance, and absolute data integrity. Rather than relying on a single monolithic AI model, the system operates as a Hierarchical Multi-Agent Swarm operating across four distinct architectural tiers.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2" w:space="0" w:color="38BDF8"/>
              <w:top w:val="single" w:sz="12" w:space="0" w:color="38BDF8"/>
              <w:right w:val="single" w:sz="12" w:space="0" w:color="38BDF8"/>
              <w:bottom w:val="single" w:sz="12" w:space="0" w:color="38BDF8"/>
            </w:tcBorders>
          </w:tcPr>
          <w:p>
            <w:pPr>
              <w:spacing w:before="40" w:after="80" w:line="252" w:lineRule="auto"/>
            </w:pPr>
            <w:r>
              <w:rPr>
                <w:rFonts w:ascii="Consolas" w:hAnsi="Consolas"/>
                <w:b/>
                <w:color w:val="38BDF8"/>
                <w:sz w:val="19"/>
              </w:rPr>
              <w:t>/// PROJECT COGNITIVEFLOW MULTI-TIER SYSTEM ARCHITECTURE ///</w:t>
              <w:br/>
            </w:r>
            <w:r>
              <w:rPr>
                <w:rFonts w:ascii="Consolas" w:hAnsi="Consolas"/>
                <w:color w:val="E2E8F0"/>
                <w:sz w:val="17"/>
              </w:rPr>
              <w:t>+---------------------------------------------------------------------------------------------------+</w:t>
              <w:br/>
              <w:t>|                             TIER 1: DATA FABRIC &amp; INGESTION LAYER                                |</w:t>
              <w:br/>
              <w:t>|  +------------------------+  +------------------------+  +-------------------------------------+  |</w:t>
              <w:br/>
              <w:t>|  |  SAP S/4HANA / AS400   |  | Manhattan WMS / Blue   |  | External Feeds: Weather, Port APIs, |  |</w:t>
              <w:br/>
              <w:t>|  |  Transactional Ledger  |  | Yonder TMS Logistics   |  | Commodity Prices, Social Microtrends|  |</w:t>
              <w:br/>
              <w:t>|  +-----------+------------+  +-----------+------------+  +------------------+------------------+  |</w:t>
              <w:br/>
              <w:t>|              |                           |                                  |                     |</w:t>
              <w:br/>
              <w:t>|              +---------------------------&gt;&gt; Apache Kafka Real-Time Bus &lt;&lt;----+                     |</w:t>
              <w:br/>
              <w:t>|                                          |                                                        |</w:t>
              <w:br/>
              <w:t>|                   +----------------------v-----------------------+                                |</w:t>
              <w:br/>
              <w:t>|                   | Snowflake Unified Delta Lake / Feature Store |                                |</w:t>
              <w:br/>
              <w:t>|                   +----------------------+-----------------------+                                |</w:t>
              <w:br/>
              <w:t>+------------------------------------------|--------------------------------------------------------+</w:t>
              <w:br/>
              <w:t xml:space="preserve">                                           v</w:t>
              <w:br/>
              <w:t>+---------------------------------------------------------------------------------------------------+</w:t>
              <w:br/>
              <w:t>|                    TIER 2: HYBRID KNOWLEDGE &amp; CONTEXT MEMORY (GRAPHRAG)                           |</w:t>
              <w:br/>
              <w:t>|  +-------------------------------------------+  +----------------------------------------------+  |</w:t>
              <w:br/>
              <w:t>|  | Neo4j Enterprise Supply Chain Graph       |  | Milvus / Pinecone High-Performance Vector DB |  |</w:t>
              <w:br/>
              <w:t>|  | (Nodes: Suppliers, SKUs, Hubs, SLAs)      |  | (Multimodal Product Embeddings, Legal SLAs)  |  |</w:t>
              <w:br/>
              <w:t>|  +---------------------+---------------------+  +----------------------+-----------------------+  |</w:t>
              <w:br/>
              <w:t>+------------------------|-----------------------------------------------|--------------------------+</w:t>
              <w:br/>
              <w:t xml:space="preserve">                         +-----------------------+-----------------------+</w:t>
              <w:br/>
              <w:t xml:space="preserve">                                                 v</w:t>
              <w:br/>
              <w:t>+---------------------------------------------------------------------------------------------------+</w:t>
              <w:br/>
              <w:t>|                   TIER 3: AUTONOMOUS MULTI-AGENT INTELLIGENCE SWARM                               |</w:t>
              <w:br/>
              <w:t>|  +---------------------------------------------------------------------------------------------+  |</w:t>
              <w:br/>
              <w:t>|  |                         ORCHESTRATOR &amp; GOAL PLANNER AGENT                                   |  |</w:t>
              <w:br/>
              <w:t>|  +------------------+-------------------+-------------------+--------------------+-------------+  |</w:t>
              <w:br/>
              <w:t>|                     |                   |                   |                    |                |</w:t>
              <w:br/>
              <w:t>|         +-----------v------+    +-------v-------+   +-------v-------+    +-------v-------+        |</w:t>
              <w:br/>
              <w:t>|         | Demand Sensing   |    | Inventory     |   | Autonomous    |    | Multimodal    |        |</w:t>
              <w:br/>
              <w:t>|         | &amp; Prediction     |    | Balancing     |   | Procurement   |    | Computer      |        |</w:t>
              <w:br/>
              <w:t>|         | Agent (GNN)      |    | Agent (RL)    |   | Negotiator    |    | Vision Dock   |        |</w:t>
              <w:br/>
              <w:t>|         +------------------+    +---------------+   +---------------+    +---------------+        |</w:t>
              <w:br/>
              <w:t>+------------------------------------------------|--------------------------------------------------+</w:t>
              <w:br/>
              <w:t xml:space="preserve">                                                 v</w:t>
              <w:br/>
              <w:t>+---------------------------------------------------------------------------------------------------+</w:t>
              <w:br/>
              <w:t>|             TIER 4: ENTERPRISE GUARDRAILS, EVALUATION &amp; HUMAN-IN-THE-LOOP (HITL)                  |</w:t>
              <w:br/>
              <w:t>|  +-----------------------+  +--------------------------+  +------------------------------------+  |</w:t>
              <w:br/>
              <w:t>|  | NeMo Semantic Barrier |  | Financial Authorization  |  | Audit Logging &amp; EU AI Act Registry |  |</w:t>
              <w:br/>
              <w:t>|  | (Hallucination Check) |  | Threshold ($50k Escal.)  |  | (Tamper-Proof Ledger)              |  |</w:t>
              <w:br/>
              <w:t>|  +-----------------------+  +--------------------------+  +------------------------------------+  |</w:t>
              <w:br/>
              <w:t>+------------------------------------------------|--------------------------------------------------+</w:t>
              <w:br/>
              <w:t xml:space="preserve">                                                 v</w:t>
              <w:br/>
              <w:t>+---------------------------------------------------------------------------------------------------+</w:t>
              <w:br/>
              <w:t>|               TIER 5: CLOSED-LOOP OPERATIONAL INTEGRATION &amp; ACTION EXECUTION                      |</w:t>
              <w:br/>
              <w:t>|  +-----------------------+  +--------------------------+  +------------------------------------+  |</w:t>
              <w:br/>
              <w:t>|  | Auto-Generated ERP PO |  | Automated 3PL Freight    |  | Dynamic Pricing &amp; Web Catalog Sync |  |</w:t>
              <w:br/>
              <w:t>|  | Commit via OData/BAPI |  | Carrier Tender (EDI/API) |  | via Headless Commerce APIs        |  |</w:t>
              <w:br/>
              <w:t>|  +-----------------------+  +--------------------------+  +------------------------------------+  |</w:t>
              <w:br/>
              <w:t>+---------------------------------------------------------------------------------------------------+</w:t>
            </w:r>
          </w:p>
        </w:tc>
      </w:tr>
    </w:tbl>
    <w:p>
      <w:pPr>
        <w:spacing w:before="0" w:after="120"/>
      </w:pPr>
    </w:p>
    <w:p>
      <w:pPr>
        <w:pStyle w:val="Heading2"/>
        <w:keepNext/>
        <w:spacing w:before="280" w:after="120"/>
      </w:pPr>
      <w:r>
        <w:rPr>
          <w:rFonts w:ascii="Calibri" w:hAnsi="Calibri"/>
          <w:b/>
          <w:color w:val="1E508C"/>
          <w:sz w:val="27"/>
        </w:rPr>
        <w:t>5.2 Deep-Dive: Core Architectural Tiers and Components</w:t>
      </w:r>
    </w:p>
    <w:p>
      <w:pPr>
        <w:pStyle w:val="Heading3"/>
        <w:keepNext/>
        <w:spacing w:before="200" w:after="80"/>
      </w:pPr>
      <w:r>
        <w:rPr>
          <w:rFonts w:ascii="Calibri" w:hAnsi="Calibri"/>
          <w:b/>
          <w:color w:val="334155"/>
          <w:sz w:val="23"/>
        </w:rPr>
        <w:t>Tier 1: Enterprise Data Fabric &amp; Streaming Infrastructure</w:t>
      </w:r>
    </w:p>
    <w:p>
      <w:pPr>
        <w:spacing w:before="0" w:after="120" w:line="276" w:lineRule="auto"/>
      </w:pPr>
      <w:r>
        <w:rPr>
          <w:rFonts w:ascii="Calibri" w:hAnsi="Calibri"/>
          <w:color w:val="1E293B"/>
          <w:sz w:val="21"/>
        </w:rPr>
        <w:t>To eradicate historical data silos without requiring a multi-year ERP replacement, Tier 1 deploys an event-driven data mesh. Change Data Capture (CDC) pipelines via Debezium stream raw transactional events from SAP S/4HANA, legacy AS/400 systems, and Manhattan Associates WMS into Apache Kafka clusters. This internal telemetry is enriched in flight with external data streams: weather radar feeds, international port congestion metrics, maritime shipping AIS coordinates, and localized social media microtrend volumes. The unified stream is ingested into Snowflake Delta Tables and a Feast open-source feature store, providing low-latency feature vectors for inference.</w:t>
      </w:r>
    </w:p>
    <w:p>
      <w:pPr>
        <w:pStyle w:val="Heading3"/>
        <w:keepNext/>
        <w:spacing w:before="200" w:after="80"/>
      </w:pPr>
      <w:r>
        <w:rPr>
          <w:rFonts w:ascii="Calibri" w:hAnsi="Calibri"/>
          <w:b/>
          <w:color w:val="334155"/>
          <w:sz w:val="23"/>
        </w:rPr>
        <w:t>Tier 2: Hybrid GraphRAG Context Memory Layer</w:t>
      </w:r>
    </w:p>
    <w:p>
      <w:pPr>
        <w:spacing w:before="0" w:after="120" w:line="276" w:lineRule="auto"/>
      </w:pPr>
      <w:r>
        <w:rPr>
          <w:rFonts w:ascii="Calibri" w:hAnsi="Calibri"/>
          <w:color w:val="1E293B"/>
          <w:sz w:val="21"/>
        </w:rPr>
        <w:t>Parametric LLM memory is inadequate for enterprise supply chains. Tier 2 combines vector similarity with deterministic relational graphs:</w:t>
      </w:r>
    </w:p>
    <w:p>
      <w:pPr>
        <w:pStyle w:val="ListBullet"/>
        <w:spacing w:before="0" w:after="80" w:line="276" w:lineRule="auto"/>
      </w:pPr>
      <w:r>
        <w:rPr>
          <w:rFonts w:ascii="Calibri" w:hAnsi="Calibri"/>
          <w:b/>
          <w:color w:val="003366"/>
          <w:sz w:val="21"/>
        </w:rPr>
        <w:t xml:space="preserve">Neo4j Knowledge Graph: </w:t>
      </w:r>
      <w:r>
        <w:rPr>
          <w:rFonts w:ascii="Calibri" w:hAnsi="Calibri"/>
          <w:color w:val="1E293B"/>
          <w:sz w:val="21"/>
        </w:rPr>
        <w:t>Models OmniVanguard's physical and commercial universe as an interconnected graph: 680 Retail Stores -[STOCKED_BY]-&gt; 42 Regional DCs -[SERVICED_BY]-&gt; 1,400 Suppliers -[TIED_TO]-&gt; 18,000 SKUs with exact SLA clauses, lead times, and freight lane costs. Graph algorithms (e.g., shortest-path routing, PageRank centrality) evaluate network vulnerability.</w:t>
      </w:r>
    </w:p>
    <w:p>
      <w:pPr>
        <w:pStyle w:val="ListBullet"/>
        <w:spacing w:before="0" w:after="80" w:line="276" w:lineRule="auto"/>
      </w:pPr>
      <w:r>
        <w:rPr>
          <w:rFonts w:ascii="Calibri" w:hAnsi="Calibri"/>
          <w:b/>
          <w:color w:val="003366"/>
          <w:sz w:val="21"/>
        </w:rPr>
        <w:t xml:space="preserve">Milvus Distributed Vector Store: </w:t>
      </w:r>
      <w:r>
        <w:rPr>
          <w:rFonts w:ascii="Calibri" w:hAnsi="Calibri"/>
          <w:color w:val="1E293B"/>
          <w:sz w:val="21"/>
        </w:rPr>
        <w:t>Indexes millions of unstructured enterprise artifacts (supplier Master Service Agreements, freight claims, product catalog visual embeddings, customer support transcripts) using HNSW indexing for sub-15ms semantic retrieval.</w:t>
      </w:r>
    </w:p>
    <w:p>
      <w:pPr>
        <w:pStyle w:val="Heading3"/>
        <w:keepNext/>
        <w:spacing w:before="200" w:after="80"/>
      </w:pPr>
      <w:r>
        <w:rPr>
          <w:rFonts w:ascii="Calibri" w:hAnsi="Calibri"/>
          <w:b/>
          <w:color w:val="334155"/>
          <w:sz w:val="23"/>
        </w:rPr>
        <w:t>Tier 3: The Autonomous Multi-Agent Swarm</w:t>
      </w:r>
    </w:p>
    <w:p>
      <w:pPr>
        <w:spacing w:before="0" w:after="120" w:line="276" w:lineRule="auto"/>
      </w:pPr>
      <w:r>
        <w:rPr>
          <w:rFonts w:ascii="Calibri" w:hAnsi="Calibri"/>
          <w:color w:val="1E293B"/>
          <w:sz w:val="21"/>
        </w:rPr>
        <w:t>The intelligence tier utilizes specialized agent roles coordinated by a Master Orchestration Agent:</w:t>
      </w:r>
    </w:p>
    <w:p>
      <w:pPr>
        <w:pStyle w:val="ListBullet"/>
        <w:spacing w:before="0" w:after="80" w:line="276" w:lineRule="auto"/>
      </w:pPr>
      <w:r>
        <w:rPr>
          <w:rFonts w:ascii="Calibri" w:hAnsi="Calibri"/>
          <w:b/>
          <w:color w:val="003366"/>
          <w:sz w:val="21"/>
        </w:rPr>
        <w:t xml:space="preserve">1. Demand Sensing &amp; Prediction Agent: </w:t>
      </w:r>
      <w:r>
        <w:rPr>
          <w:rFonts w:ascii="Calibri" w:hAnsi="Calibri"/>
          <w:color w:val="1E293B"/>
          <w:sz w:val="21"/>
        </w:rPr>
        <w:t>Executes spatio-temporal GNN models combined with time-series transformers (PatchTST) to predict SKU-level demand per store at 15-minute intervals, dynamically adjusting for localized events (e.g., school holidays, weather fronts).</w:t>
      </w:r>
    </w:p>
    <w:p>
      <w:pPr>
        <w:pStyle w:val="ListBullet"/>
        <w:spacing w:before="0" w:after="80" w:line="276" w:lineRule="auto"/>
      </w:pPr>
      <w:r>
        <w:rPr>
          <w:rFonts w:ascii="Calibri" w:hAnsi="Calibri"/>
          <w:b/>
          <w:color w:val="003366"/>
          <w:sz w:val="21"/>
        </w:rPr>
        <w:t xml:space="preserve">2. Autonomous Inventory Balancing Agent: </w:t>
      </w:r>
      <w:r>
        <w:rPr>
          <w:rFonts w:ascii="Calibri" w:hAnsi="Calibri"/>
          <w:color w:val="1E293B"/>
          <w:sz w:val="21"/>
        </w:rPr>
        <w:t>Formulates real-time Mixed-Integer Linear Programming (MILP) equations solved via GPU-accelerated solvers to recommend optimal cross-dock inventory transfers across the 42 distribution centers, minimizing split-shipment risks.</w:t>
      </w:r>
    </w:p>
    <w:p>
      <w:pPr>
        <w:pStyle w:val="ListBullet"/>
        <w:spacing w:before="0" w:after="80" w:line="276" w:lineRule="auto"/>
      </w:pPr>
      <w:r>
        <w:rPr>
          <w:rFonts w:ascii="Calibri" w:hAnsi="Calibri"/>
          <w:b/>
          <w:color w:val="003366"/>
          <w:sz w:val="21"/>
        </w:rPr>
        <w:t xml:space="preserve">3. Autonomous Supplier Negotiator Agent: </w:t>
      </w:r>
      <w:r>
        <w:rPr>
          <w:rFonts w:ascii="Calibri" w:hAnsi="Calibri"/>
          <w:color w:val="1E293B"/>
          <w:sz w:val="21"/>
        </w:rPr>
        <w:t>A fine-tuned reasoning model equipped with game-theoretic negotiation heuristics. When safety stock dips below reorder thresholds, the agent initiates multi-round negotiations with pre-qualified vendors via email/EDI, negotiating unit cost, volume tiers, and expedited freight within pre-approved margin envelopes.</w:t>
      </w:r>
    </w:p>
    <w:p>
      <w:pPr>
        <w:pStyle w:val="ListBullet"/>
        <w:spacing w:before="0" w:after="80" w:line="276" w:lineRule="auto"/>
      </w:pPr>
      <w:r>
        <w:rPr>
          <w:rFonts w:ascii="Calibri" w:hAnsi="Calibri"/>
          <w:b/>
          <w:color w:val="003366"/>
          <w:sz w:val="21"/>
        </w:rPr>
        <w:t xml:space="preserve">4. Multimodal Computer Vision Dock Agent: </w:t>
      </w:r>
      <w:r>
        <w:rPr>
          <w:rFonts w:ascii="Calibri" w:hAnsi="Calibri"/>
          <w:color w:val="1E293B"/>
          <w:sz w:val="21"/>
        </w:rPr>
        <w:t>Runs edge-quantized vision models across receiving dock cameras to automatically inspect pallet labels, detect shrink-wrap tears, OCR shipping manifests, and post automated receiving confirmations directly to the WMS ledger.</w:t>
      </w:r>
    </w:p>
    <w:p>
      <w:pPr>
        <w:pStyle w:val="ListBullet"/>
        <w:spacing w:before="0" w:after="80" w:line="276" w:lineRule="auto"/>
      </w:pPr>
      <w:r>
        <w:rPr>
          <w:rFonts w:ascii="Calibri" w:hAnsi="Calibri"/>
          <w:b/>
          <w:color w:val="003366"/>
          <w:sz w:val="21"/>
        </w:rPr>
        <w:t xml:space="preserve">5. Omnichannel Customer Experience Concierge: </w:t>
      </w:r>
      <w:r>
        <w:rPr>
          <w:rFonts w:ascii="Calibri" w:hAnsi="Calibri"/>
          <w:color w:val="1E293B"/>
          <w:sz w:val="21"/>
        </w:rPr>
        <w:t>A conversational agent powered by enterprise RAG and policy guardrails, resolving 84% of order tracking, exchange, and dispute inquiries across web, mobile app, and messaging channels.</w:t>
      </w:r>
    </w:p>
    <w:p>
      <w:pPr>
        <w:pStyle w:val="Heading3"/>
        <w:keepNext/>
        <w:spacing w:before="200" w:after="80"/>
      </w:pPr>
      <w:r>
        <w:rPr>
          <w:rFonts w:ascii="Calibri" w:hAnsi="Calibri"/>
          <w:b/>
          <w:color w:val="334155"/>
          <w:sz w:val="23"/>
        </w:rPr>
        <w:t>Tier 4: Enterprise Guardrails, Observability &amp; Human-in-the-Loop (HITL)</w:t>
      </w:r>
    </w:p>
    <w:p>
      <w:pPr>
        <w:spacing w:before="0" w:after="120" w:line="276" w:lineRule="auto"/>
      </w:pPr>
      <w:r>
        <w:rPr>
          <w:rFonts w:ascii="Calibri" w:hAnsi="Calibri"/>
          <w:color w:val="1E293B"/>
          <w:sz w:val="21"/>
        </w:rPr>
        <w:t>Autonomous agents operate under strict programmable governance to prevent catastrophic errors:</w:t>
      </w:r>
    </w:p>
    <w:p>
      <w:pPr>
        <w:pStyle w:val="ListBullet"/>
        <w:spacing w:before="0" w:after="80" w:line="276" w:lineRule="auto"/>
      </w:pPr>
      <w:r>
        <w:rPr>
          <w:rFonts w:ascii="Calibri" w:hAnsi="Calibri"/>
          <w:b/>
          <w:color w:val="003366"/>
          <w:sz w:val="21"/>
        </w:rPr>
        <w:t xml:space="preserve">Semantic Firewalls: </w:t>
      </w:r>
      <w:r>
        <w:rPr>
          <w:rFonts w:ascii="Calibri" w:hAnsi="Calibri"/>
          <w:color w:val="1E293B"/>
          <w:sz w:val="21"/>
        </w:rPr>
        <w:t>Every generated agent output passes through NVIDIA NeMo Guardrails to enforce topic boundaries, detect prompt injections, and filter hallucinated commitments.</w:t>
      </w:r>
    </w:p>
    <w:p>
      <w:pPr>
        <w:pStyle w:val="ListBullet"/>
        <w:spacing w:before="0" w:after="80" w:line="276" w:lineRule="auto"/>
      </w:pPr>
      <w:r>
        <w:rPr>
          <w:rFonts w:ascii="Calibri" w:hAnsi="Calibri"/>
          <w:b/>
          <w:color w:val="003366"/>
          <w:sz w:val="21"/>
        </w:rPr>
        <w:t xml:space="preserve">Financial &amp; Operational Thresholds: </w:t>
      </w:r>
      <w:r>
        <w:rPr>
          <w:rFonts w:ascii="Calibri" w:hAnsi="Calibri"/>
          <w:color w:val="1E293B"/>
          <w:sz w:val="21"/>
        </w:rPr>
        <w:t>Autonomous procurement agents possess calibrated financial authorization tiers: purchases under $10,000 are executed autonomously; purchases between $10,000 and $50,000 require automated single-click manager approval via Slack/Teams; purchases exceeding $50,000 trigger a mandatory human review workflow with complete decision audit trails.</w:t>
      </w:r>
    </w:p>
    <w:p>
      <w:pPr>
        <w:pStyle w:val="ListBullet"/>
        <w:spacing w:before="0" w:after="80" w:line="276" w:lineRule="auto"/>
      </w:pPr>
      <w:r>
        <w:rPr>
          <w:rFonts w:ascii="Calibri" w:hAnsi="Calibri"/>
          <w:b/>
          <w:color w:val="003366"/>
          <w:sz w:val="21"/>
        </w:rPr>
        <w:t xml:space="preserve">Tamper-Proof Audit Logging: </w:t>
      </w:r>
      <w:r>
        <w:rPr>
          <w:rFonts w:ascii="Calibri" w:hAnsi="Calibri"/>
          <w:color w:val="1E293B"/>
          <w:sz w:val="21"/>
        </w:rPr>
        <w:t>All agentic prompts, context retrievals, tool parameters, and final outputs are immutably logged to an OpenSearch cluster to ensure complete explainability for internal risk audits and regulatory authorities.</w:t>
      </w:r>
    </w:p>
    <w:p>
      <w:pPr>
        <w:pStyle w:val="Heading3"/>
        <w:keepNext/>
        <w:spacing w:before="200" w:after="80"/>
      </w:pPr>
      <w:r>
        <w:rPr>
          <w:rFonts w:ascii="Calibri" w:hAnsi="Calibri"/>
          <w:b/>
          <w:color w:val="334155"/>
          <w:sz w:val="23"/>
        </w:rPr>
        <w:t>Tier 5: Operational Integration &amp; Action Layer</w:t>
      </w:r>
    </w:p>
    <w:p>
      <w:pPr>
        <w:spacing w:before="0" w:after="120" w:line="276" w:lineRule="auto"/>
      </w:pPr>
      <w:r>
        <w:rPr>
          <w:rFonts w:ascii="Calibri" w:hAnsi="Calibri"/>
          <w:color w:val="1E293B"/>
          <w:sz w:val="21"/>
        </w:rPr>
        <w:t>Decisions are useless without automated execution. Tier 5 interfaces directly with enterprise transactional backbones via bi-directional REST APIs, gRPC endpoints, and SAP BAPI/OData connectors. When an agent approves an inventory rebalance or supplier contract, it automatically posts purchase orders (ME21N), creates transfer orders in Manhattan WMS, tenders freight loads to 3PL carriers via EDI 204/214, and updates e-commerce storefront stock availability instantly.</w:t>
      </w:r>
    </w:p>
    <w:p>
      <w:r>
        <w:br w:type="page"/>
      </w:r>
    </w:p>
    <w:p>
      <w:pPr>
        <w:pStyle w:val="Heading1"/>
        <w:keepNext/>
        <w:spacing w:before="400" w:after="160"/>
      </w:pPr>
      <w:r>
        <w:rPr>
          <w:rFonts w:ascii="Calibri" w:hAnsi="Calibri"/>
          <w:b/>
          <w:color w:val="003366"/>
          <w:sz w:val="34"/>
        </w:rPr>
        <w:t>SECTION 6: COMPREHENSIVE IMPLEMENTATION STRATEGY &amp; 24-MONTH ROADMAP</w:t>
      </w:r>
    </w:p>
    <w:p>
      <w:pPr>
        <w:spacing w:before="0" w:after="120" w:line="276" w:lineRule="auto"/>
      </w:pPr>
      <w:r>
        <w:rPr>
          <w:rFonts w:ascii="Calibri" w:hAnsi="Calibri"/>
          <w:b/>
          <w:color w:val="0F172A"/>
          <w:sz w:val="21"/>
        </w:rPr>
        <w:t xml:space="preserve">6.1 Phased Execution Methodology: </w:t>
      </w:r>
      <w:r>
        <w:rPr>
          <w:rFonts w:ascii="Calibri" w:hAnsi="Calibri"/>
          <w:color w:val="1E293B"/>
          <w:sz w:val="21"/>
        </w:rPr>
        <w:t>A strategic plan fails or succeeds based on the rigor of its execution. Project CognitiveFlow adopts a disciplined, milestone-driven 24-month phased implementation methodology. This structure delivers immediate, self-funding business value through early pilot phases while systematically derisking enterprise-scale architectural deployment.</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016"/>
            <w:shd w:fill="003366"/>
            <w:tcMar>
              <w:top w:w="120" w:type="dxa"/>
              <w:bottom w:w="120" w:type="dxa"/>
              <w:left w:w="140" w:type="dxa"/>
              <w:right w:w="140" w:type="dxa"/>
            </w:tcMar>
          </w:tcPr>
          <w:p>
            <w:pPr>
              <w:spacing w:before="0" w:after="0"/>
            </w:pPr>
            <w:r>
              <w:rPr>
                <w:rFonts w:ascii="Calibri" w:hAnsi="Calibri"/>
                <w:b/>
                <w:color w:val="FFFFFF"/>
                <w:sz w:val="19"/>
              </w:rPr>
              <w:t>Phase &amp; Duration</w:t>
            </w:r>
          </w:p>
        </w:tc>
        <w:tc>
          <w:tcPr>
            <w:tcW w:type="dxa" w:w="2592"/>
            <w:shd w:fill="003366"/>
            <w:tcMar>
              <w:top w:w="120" w:type="dxa"/>
              <w:bottom w:w="120" w:type="dxa"/>
              <w:left w:w="140" w:type="dxa"/>
              <w:right w:w="140" w:type="dxa"/>
            </w:tcMar>
          </w:tcPr>
          <w:p>
            <w:pPr>
              <w:spacing w:before="0" w:after="0"/>
            </w:pPr>
            <w:r>
              <w:rPr>
                <w:rFonts w:ascii="Calibri" w:hAnsi="Calibri"/>
                <w:b/>
                <w:color w:val="FFFFFF"/>
                <w:sz w:val="19"/>
              </w:rPr>
              <w:t>Strategic Focus &amp; Objectives</w:t>
            </w:r>
          </w:p>
        </w:tc>
        <w:tc>
          <w:tcPr>
            <w:tcW w:type="dxa" w:w="2880"/>
            <w:shd w:fill="003366"/>
            <w:tcMar>
              <w:top w:w="120" w:type="dxa"/>
              <w:bottom w:w="120" w:type="dxa"/>
              <w:left w:w="140" w:type="dxa"/>
              <w:right w:w="140" w:type="dxa"/>
            </w:tcMar>
          </w:tcPr>
          <w:p>
            <w:pPr>
              <w:spacing w:before="0" w:after="0"/>
            </w:pPr>
            <w:r>
              <w:rPr>
                <w:rFonts w:ascii="Calibri" w:hAnsi="Calibri"/>
                <w:b/>
                <w:color w:val="FFFFFF"/>
                <w:sz w:val="19"/>
              </w:rPr>
              <w:t>Key Deliverables &amp; Technology Deployed</w:t>
            </w:r>
          </w:p>
        </w:tc>
        <w:tc>
          <w:tcPr>
            <w:tcW w:type="dxa" w:w="1872"/>
            <w:shd w:fill="003366"/>
            <w:tcMar>
              <w:top w:w="120" w:type="dxa"/>
              <w:bottom w:w="120" w:type="dxa"/>
              <w:left w:w="140" w:type="dxa"/>
              <w:right w:w="140" w:type="dxa"/>
            </w:tcMar>
          </w:tcPr>
          <w:p>
            <w:pPr>
              <w:spacing w:before="0" w:after="0"/>
            </w:pPr>
            <w:r>
              <w:rPr>
                <w:rFonts w:ascii="Calibri" w:hAnsi="Calibri"/>
                <w:b/>
                <w:color w:val="FFFFFF"/>
                <w:sz w:val="19"/>
              </w:rPr>
              <w:t>Milestone Exit Gateway Criteria</w:t>
            </w:r>
          </w:p>
        </w:tc>
      </w:tr>
      <w:tr>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PHASE 0:</w:t>
              <w:br/>
              <w:t>Discovery &amp; Architecture</w:t>
              <w:br/>
              <w:t>(Months 1-3)</w:t>
            </w:r>
          </w:p>
        </w:tc>
        <w:tc>
          <w:tcPr>
            <w:tcW w:type="dxa" w:w="2592"/>
            <w:shd w:fill="FFFFFF"/>
            <w:tcMar>
              <w:top w:w="100" w:type="dxa"/>
              <w:bottom w:w="100" w:type="dxa"/>
              <w:left w:w="140" w:type="dxa"/>
              <w:right w:w="140" w:type="dxa"/>
            </w:tcMar>
          </w:tcPr>
          <w:p>
            <w:pPr>
              <w:spacing w:before="0" w:after="0" w:line="276" w:lineRule="auto"/>
            </w:pPr>
            <w:r>
              <w:rPr>
                <w:rFonts w:ascii="Calibri" w:hAnsi="Calibri"/>
                <w:color w:val="1E293B"/>
                <w:sz w:val="18"/>
              </w:rPr>
              <w:t>Establish governance charter, complete enterprise data audit, finalize vendor selections, and build sandbox testbed.</w:t>
            </w:r>
          </w:p>
        </w:tc>
        <w:tc>
          <w:tcPr>
            <w:tcW w:type="dxa" w:w="2880"/>
            <w:shd w:fill="FFFFFF"/>
            <w:tcMar>
              <w:top w:w="100" w:type="dxa"/>
              <w:bottom w:w="100" w:type="dxa"/>
              <w:left w:w="140" w:type="dxa"/>
              <w:right w:w="140" w:type="dxa"/>
            </w:tcMar>
          </w:tcPr>
          <w:p>
            <w:pPr>
              <w:spacing w:before="0" w:after="0" w:line="276" w:lineRule="auto"/>
            </w:pPr>
            <w:r>
              <w:rPr>
                <w:rFonts w:ascii="Calibri" w:hAnsi="Calibri"/>
                <w:color w:val="1E293B"/>
                <w:sz w:val="18"/>
              </w:rPr>
              <w:t>• Architecture Blueprint v1.0</w:t>
              <w:br/>
              <w:t>• Enterprise Data Catalog &amp; Security Review</w:t>
              <w:br/>
              <w:t>• AI Steering Committee &amp; Ethics Charter</w:t>
              <w:br/>
              <w:t>• Sandbox Environment on AWS/Azure</w:t>
            </w:r>
          </w:p>
        </w:tc>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Formal sign-off by CIO, CISO, and Legal; verification of zero data-leakage protocols.</w:t>
            </w:r>
          </w:p>
        </w:tc>
      </w:tr>
      <w:tr>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PHASE 1:</w:t>
              <w:br/>
              <w:t>Data Fabric &amp; MVP Pilot</w:t>
              <w:br/>
              <w:t>(Months 4-7)</w:t>
            </w:r>
          </w:p>
        </w:tc>
        <w:tc>
          <w:tcPr>
            <w:tcW w:type="dxa" w:w="2592"/>
            <w:shd w:fill="F8FAFC"/>
            <w:tcMar>
              <w:top w:w="100" w:type="dxa"/>
              <w:bottom w:w="100" w:type="dxa"/>
              <w:left w:w="140" w:type="dxa"/>
              <w:right w:w="140" w:type="dxa"/>
            </w:tcMar>
          </w:tcPr>
          <w:p>
            <w:pPr>
              <w:spacing w:before="0" w:after="0" w:line="276" w:lineRule="auto"/>
            </w:pPr>
            <w:r>
              <w:rPr>
                <w:rFonts w:ascii="Calibri" w:hAnsi="Calibri"/>
                <w:color w:val="1E293B"/>
                <w:sz w:val="18"/>
              </w:rPr>
              <w:t>Build Kafka streaming mesh; deploy high-impact MVP focusing on localized Demand Sensing and Tier-3 Supplier Negotiation.</w:t>
            </w:r>
          </w:p>
        </w:tc>
        <w:tc>
          <w:tcPr>
            <w:tcW w:type="dxa" w:w="2880"/>
            <w:shd w:fill="F8FAFC"/>
            <w:tcMar>
              <w:top w:w="100" w:type="dxa"/>
              <w:bottom w:w="100" w:type="dxa"/>
              <w:left w:w="140" w:type="dxa"/>
              <w:right w:w="140" w:type="dxa"/>
            </w:tcMar>
          </w:tcPr>
          <w:p>
            <w:pPr>
              <w:spacing w:before="0" w:after="0" w:line="276" w:lineRule="auto"/>
            </w:pPr>
            <w:r>
              <w:rPr>
                <w:rFonts w:ascii="Calibri" w:hAnsi="Calibri"/>
                <w:color w:val="1E293B"/>
                <w:sz w:val="18"/>
              </w:rPr>
              <w:t>• Kafka/Snowflake Data Fabric Operational</w:t>
              <w:br/>
              <w:t>• Demand Sensing Model in 5 Pilot DCs</w:t>
              <w:br/>
              <w:t>• Autonomous Negotiator in Pilot (50 Vendors)</w:t>
              <w:br/>
              <w:t>• NeMo Guardrail &amp; Logging Framework</w:t>
            </w:r>
          </w:p>
        </w:tc>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MVP achieves &gt;85% demand accuracy; pilot negotiator captures &gt;$750k in verified supplier discounts.</w:t>
            </w:r>
          </w:p>
        </w:tc>
      </w:tr>
      <w:tr>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PHASE 2:</w:t>
              <w:br/>
              <w:t>Agentic Scaling &amp; WMS</w:t>
              <w:br/>
              <w:t>(Months 8-14)</w:t>
            </w:r>
          </w:p>
        </w:tc>
        <w:tc>
          <w:tcPr>
            <w:tcW w:type="dxa" w:w="2592"/>
            <w:shd w:fill="FFFFFF"/>
            <w:tcMar>
              <w:top w:w="100" w:type="dxa"/>
              <w:bottom w:w="100" w:type="dxa"/>
              <w:left w:w="140" w:type="dxa"/>
              <w:right w:w="140" w:type="dxa"/>
            </w:tcMar>
          </w:tcPr>
          <w:p>
            <w:pPr>
              <w:spacing w:before="0" w:after="0" w:line="276" w:lineRule="auto"/>
            </w:pPr>
            <w:r>
              <w:rPr>
                <w:rFonts w:ascii="Calibri" w:hAnsi="Calibri"/>
                <w:color w:val="1E293B"/>
                <w:sz w:val="18"/>
              </w:rPr>
              <w:t>Scale Demand Sensing to all 42 DCs; deploy Autonomous Inventory Balancing Agent; integrate bi-directionally with Manhattan WMS.</w:t>
            </w:r>
          </w:p>
        </w:tc>
        <w:tc>
          <w:tcPr>
            <w:tcW w:type="dxa" w:w="2880"/>
            <w:shd w:fill="FFFFFF"/>
            <w:tcMar>
              <w:top w:w="100" w:type="dxa"/>
              <w:bottom w:w="100" w:type="dxa"/>
              <w:left w:w="140" w:type="dxa"/>
              <w:right w:w="140" w:type="dxa"/>
            </w:tcMar>
          </w:tcPr>
          <w:p>
            <w:pPr>
              <w:spacing w:before="0" w:after="0" w:line="276" w:lineRule="auto"/>
            </w:pPr>
            <w:r>
              <w:rPr>
                <w:rFonts w:ascii="Calibri" w:hAnsi="Calibri"/>
                <w:color w:val="1E293B"/>
                <w:sz w:val="18"/>
              </w:rPr>
              <w:t>• Full 42 DC Demand Sensing Deployment</w:t>
              <w:br/>
              <w:t>• Real-Time Inventory Balancing Agent</w:t>
              <w:br/>
              <w:t>• Neo4j Enterprise Supply Chain Knowledge Graph</w:t>
              <w:br/>
              <w:t>• Automated Dock Vision Pilot in 2 Hubs</w:t>
            </w:r>
          </w:p>
        </w:tc>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Safety stock days compressed from 38 to 28 days; split-shipment rate drops by 35% in scaled regions.</w:t>
            </w:r>
          </w:p>
        </w:tc>
      </w:tr>
      <w:tr>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PHASE 3:</w:t>
              <w:br/>
              <w:t>Closed-Loop Autonomy</w:t>
              <w:br/>
              <w:t>(Months 15-20)</w:t>
            </w:r>
          </w:p>
        </w:tc>
        <w:tc>
          <w:tcPr>
            <w:tcW w:type="dxa" w:w="2592"/>
            <w:shd w:fill="F8FAFC"/>
            <w:tcMar>
              <w:top w:w="100" w:type="dxa"/>
              <w:bottom w:w="100" w:type="dxa"/>
              <w:left w:w="140" w:type="dxa"/>
              <w:right w:w="140" w:type="dxa"/>
            </w:tcMar>
          </w:tcPr>
          <w:p>
            <w:pPr>
              <w:spacing w:before="0" w:after="0" w:line="276" w:lineRule="auto"/>
            </w:pPr>
            <w:r>
              <w:rPr>
                <w:rFonts w:ascii="Calibri" w:hAnsi="Calibri"/>
                <w:color w:val="1E293B"/>
                <w:sz w:val="18"/>
              </w:rPr>
              <w:t>Enable closed-loop autonomous procurement execution; roll out Omnichannel Customer Concierge; deploy Dock Vision across 20 DCs.</w:t>
            </w:r>
          </w:p>
        </w:tc>
        <w:tc>
          <w:tcPr>
            <w:tcW w:type="dxa" w:w="2880"/>
            <w:shd w:fill="F8FAFC"/>
            <w:tcMar>
              <w:top w:w="100" w:type="dxa"/>
              <w:bottom w:w="100" w:type="dxa"/>
              <w:left w:w="140" w:type="dxa"/>
              <w:right w:w="140" w:type="dxa"/>
            </w:tcMar>
          </w:tcPr>
          <w:p>
            <w:pPr>
              <w:spacing w:before="0" w:after="0" w:line="276" w:lineRule="auto"/>
            </w:pPr>
            <w:r>
              <w:rPr>
                <w:rFonts w:ascii="Calibri" w:hAnsi="Calibri"/>
                <w:color w:val="1E293B"/>
                <w:sz w:val="18"/>
              </w:rPr>
              <w:t>• Autonomous PO Execution (&lt;$25k threshold)</w:t>
              <w:br/>
              <w:t>• Omnichannel Customer RAG Agent Live</w:t>
              <w:br/>
              <w:t>• 20 DCs equipped with Edge Vision Systems</w:t>
              <w:br/>
              <w:t>• Real-Time Freight Carrier Dynamic Tendering</w:t>
            </w:r>
          </w:p>
        </w:tc>
        <w:tc>
          <w:tcPr>
            <w:tcW w:type="dxa" w:w="1872"/>
            <w:shd w:fill="F8FAFC"/>
            <w:tcMar>
              <w:top w:w="100" w:type="dxa"/>
              <w:bottom w:w="100" w:type="dxa"/>
              <w:left w:w="140" w:type="dxa"/>
              <w:right w:w="140" w:type="dxa"/>
            </w:tcMar>
          </w:tcPr>
          <w:p>
            <w:pPr>
              <w:spacing w:before="0" w:after="0" w:line="276" w:lineRule="auto"/>
            </w:pPr>
            <w:r>
              <w:rPr>
                <w:rFonts w:ascii="Calibri" w:hAnsi="Calibri"/>
                <w:color w:val="1E293B"/>
                <w:sz w:val="18"/>
              </w:rPr>
              <w:t>Customer first-contact SLA &lt; 5 mins; dock-to-stock processing time cut by 60%; audited ROI crosses break-even.</w:t>
            </w:r>
          </w:p>
        </w:tc>
      </w:tr>
      <w:tr>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PHASE 4:</w:t>
              <w:br/>
              <w:t>Enterprise Maturity</w:t>
              <w:br/>
              <w:t>(Months 21-24)</w:t>
            </w:r>
          </w:p>
        </w:tc>
        <w:tc>
          <w:tcPr>
            <w:tcW w:type="dxa" w:w="2592"/>
            <w:shd w:fill="FFFFFF"/>
            <w:tcMar>
              <w:top w:w="100" w:type="dxa"/>
              <w:bottom w:w="100" w:type="dxa"/>
              <w:left w:w="140" w:type="dxa"/>
              <w:right w:w="140" w:type="dxa"/>
            </w:tcMar>
          </w:tcPr>
          <w:p>
            <w:pPr>
              <w:spacing w:before="0" w:after="0" w:line="276" w:lineRule="auto"/>
            </w:pPr>
            <w:r>
              <w:rPr>
                <w:rFonts w:ascii="Calibri" w:hAnsi="Calibri"/>
                <w:color w:val="1E293B"/>
                <w:sz w:val="18"/>
              </w:rPr>
              <w:t>Scale edge vision to all 42 hubs; deploy localized fine-tuned SLMs for offline resilience; achieve full operational steady state.</w:t>
            </w:r>
          </w:p>
        </w:tc>
        <w:tc>
          <w:tcPr>
            <w:tcW w:type="dxa" w:w="2880"/>
            <w:shd w:fill="FFFFFF"/>
            <w:tcMar>
              <w:top w:w="100" w:type="dxa"/>
              <w:bottom w:w="100" w:type="dxa"/>
              <w:left w:w="140" w:type="dxa"/>
              <w:right w:w="140" w:type="dxa"/>
            </w:tcMar>
          </w:tcPr>
          <w:p>
            <w:pPr>
              <w:spacing w:before="0" w:after="0" w:line="276" w:lineRule="auto"/>
            </w:pPr>
            <w:r>
              <w:rPr>
                <w:rFonts w:ascii="Calibri" w:hAnsi="Calibri"/>
                <w:color w:val="1E293B"/>
                <w:sz w:val="18"/>
              </w:rPr>
              <w:t>• Complete 42 DC Edge Vision Fleet</w:t>
              <w:br/>
              <w:t>• Continuous Model Evaluation &amp; Self-Tuning</w:t>
              <w:br/>
              <w:t>• Advanced Synthetic Data Scenario Simulator</w:t>
              <w:br/>
              <w:t>• EU AI Act Audit Certification</w:t>
            </w:r>
          </w:p>
        </w:tc>
        <w:tc>
          <w:tcPr>
            <w:tcW w:type="dxa" w:w="1872"/>
            <w:shd w:fill="FFFFFF"/>
            <w:tcMar>
              <w:top w:w="100" w:type="dxa"/>
              <w:bottom w:w="100" w:type="dxa"/>
              <w:left w:w="140" w:type="dxa"/>
              <w:right w:w="140" w:type="dxa"/>
            </w:tcMar>
          </w:tcPr>
          <w:p>
            <w:pPr>
              <w:spacing w:before="0" w:after="0" w:line="276" w:lineRule="auto"/>
            </w:pPr>
            <w:r>
              <w:rPr>
                <w:rFonts w:ascii="Calibri" w:hAnsi="Calibri"/>
                <w:color w:val="1E293B"/>
                <w:sz w:val="18"/>
              </w:rPr>
              <w:t>Full $42.6M cumulative net benefit achieved; system self-funds ongoing OpEx; 99.4% order accuracy.</w:t>
            </w:r>
          </w:p>
        </w:tc>
      </w:tr>
    </w:tbl>
    <w:p>
      <w:pPr>
        <w:spacing w:before="0" w:after="120"/>
      </w:pPr>
    </w:p>
    <w:p>
      <w:pPr>
        <w:pStyle w:val="Heading2"/>
        <w:keepNext/>
        <w:spacing w:before="280" w:after="120"/>
      </w:pPr>
      <w:r>
        <w:rPr>
          <w:rFonts w:ascii="Calibri" w:hAnsi="Calibri"/>
          <w:b/>
          <w:color w:val="1E508C"/>
          <w:sz w:val="27"/>
        </w:rPr>
        <w:t>6.2 Organizational Transformation, Talent &amp; RACI Operating Model</w:t>
      </w:r>
    </w:p>
    <w:p>
      <w:pPr>
        <w:spacing w:before="0" w:after="120" w:line="276" w:lineRule="auto"/>
      </w:pPr>
      <w:r>
        <w:rPr>
          <w:rFonts w:ascii="Calibri" w:hAnsi="Calibri"/>
          <w:color w:val="1E293B"/>
          <w:sz w:val="21"/>
        </w:rPr>
        <w:t>Technology is only one dimension of digital transformation; people and organizational structure govern final execution efficacy. OmniVanguard will institute a dedicated Enterprise AI Center of Excellence (CoE) reporting directly to the Chief Information Officer and Chief Operating Officer.</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160"/>
            <w:shd w:fill="003366"/>
            <w:tcMar>
              <w:top w:w="120" w:type="dxa"/>
              <w:bottom w:w="120" w:type="dxa"/>
              <w:left w:w="140" w:type="dxa"/>
              <w:right w:w="140" w:type="dxa"/>
            </w:tcMar>
          </w:tcPr>
          <w:p>
            <w:pPr>
              <w:spacing w:before="0" w:after="0"/>
            </w:pPr>
            <w:r>
              <w:rPr>
                <w:rFonts w:ascii="Calibri" w:hAnsi="Calibri"/>
                <w:b/>
                <w:color w:val="FFFFFF"/>
                <w:sz w:val="19"/>
              </w:rPr>
              <w:t>Transformation Role</w:t>
            </w:r>
          </w:p>
        </w:tc>
        <w:tc>
          <w:tcPr>
            <w:tcW w:type="dxa" w:w="1152"/>
            <w:shd w:fill="003366"/>
            <w:tcMar>
              <w:top w:w="120" w:type="dxa"/>
              <w:bottom w:w="120" w:type="dxa"/>
              <w:left w:w="140" w:type="dxa"/>
              <w:right w:w="140" w:type="dxa"/>
            </w:tcMar>
          </w:tcPr>
          <w:p>
            <w:pPr>
              <w:spacing w:before="0" w:after="0"/>
            </w:pPr>
            <w:r>
              <w:rPr>
                <w:rFonts w:ascii="Calibri" w:hAnsi="Calibri"/>
                <w:b/>
                <w:color w:val="FFFFFF"/>
                <w:sz w:val="19"/>
              </w:rPr>
              <w:t>Headcount</w:t>
            </w:r>
          </w:p>
        </w:tc>
        <w:tc>
          <w:tcPr>
            <w:tcW w:type="dxa" w:w="3888"/>
            <w:shd w:fill="003366"/>
            <w:tcMar>
              <w:top w:w="120" w:type="dxa"/>
              <w:bottom w:w="120" w:type="dxa"/>
              <w:left w:w="140" w:type="dxa"/>
              <w:right w:w="140" w:type="dxa"/>
            </w:tcMar>
          </w:tcPr>
          <w:p>
            <w:pPr>
              <w:spacing w:before="0" w:after="0"/>
            </w:pPr>
            <w:r>
              <w:rPr>
                <w:rFonts w:ascii="Calibri" w:hAnsi="Calibri"/>
                <w:b/>
                <w:color w:val="FFFFFF"/>
                <w:sz w:val="19"/>
              </w:rPr>
              <w:t>Primary Operational Responsibilities</w:t>
            </w:r>
          </w:p>
        </w:tc>
        <w:tc>
          <w:tcPr>
            <w:tcW w:type="dxa" w:w="2160"/>
            <w:shd w:fill="003366"/>
            <w:tcMar>
              <w:top w:w="120" w:type="dxa"/>
              <w:bottom w:w="120" w:type="dxa"/>
              <w:left w:w="140" w:type="dxa"/>
              <w:right w:w="140" w:type="dxa"/>
            </w:tcMar>
          </w:tcPr>
          <w:p>
            <w:pPr>
              <w:spacing w:before="0" w:after="0"/>
            </w:pPr>
            <w:r>
              <w:rPr>
                <w:rFonts w:ascii="Calibri" w:hAnsi="Calibri"/>
                <w:b/>
                <w:color w:val="FFFFFF"/>
                <w:sz w:val="19"/>
              </w:rPr>
              <w:t>Key Skillsets Required</w:t>
            </w:r>
          </w:p>
        </w:tc>
      </w:tr>
      <w:tr>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Chief AI Officer (CAIO) / CoE Lead</w:t>
            </w:r>
          </w:p>
        </w:tc>
        <w:tc>
          <w:tcPr>
            <w:tcW w:type="dxa" w:w="1152"/>
            <w:shd w:fill="FFFFFF"/>
            <w:tcMar>
              <w:top w:w="100" w:type="dxa"/>
              <w:bottom w:w="100" w:type="dxa"/>
              <w:left w:w="140" w:type="dxa"/>
              <w:right w:w="140" w:type="dxa"/>
            </w:tcMar>
          </w:tcPr>
          <w:p>
            <w:pPr>
              <w:spacing w:before="0" w:after="0" w:line="276" w:lineRule="auto"/>
            </w:pPr>
            <w:r>
              <w:rPr>
                <w:rFonts w:ascii="Calibri" w:hAnsi="Calibri"/>
                <w:color w:val="1E293B"/>
                <w:sz w:val="18"/>
              </w:rPr>
              <w:t>1 FTE</w:t>
            </w:r>
          </w:p>
        </w:tc>
        <w:tc>
          <w:tcPr>
            <w:tcW w:type="dxa" w:w="3888"/>
            <w:shd w:fill="FFFFFF"/>
            <w:tcMar>
              <w:top w:w="100" w:type="dxa"/>
              <w:bottom w:w="100" w:type="dxa"/>
              <w:left w:w="140" w:type="dxa"/>
              <w:right w:w="140" w:type="dxa"/>
            </w:tcMar>
          </w:tcPr>
          <w:p>
            <w:pPr>
              <w:spacing w:before="0" w:after="0" w:line="276" w:lineRule="auto"/>
            </w:pPr>
            <w:r>
              <w:rPr>
                <w:rFonts w:ascii="Calibri" w:hAnsi="Calibri"/>
                <w:color w:val="1E293B"/>
                <w:sz w:val="18"/>
              </w:rPr>
              <w:t>Overall program execution, board reporting, cross-functional alignment, and capital allocation.</w:t>
            </w:r>
          </w:p>
        </w:tc>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Executive AI leadership, enterprise transformation, MBA/PhD</w:t>
            </w:r>
          </w:p>
        </w:tc>
      </w:tr>
      <w:tr>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Lead AI Architects</w:t>
            </w:r>
          </w:p>
        </w:tc>
        <w:tc>
          <w:tcPr>
            <w:tcW w:type="dxa" w:w="1152"/>
            <w:shd w:fill="F8FAFC"/>
            <w:tcMar>
              <w:top w:w="100" w:type="dxa"/>
              <w:bottom w:w="100" w:type="dxa"/>
              <w:left w:w="140" w:type="dxa"/>
              <w:right w:w="140" w:type="dxa"/>
            </w:tcMar>
          </w:tcPr>
          <w:p>
            <w:pPr>
              <w:spacing w:before="0" w:after="0" w:line="276" w:lineRule="auto"/>
            </w:pPr>
            <w:r>
              <w:rPr>
                <w:rFonts w:ascii="Calibri" w:hAnsi="Calibri"/>
                <w:color w:val="1E293B"/>
                <w:sz w:val="18"/>
              </w:rPr>
              <w:t>2 FTE</w:t>
            </w:r>
          </w:p>
        </w:tc>
        <w:tc>
          <w:tcPr>
            <w:tcW w:type="dxa" w:w="3888"/>
            <w:shd w:fill="F8FAFC"/>
            <w:tcMar>
              <w:top w:w="100" w:type="dxa"/>
              <w:bottom w:w="100" w:type="dxa"/>
              <w:left w:w="140" w:type="dxa"/>
              <w:right w:w="140" w:type="dxa"/>
            </w:tcMar>
          </w:tcPr>
          <w:p>
            <w:pPr>
              <w:spacing w:before="0" w:after="0" w:line="276" w:lineRule="auto"/>
            </w:pPr>
            <w:r>
              <w:rPr>
                <w:rFonts w:ascii="Calibri" w:hAnsi="Calibri"/>
                <w:color w:val="1E293B"/>
                <w:sz w:val="18"/>
              </w:rPr>
              <w:t>End-to-end system design, agent orchestration protocols, model selection, and security architecture.</w:t>
            </w:r>
          </w:p>
        </w:tc>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Distributed systems, LangGraph, AutoGen, PyTorch, Cloud Infra</w:t>
            </w:r>
          </w:p>
        </w:tc>
      </w:tr>
      <w:tr>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ML Ops &amp; Infrastructure Engineers</w:t>
            </w:r>
          </w:p>
        </w:tc>
        <w:tc>
          <w:tcPr>
            <w:tcW w:type="dxa" w:w="1152"/>
            <w:shd w:fill="FFFFFF"/>
            <w:tcMar>
              <w:top w:w="100" w:type="dxa"/>
              <w:bottom w:w="100" w:type="dxa"/>
              <w:left w:w="140" w:type="dxa"/>
              <w:right w:w="140" w:type="dxa"/>
            </w:tcMar>
          </w:tcPr>
          <w:p>
            <w:pPr>
              <w:spacing w:before="0" w:after="0" w:line="276" w:lineRule="auto"/>
            </w:pPr>
            <w:r>
              <w:rPr>
                <w:rFonts w:ascii="Calibri" w:hAnsi="Calibri"/>
                <w:color w:val="1E293B"/>
                <w:sz w:val="18"/>
              </w:rPr>
              <w:t>4 FTE</w:t>
            </w:r>
          </w:p>
        </w:tc>
        <w:tc>
          <w:tcPr>
            <w:tcW w:type="dxa" w:w="3888"/>
            <w:shd w:fill="FFFFFF"/>
            <w:tcMar>
              <w:top w:w="100" w:type="dxa"/>
              <w:bottom w:w="100" w:type="dxa"/>
              <w:left w:w="140" w:type="dxa"/>
              <w:right w:w="140" w:type="dxa"/>
            </w:tcMar>
          </w:tcPr>
          <w:p>
            <w:pPr>
              <w:spacing w:before="0" w:after="0" w:line="276" w:lineRule="auto"/>
            </w:pPr>
            <w:r>
              <w:rPr>
                <w:rFonts w:ascii="Calibri" w:hAnsi="Calibri"/>
                <w:color w:val="1E293B"/>
                <w:sz w:val="18"/>
              </w:rPr>
              <w:t>Data pipelines, Kafka clusters, vector DB latency optimization, continuous model monitoring.</w:t>
            </w:r>
          </w:p>
        </w:tc>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Kubernetes, Docker, MLflow, Triton Inference Server, Terraform</w:t>
            </w:r>
          </w:p>
        </w:tc>
      </w:tr>
      <w:tr>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Data Engineers &amp; Graph Specialists</w:t>
            </w:r>
          </w:p>
        </w:tc>
        <w:tc>
          <w:tcPr>
            <w:tcW w:type="dxa" w:w="1152"/>
            <w:shd w:fill="F8FAFC"/>
            <w:tcMar>
              <w:top w:w="100" w:type="dxa"/>
              <w:bottom w:w="100" w:type="dxa"/>
              <w:left w:w="140" w:type="dxa"/>
              <w:right w:w="140" w:type="dxa"/>
            </w:tcMar>
          </w:tcPr>
          <w:p>
            <w:pPr>
              <w:spacing w:before="0" w:after="0" w:line="276" w:lineRule="auto"/>
            </w:pPr>
            <w:r>
              <w:rPr>
                <w:rFonts w:ascii="Calibri" w:hAnsi="Calibri"/>
                <w:color w:val="1E293B"/>
                <w:sz w:val="18"/>
              </w:rPr>
              <w:t>4 FTE</w:t>
            </w:r>
          </w:p>
        </w:tc>
        <w:tc>
          <w:tcPr>
            <w:tcW w:type="dxa" w:w="3888"/>
            <w:shd w:fill="F8FAFC"/>
            <w:tcMar>
              <w:top w:w="100" w:type="dxa"/>
              <w:bottom w:w="100" w:type="dxa"/>
              <w:left w:w="140" w:type="dxa"/>
              <w:right w:w="140" w:type="dxa"/>
            </w:tcMar>
          </w:tcPr>
          <w:p>
            <w:pPr>
              <w:spacing w:before="0" w:after="0" w:line="276" w:lineRule="auto"/>
            </w:pPr>
            <w:r>
              <w:rPr>
                <w:rFonts w:ascii="Calibri" w:hAnsi="Calibri"/>
                <w:color w:val="1E293B"/>
                <w:sz w:val="18"/>
              </w:rPr>
              <w:t>ERP data ingestion, CDC pipelines, Snowflake modeling, Neo4j graph maintenance.</w:t>
            </w:r>
          </w:p>
        </w:tc>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SQL, Python, Apache Kafka, dbt, Cypher, Spark</w:t>
            </w:r>
          </w:p>
        </w:tc>
      </w:tr>
      <w:tr>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Prompt &amp; Agentic Systems Engineers</w:t>
            </w:r>
          </w:p>
        </w:tc>
        <w:tc>
          <w:tcPr>
            <w:tcW w:type="dxa" w:w="1152"/>
            <w:shd w:fill="FFFFFF"/>
            <w:tcMar>
              <w:top w:w="100" w:type="dxa"/>
              <w:bottom w:w="100" w:type="dxa"/>
              <w:left w:w="140" w:type="dxa"/>
              <w:right w:w="140" w:type="dxa"/>
            </w:tcMar>
          </w:tcPr>
          <w:p>
            <w:pPr>
              <w:spacing w:before="0" w:after="0" w:line="276" w:lineRule="auto"/>
            </w:pPr>
            <w:r>
              <w:rPr>
                <w:rFonts w:ascii="Calibri" w:hAnsi="Calibri"/>
                <w:color w:val="1E293B"/>
                <w:sz w:val="18"/>
              </w:rPr>
              <w:t>3 FTE</w:t>
            </w:r>
          </w:p>
        </w:tc>
        <w:tc>
          <w:tcPr>
            <w:tcW w:type="dxa" w:w="3888"/>
            <w:shd w:fill="FFFFFF"/>
            <w:tcMar>
              <w:top w:w="100" w:type="dxa"/>
              <w:bottom w:w="100" w:type="dxa"/>
              <w:left w:w="140" w:type="dxa"/>
              <w:right w:w="140" w:type="dxa"/>
            </w:tcMar>
          </w:tcPr>
          <w:p>
            <w:pPr>
              <w:spacing w:before="0" w:after="0" w:line="276" w:lineRule="auto"/>
            </w:pPr>
            <w:r>
              <w:rPr>
                <w:rFonts w:ascii="Calibri" w:hAnsi="Calibri"/>
                <w:color w:val="1E293B"/>
                <w:sz w:val="18"/>
              </w:rPr>
              <w:t>Agent workflow design, prompt evaluation, fine-tuning SLMs, semantic guardrails.</w:t>
            </w:r>
          </w:p>
        </w:tc>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LangChain, DSPy, LlamaIndex, evaluation benchmarks</w:t>
            </w:r>
          </w:p>
        </w:tc>
      </w:tr>
      <w:tr>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Domain Product Owners (Supply Chain/Retail)</w:t>
            </w:r>
          </w:p>
        </w:tc>
        <w:tc>
          <w:tcPr>
            <w:tcW w:type="dxa" w:w="1152"/>
            <w:shd w:fill="F8FAFC"/>
            <w:tcMar>
              <w:top w:w="100" w:type="dxa"/>
              <w:bottom w:w="100" w:type="dxa"/>
              <w:left w:w="140" w:type="dxa"/>
              <w:right w:w="140" w:type="dxa"/>
            </w:tcMar>
          </w:tcPr>
          <w:p>
            <w:pPr>
              <w:spacing w:before="0" w:after="0" w:line="276" w:lineRule="auto"/>
            </w:pPr>
            <w:r>
              <w:rPr>
                <w:rFonts w:ascii="Calibri" w:hAnsi="Calibri"/>
                <w:color w:val="1E293B"/>
                <w:sz w:val="18"/>
              </w:rPr>
              <w:t>3 FTE</w:t>
            </w:r>
          </w:p>
        </w:tc>
        <w:tc>
          <w:tcPr>
            <w:tcW w:type="dxa" w:w="3888"/>
            <w:shd w:fill="F8FAFC"/>
            <w:tcMar>
              <w:top w:w="100" w:type="dxa"/>
              <w:bottom w:w="100" w:type="dxa"/>
              <w:left w:w="140" w:type="dxa"/>
              <w:right w:w="140" w:type="dxa"/>
            </w:tcMar>
          </w:tcPr>
          <w:p>
            <w:pPr>
              <w:spacing w:before="0" w:after="0" w:line="276" w:lineRule="auto"/>
            </w:pPr>
            <w:r>
              <w:rPr>
                <w:rFonts w:ascii="Calibri" w:hAnsi="Calibri"/>
                <w:color w:val="1E293B"/>
                <w:sz w:val="18"/>
              </w:rPr>
              <w:t>Translate business rules into agent constraints; validate operational usability.</w:t>
            </w:r>
          </w:p>
        </w:tc>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CPG/Retail supply chain, inventory theory, WMS/TMS expertise</w:t>
            </w:r>
          </w:p>
        </w:tc>
      </w:tr>
      <w:tr>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AI Ethics &amp; Compliance Officer</w:t>
            </w:r>
          </w:p>
        </w:tc>
        <w:tc>
          <w:tcPr>
            <w:tcW w:type="dxa" w:w="1152"/>
            <w:shd w:fill="FFFFFF"/>
            <w:tcMar>
              <w:top w:w="100" w:type="dxa"/>
              <w:bottom w:w="100" w:type="dxa"/>
              <w:left w:w="140" w:type="dxa"/>
              <w:right w:w="140" w:type="dxa"/>
            </w:tcMar>
          </w:tcPr>
          <w:p>
            <w:pPr>
              <w:spacing w:before="0" w:after="0" w:line="276" w:lineRule="auto"/>
            </w:pPr>
            <w:r>
              <w:rPr>
                <w:rFonts w:ascii="Calibri" w:hAnsi="Calibri"/>
                <w:color w:val="1E293B"/>
                <w:sz w:val="18"/>
              </w:rPr>
              <w:t>1 FTE</w:t>
            </w:r>
          </w:p>
        </w:tc>
        <w:tc>
          <w:tcPr>
            <w:tcW w:type="dxa" w:w="3888"/>
            <w:shd w:fill="FFFFFF"/>
            <w:tcMar>
              <w:top w:w="100" w:type="dxa"/>
              <w:bottom w:w="100" w:type="dxa"/>
              <w:left w:w="140" w:type="dxa"/>
              <w:right w:w="140" w:type="dxa"/>
            </w:tcMar>
          </w:tcPr>
          <w:p>
            <w:pPr>
              <w:spacing w:before="0" w:after="0" w:line="276" w:lineRule="auto"/>
            </w:pPr>
            <w:r>
              <w:rPr>
                <w:rFonts w:ascii="Calibri" w:hAnsi="Calibri"/>
                <w:color w:val="1E293B"/>
                <w:sz w:val="18"/>
              </w:rPr>
              <w:t>EU AI Act compliance, bias auditing, data privacy, model governance oversight.</w:t>
            </w:r>
          </w:p>
        </w:tc>
        <w:tc>
          <w:tcPr>
            <w:tcW w:type="dxa" w:w="2160"/>
            <w:shd w:fill="FFFFFF"/>
            <w:tcMar>
              <w:top w:w="100" w:type="dxa"/>
              <w:bottom w:w="100" w:type="dxa"/>
              <w:left w:w="140" w:type="dxa"/>
              <w:right w:w="140" w:type="dxa"/>
            </w:tcMar>
          </w:tcPr>
          <w:p>
            <w:pPr>
              <w:spacing w:before="0" w:after="0" w:line="276" w:lineRule="auto"/>
            </w:pPr>
            <w:r>
              <w:rPr>
                <w:rFonts w:ascii="Calibri" w:hAnsi="Calibri"/>
                <w:color w:val="1E293B"/>
                <w:sz w:val="18"/>
              </w:rPr>
              <w:t>Legal regulatory compliance, NIST AI RMF, privacy engineering</w:t>
            </w:r>
          </w:p>
        </w:tc>
      </w:tr>
      <w:tr>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Change Management &amp; Training Champions</w:t>
            </w:r>
          </w:p>
        </w:tc>
        <w:tc>
          <w:tcPr>
            <w:tcW w:type="dxa" w:w="1152"/>
            <w:shd w:fill="F8FAFC"/>
            <w:tcMar>
              <w:top w:w="100" w:type="dxa"/>
              <w:bottom w:w="100" w:type="dxa"/>
              <w:left w:w="140" w:type="dxa"/>
              <w:right w:w="140" w:type="dxa"/>
            </w:tcMar>
          </w:tcPr>
          <w:p>
            <w:pPr>
              <w:spacing w:before="0" w:after="0" w:line="276" w:lineRule="auto"/>
            </w:pPr>
            <w:r>
              <w:rPr>
                <w:rFonts w:ascii="Calibri" w:hAnsi="Calibri"/>
                <w:color w:val="1E293B"/>
                <w:sz w:val="18"/>
              </w:rPr>
              <w:t>2 FTE</w:t>
            </w:r>
          </w:p>
        </w:tc>
        <w:tc>
          <w:tcPr>
            <w:tcW w:type="dxa" w:w="3888"/>
            <w:shd w:fill="F8FAFC"/>
            <w:tcMar>
              <w:top w:w="100" w:type="dxa"/>
              <w:bottom w:w="100" w:type="dxa"/>
              <w:left w:w="140" w:type="dxa"/>
              <w:right w:w="140" w:type="dxa"/>
            </w:tcMar>
          </w:tcPr>
          <w:p>
            <w:pPr>
              <w:spacing w:before="0" w:after="0" w:line="276" w:lineRule="auto"/>
            </w:pPr>
            <w:r>
              <w:rPr>
                <w:rFonts w:ascii="Calibri" w:hAnsi="Calibri"/>
                <w:color w:val="1E293B"/>
                <w:sz w:val="18"/>
              </w:rPr>
              <w:t>Field workforce reskilling, warehouse user training, operational adoption tracking.</w:t>
            </w:r>
          </w:p>
        </w:tc>
        <w:tc>
          <w:tcPr>
            <w:tcW w:type="dxa" w:w="2160"/>
            <w:shd w:fill="F8FAFC"/>
            <w:tcMar>
              <w:top w:w="100" w:type="dxa"/>
              <w:bottom w:w="100" w:type="dxa"/>
              <w:left w:w="140" w:type="dxa"/>
              <w:right w:w="140" w:type="dxa"/>
            </w:tcMar>
          </w:tcPr>
          <w:p>
            <w:pPr>
              <w:spacing w:before="0" w:after="0" w:line="276" w:lineRule="auto"/>
            </w:pPr>
            <w:r>
              <w:rPr>
                <w:rFonts w:ascii="Calibri" w:hAnsi="Calibri"/>
                <w:color w:val="1E293B"/>
                <w:sz w:val="18"/>
              </w:rPr>
              <w:t>Organizational behavior, corporate training, agile coaching</w:t>
            </w:r>
          </w:p>
        </w:tc>
      </w:tr>
    </w:tbl>
    <w:p>
      <w:pPr>
        <w:spacing w:before="0" w:after="120"/>
      </w:pPr>
    </w:p>
    <w:p>
      <w:pPr>
        <w:pStyle w:val="Heading2"/>
        <w:keepNext/>
        <w:spacing w:before="280" w:after="120"/>
      </w:pPr>
      <w:r>
        <w:rPr>
          <w:rFonts w:ascii="Calibri" w:hAnsi="Calibri"/>
          <w:b/>
          <w:color w:val="1E508C"/>
          <w:sz w:val="27"/>
        </w:rPr>
        <w:t>6.3 Production Technology Stack Specifications</w:t>
      </w:r>
    </w:p>
    <w:p>
      <w:pPr>
        <w:pStyle w:val="ListBullet"/>
        <w:spacing w:before="0" w:after="80" w:line="276" w:lineRule="auto"/>
      </w:pPr>
      <w:r>
        <w:rPr>
          <w:rFonts w:ascii="Calibri" w:hAnsi="Calibri"/>
          <w:b/>
          <w:color w:val="003366"/>
          <w:sz w:val="21"/>
        </w:rPr>
        <w:t xml:space="preserve">Compute &amp; Cloud Infrastructure: </w:t>
      </w:r>
      <w:r>
        <w:rPr>
          <w:rFonts w:ascii="Calibri" w:hAnsi="Calibri"/>
          <w:color w:val="1E293B"/>
          <w:sz w:val="21"/>
        </w:rPr>
        <w:t>Hybrid cloud deployment on AWS / Microsoft Azure leveraging NVIDIA H100/A100 Tensor Core GPU clusters managed via Amazon EKS and Azure Kubernetes Service (AKS).</w:t>
      </w:r>
    </w:p>
    <w:p>
      <w:pPr>
        <w:pStyle w:val="ListBullet"/>
        <w:spacing w:before="0" w:after="80" w:line="276" w:lineRule="auto"/>
      </w:pPr>
      <w:r>
        <w:rPr>
          <w:rFonts w:ascii="Calibri" w:hAnsi="Calibri"/>
          <w:b/>
          <w:color w:val="003366"/>
          <w:sz w:val="21"/>
        </w:rPr>
        <w:t xml:space="preserve">Model Layer &amp; Inference Engines: </w:t>
      </w:r>
      <w:r>
        <w:rPr>
          <w:rFonts w:ascii="Calibri" w:hAnsi="Calibri"/>
          <w:color w:val="1E293B"/>
          <w:sz w:val="21"/>
        </w:rPr>
        <w:t>Tiered hybrid architecture: Local Small Language Models (Mistral NeMo 12B, Llama 3.3 8B quantized via vLLM/TensorRT-LLM) for 88% of high-throughput operational tasks; Frontier Foundation APIs (Claude 3.5 Sonnet, GPT-4o, Gemini Pro) reserved for complex strategic multi-party negotiations and high-risk exception handling.</w:t>
      </w:r>
    </w:p>
    <w:p>
      <w:pPr>
        <w:pStyle w:val="ListBullet"/>
        <w:spacing w:before="0" w:after="80" w:line="276" w:lineRule="auto"/>
      </w:pPr>
      <w:r>
        <w:rPr>
          <w:rFonts w:ascii="Calibri" w:hAnsi="Calibri"/>
          <w:b/>
          <w:color w:val="003366"/>
          <w:sz w:val="21"/>
        </w:rPr>
        <w:t xml:space="preserve">Data Streaming &amp; Analytics: </w:t>
      </w:r>
      <w:r>
        <w:rPr>
          <w:rFonts w:ascii="Calibri" w:hAnsi="Calibri"/>
          <w:color w:val="1E293B"/>
          <w:sz w:val="21"/>
        </w:rPr>
        <w:t>Apache Kafka for real-time pub/sub messaging; Snowflake Data Cloud for unified analytical storage; dbt for automated data transformations; Feast for real-time feature store management.</w:t>
      </w:r>
    </w:p>
    <w:p>
      <w:pPr>
        <w:pStyle w:val="ListBullet"/>
        <w:spacing w:before="0" w:after="80" w:line="276" w:lineRule="auto"/>
      </w:pPr>
      <w:r>
        <w:rPr>
          <w:rFonts w:ascii="Calibri" w:hAnsi="Calibri"/>
          <w:b/>
          <w:color w:val="003366"/>
          <w:sz w:val="21"/>
        </w:rPr>
        <w:t xml:space="preserve">Vector &amp; Graph Databases: </w:t>
      </w:r>
      <w:r>
        <w:rPr>
          <w:rFonts w:ascii="Calibri" w:hAnsi="Calibri"/>
          <w:color w:val="1E293B"/>
          <w:sz w:val="21"/>
        </w:rPr>
        <w:t>Milvus Enterprise for distributed high-dimensional vector search; Neo4j Enterprise Graph Database for supply chain topology modeling and relationship traversal.</w:t>
      </w:r>
    </w:p>
    <w:p>
      <w:pPr>
        <w:pStyle w:val="ListBullet"/>
        <w:spacing w:before="0" w:after="80" w:line="276" w:lineRule="auto"/>
      </w:pPr>
      <w:r>
        <w:rPr>
          <w:rFonts w:ascii="Calibri" w:hAnsi="Calibri"/>
          <w:b/>
          <w:color w:val="003366"/>
          <w:sz w:val="21"/>
        </w:rPr>
        <w:t xml:space="preserve">Observability &amp; Evaluation: </w:t>
      </w:r>
      <w:r>
        <w:rPr>
          <w:rFonts w:ascii="Calibri" w:hAnsi="Calibri"/>
          <w:color w:val="1E293B"/>
          <w:sz w:val="21"/>
        </w:rPr>
        <w:t>LangSmith / Arize AI for full agentic trace observability, latency breakdown, and token attribution; Prometheus &amp; Grafana for infrastructure health; Evidently AI for data and concept drift detection.</w:t>
      </w:r>
    </w:p>
    <w:p>
      <w:r>
        <w:br w:type="page"/>
      </w:r>
    </w:p>
    <w:p>
      <w:pPr>
        <w:pStyle w:val="Heading1"/>
        <w:keepNext/>
        <w:spacing w:before="400" w:after="160"/>
      </w:pPr>
      <w:r>
        <w:rPr>
          <w:rFonts w:ascii="Calibri" w:hAnsi="Calibri"/>
          <w:b/>
          <w:color w:val="003366"/>
          <w:sz w:val="34"/>
        </w:rPr>
        <w:t>SECTION 7: ENTERPRISE RISK MANAGEMENT &amp; ETHICAL AI GOVERNANCE</w:t>
      </w:r>
    </w:p>
    <w:p>
      <w:pPr>
        <w:spacing w:before="0" w:after="120" w:line="276" w:lineRule="auto"/>
      </w:pPr>
      <w:r>
        <w:rPr>
          <w:rFonts w:ascii="Calibri" w:hAnsi="Calibri"/>
          <w:b/>
          <w:color w:val="0F172A"/>
          <w:sz w:val="21"/>
        </w:rPr>
        <w:t xml:space="preserve">7.1 Risk Management Philosophy: </w:t>
      </w:r>
      <w:r>
        <w:rPr>
          <w:rFonts w:ascii="Calibri" w:hAnsi="Calibri"/>
          <w:color w:val="1E293B"/>
          <w:sz w:val="21"/>
        </w:rPr>
        <w:t>Deploying autonomous systems into core commercial operations introduces complex technical, legal, and operational risks. OmniVanguard's risk management strategy adopts a 'Defense-in-Depth' architecture aligned with the ISO/IEC 42001 AI Management System and the NIST AI Risk Management Framework 1.0.</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872"/>
        <w:gridCol w:w="1872"/>
        <w:gridCol w:w="1872"/>
        <w:gridCol w:w="1872"/>
        <w:gridCol w:w="1872"/>
      </w:tblGrid>
      <w:tr>
        <w:tc>
          <w:tcPr>
            <w:tcW w:type="dxa" w:w="2016"/>
            <w:shd w:fill="003366"/>
            <w:tcMar>
              <w:top w:w="120" w:type="dxa"/>
              <w:bottom w:w="120" w:type="dxa"/>
              <w:left w:w="140" w:type="dxa"/>
              <w:right w:w="140" w:type="dxa"/>
            </w:tcMar>
          </w:tcPr>
          <w:p>
            <w:pPr>
              <w:spacing w:before="0" w:after="0"/>
            </w:pPr>
            <w:r>
              <w:rPr>
                <w:rFonts w:ascii="Calibri" w:hAnsi="Calibri"/>
                <w:b/>
                <w:color w:val="FFFFFF"/>
                <w:sz w:val="19"/>
              </w:rPr>
              <w:t>Risk Description</w:t>
            </w:r>
          </w:p>
        </w:tc>
        <w:tc>
          <w:tcPr>
            <w:tcW w:type="dxa" w:w="1440"/>
            <w:shd w:fill="003366"/>
            <w:tcMar>
              <w:top w:w="120" w:type="dxa"/>
              <w:bottom w:w="120" w:type="dxa"/>
              <w:left w:w="140" w:type="dxa"/>
              <w:right w:w="140" w:type="dxa"/>
            </w:tcMar>
          </w:tcPr>
          <w:p>
            <w:pPr>
              <w:spacing w:before="0" w:after="0"/>
            </w:pPr>
            <w:r>
              <w:rPr>
                <w:rFonts w:ascii="Calibri" w:hAnsi="Calibri"/>
                <w:b/>
                <w:color w:val="FFFFFF"/>
                <w:sz w:val="19"/>
              </w:rPr>
              <w:t>Category</w:t>
            </w:r>
          </w:p>
        </w:tc>
        <w:tc>
          <w:tcPr>
            <w:tcW w:type="dxa" w:w="1440"/>
            <w:shd w:fill="003366"/>
            <w:tcMar>
              <w:top w:w="120" w:type="dxa"/>
              <w:bottom w:w="120" w:type="dxa"/>
              <w:left w:w="140" w:type="dxa"/>
              <w:right w:w="140" w:type="dxa"/>
            </w:tcMar>
          </w:tcPr>
          <w:p>
            <w:pPr>
              <w:spacing w:before="0" w:after="0"/>
            </w:pPr>
            <w:r>
              <w:rPr>
                <w:rFonts w:ascii="Calibri" w:hAnsi="Calibri"/>
                <w:b/>
                <w:color w:val="FFFFFF"/>
                <w:sz w:val="19"/>
              </w:rPr>
              <w:t>Likelihood / Impact</w:t>
            </w:r>
          </w:p>
        </w:tc>
        <w:tc>
          <w:tcPr>
            <w:tcW w:type="dxa" w:w="1152"/>
            <w:shd w:fill="003366"/>
            <w:tcMar>
              <w:top w:w="120" w:type="dxa"/>
              <w:bottom w:w="120" w:type="dxa"/>
              <w:left w:w="140" w:type="dxa"/>
              <w:right w:w="140" w:type="dxa"/>
            </w:tcMar>
          </w:tcPr>
          <w:p>
            <w:pPr>
              <w:spacing w:before="0" w:after="0"/>
            </w:pPr>
            <w:r>
              <w:rPr>
                <w:rFonts w:ascii="Calibri" w:hAnsi="Calibri"/>
                <w:b/>
                <w:color w:val="FFFFFF"/>
                <w:sz w:val="19"/>
              </w:rPr>
              <w:t>Risk Score (1-25)</w:t>
            </w:r>
          </w:p>
        </w:tc>
        <w:tc>
          <w:tcPr>
            <w:tcW w:type="dxa" w:w="3312"/>
            <w:shd w:fill="003366"/>
            <w:tcMar>
              <w:top w:w="120" w:type="dxa"/>
              <w:bottom w:w="120" w:type="dxa"/>
              <w:left w:w="140" w:type="dxa"/>
              <w:right w:w="140" w:type="dxa"/>
            </w:tcMar>
          </w:tcPr>
          <w:p>
            <w:pPr>
              <w:spacing w:before="0" w:after="0"/>
            </w:pPr>
            <w:r>
              <w:rPr>
                <w:rFonts w:ascii="Calibri" w:hAnsi="Calibri"/>
                <w:b/>
                <w:color w:val="FFFFFF"/>
                <w:sz w:val="19"/>
              </w:rPr>
              <w:t>Mitigation Strategy &amp; Built-In Controls</w:t>
            </w:r>
          </w:p>
        </w:tc>
      </w:tr>
      <w:tr>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Model Hallucination &amp; Erroneous Autonomous Actions</w:t>
            </w:r>
          </w:p>
        </w:tc>
        <w:tc>
          <w:tcPr>
            <w:tcW w:type="dxa" w:w="1440"/>
            <w:shd w:fill="FFFFFF"/>
            <w:tcMar>
              <w:top w:w="100" w:type="dxa"/>
              <w:bottom w:w="100" w:type="dxa"/>
              <w:left w:w="140" w:type="dxa"/>
              <w:right w:w="140" w:type="dxa"/>
            </w:tcMar>
          </w:tcPr>
          <w:p>
            <w:pPr>
              <w:spacing w:before="0" w:after="0" w:line="276" w:lineRule="auto"/>
            </w:pPr>
            <w:r>
              <w:rPr>
                <w:rFonts w:ascii="Calibri" w:hAnsi="Calibri"/>
                <w:color w:val="1E293B"/>
                <w:sz w:val="18"/>
              </w:rPr>
              <w:t>Technical</w:t>
            </w:r>
          </w:p>
        </w:tc>
        <w:tc>
          <w:tcPr>
            <w:tcW w:type="dxa" w:w="1440"/>
            <w:shd w:fill="FFFFFF"/>
            <w:tcMar>
              <w:top w:w="100" w:type="dxa"/>
              <w:bottom w:w="100" w:type="dxa"/>
              <w:left w:w="140" w:type="dxa"/>
              <w:right w:w="140" w:type="dxa"/>
            </w:tcMar>
          </w:tcPr>
          <w:p>
            <w:pPr>
              <w:spacing w:before="0" w:after="0" w:line="276" w:lineRule="auto"/>
            </w:pPr>
            <w:r>
              <w:rPr>
                <w:rFonts w:ascii="Calibri" w:hAnsi="Calibri"/>
                <w:color w:val="1E293B"/>
                <w:sz w:val="18"/>
              </w:rPr>
              <w:t>Moderate (3) /</w:t>
              <w:br/>
              <w:t>Critical (5)</w:t>
            </w:r>
          </w:p>
        </w:tc>
        <w:tc>
          <w:tcPr>
            <w:tcW w:type="dxa" w:w="1152"/>
            <w:shd w:fill="FFFFFF"/>
            <w:tcMar>
              <w:top w:w="100" w:type="dxa"/>
              <w:bottom w:w="100" w:type="dxa"/>
              <w:left w:w="140" w:type="dxa"/>
              <w:right w:w="140" w:type="dxa"/>
            </w:tcMar>
          </w:tcPr>
          <w:p>
            <w:pPr>
              <w:spacing w:before="0" w:after="0" w:line="276" w:lineRule="auto"/>
            </w:pPr>
            <w:r>
              <w:rPr>
                <w:rFonts w:ascii="Calibri" w:hAnsi="Calibri"/>
                <w:color w:val="1E293B"/>
                <w:sz w:val="18"/>
              </w:rPr>
              <w:t>15 (High)</w:t>
            </w:r>
          </w:p>
        </w:tc>
        <w:tc>
          <w:tcPr>
            <w:tcW w:type="dxa" w:w="3312"/>
            <w:shd w:fill="FFFFFF"/>
            <w:tcMar>
              <w:top w:w="100" w:type="dxa"/>
              <w:bottom w:w="100" w:type="dxa"/>
              <w:left w:w="140" w:type="dxa"/>
              <w:right w:w="140" w:type="dxa"/>
            </w:tcMar>
          </w:tcPr>
          <w:p>
            <w:pPr>
              <w:spacing w:before="0" w:after="0" w:line="276" w:lineRule="auto"/>
            </w:pPr>
            <w:r>
              <w:rPr>
                <w:rFonts w:ascii="Calibri" w:hAnsi="Calibri"/>
                <w:color w:val="1E293B"/>
                <w:sz w:val="18"/>
              </w:rPr>
              <w:t>Multi-layered validation: NeMo Guardrails check outputs against formal schemas; MILP mathematical solvers bound operational outputs; mandatory HITL approval on POs &gt;$10k.</w:t>
            </w:r>
          </w:p>
        </w:tc>
      </w:tr>
      <w:tr>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Adversarial Prompt Injection &amp; Data Poisoning</w:t>
            </w:r>
          </w:p>
        </w:tc>
        <w:tc>
          <w:tcPr>
            <w:tcW w:type="dxa" w:w="1440"/>
            <w:shd w:fill="F8FAFC"/>
            <w:tcMar>
              <w:top w:w="100" w:type="dxa"/>
              <w:bottom w:w="100" w:type="dxa"/>
              <w:left w:w="140" w:type="dxa"/>
              <w:right w:w="140" w:type="dxa"/>
            </w:tcMar>
          </w:tcPr>
          <w:p>
            <w:pPr>
              <w:spacing w:before="0" w:after="0" w:line="276" w:lineRule="auto"/>
            </w:pPr>
            <w:r>
              <w:rPr>
                <w:rFonts w:ascii="Calibri" w:hAnsi="Calibri"/>
                <w:color w:val="1E293B"/>
                <w:sz w:val="18"/>
              </w:rPr>
              <w:t>Cybersecurity</w:t>
            </w:r>
          </w:p>
        </w:tc>
        <w:tc>
          <w:tcPr>
            <w:tcW w:type="dxa" w:w="1440"/>
            <w:shd w:fill="F8FAFC"/>
            <w:tcMar>
              <w:top w:w="100" w:type="dxa"/>
              <w:bottom w:w="100" w:type="dxa"/>
              <w:left w:w="140" w:type="dxa"/>
              <w:right w:w="140" w:type="dxa"/>
            </w:tcMar>
          </w:tcPr>
          <w:p>
            <w:pPr>
              <w:spacing w:before="0" w:after="0" w:line="276" w:lineRule="auto"/>
            </w:pPr>
            <w:r>
              <w:rPr>
                <w:rFonts w:ascii="Calibri" w:hAnsi="Calibri"/>
                <w:color w:val="1E293B"/>
                <w:sz w:val="18"/>
              </w:rPr>
              <w:t>Low (2) /</w:t>
              <w:br/>
              <w:t>Catastrophic (5)</w:t>
            </w:r>
          </w:p>
        </w:tc>
        <w:tc>
          <w:tcPr>
            <w:tcW w:type="dxa" w:w="1152"/>
            <w:shd w:fill="F8FAFC"/>
            <w:tcMar>
              <w:top w:w="100" w:type="dxa"/>
              <w:bottom w:w="100" w:type="dxa"/>
              <w:left w:w="140" w:type="dxa"/>
              <w:right w:w="140" w:type="dxa"/>
            </w:tcMar>
          </w:tcPr>
          <w:p>
            <w:pPr>
              <w:spacing w:before="0" w:after="0" w:line="276" w:lineRule="auto"/>
            </w:pPr>
            <w:r>
              <w:rPr>
                <w:rFonts w:ascii="Calibri" w:hAnsi="Calibri"/>
                <w:color w:val="1E293B"/>
                <w:sz w:val="18"/>
              </w:rPr>
              <w:t>10 (Medium)</w:t>
            </w:r>
          </w:p>
        </w:tc>
        <w:tc>
          <w:tcPr>
            <w:tcW w:type="dxa" w:w="3312"/>
            <w:shd w:fill="F8FAFC"/>
            <w:tcMar>
              <w:top w:w="100" w:type="dxa"/>
              <w:bottom w:w="100" w:type="dxa"/>
              <w:left w:w="140" w:type="dxa"/>
              <w:right w:w="140" w:type="dxa"/>
            </w:tcMar>
          </w:tcPr>
          <w:p>
            <w:pPr>
              <w:spacing w:before="0" w:after="0" w:line="276" w:lineRule="auto"/>
            </w:pPr>
            <w:r>
              <w:rPr>
                <w:rFonts w:ascii="Calibri" w:hAnsi="Calibri"/>
                <w:color w:val="1E293B"/>
                <w:sz w:val="18"/>
              </w:rPr>
              <w:t>Complete isolation of agent context; input sanitization pipelines; strict separation of untrusted external web text from internal operational execution tools.</w:t>
            </w:r>
          </w:p>
        </w:tc>
      </w:tr>
      <w:tr>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EU AI Act &amp; Global Regulatory Non-Compliance</w:t>
            </w:r>
          </w:p>
        </w:tc>
        <w:tc>
          <w:tcPr>
            <w:tcW w:type="dxa" w:w="1440"/>
            <w:shd w:fill="FFFFFF"/>
            <w:tcMar>
              <w:top w:w="100" w:type="dxa"/>
              <w:bottom w:w="100" w:type="dxa"/>
              <w:left w:w="140" w:type="dxa"/>
              <w:right w:w="140" w:type="dxa"/>
            </w:tcMar>
          </w:tcPr>
          <w:p>
            <w:pPr>
              <w:spacing w:before="0" w:after="0" w:line="276" w:lineRule="auto"/>
            </w:pPr>
            <w:r>
              <w:rPr>
                <w:rFonts w:ascii="Calibri" w:hAnsi="Calibri"/>
                <w:color w:val="1E293B"/>
                <w:sz w:val="18"/>
              </w:rPr>
              <w:t>Legal / Regulatory</w:t>
            </w:r>
          </w:p>
        </w:tc>
        <w:tc>
          <w:tcPr>
            <w:tcW w:type="dxa" w:w="1440"/>
            <w:shd w:fill="FFFFFF"/>
            <w:tcMar>
              <w:top w:w="100" w:type="dxa"/>
              <w:bottom w:w="100" w:type="dxa"/>
              <w:left w:w="140" w:type="dxa"/>
              <w:right w:w="140" w:type="dxa"/>
            </w:tcMar>
          </w:tcPr>
          <w:p>
            <w:pPr>
              <w:spacing w:before="0" w:after="0" w:line="276" w:lineRule="auto"/>
            </w:pPr>
            <w:r>
              <w:rPr>
                <w:rFonts w:ascii="Calibri" w:hAnsi="Calibri"/>
                <w:color w:val="1E293B"/>
                <w:sz w:val="18"/>
              </w:rPr>
              <w:t>Moderate (3) /</w:t>
              <w:br/>
              <w:t>Major (4)</w:t>
            </w:r>
          </w:p>
        </w:tc>
        <w:tc>
          <w:tcPr>
            <w:tcW w:type="dxa" w:w="1152"/>
            <w:shd w:fill="FFFFFF"/>
            <w:tcMar>
              <w:top w:w="100" w:type="dxa"/>
              <w:bottom w:w="100" w:type="dxa"/>
              <w:left w:w="140" w:type="dxa"/>
              <w:right w:w="140" w:type="dxa"/>
            </w:tcMar>
          </w:tcPr>
          <w:p>
            <w:pPr>
              <w:spacing w:before="0" w:after="0" w:line="276" w:lineRule="auto"/>
            </w:pPr>
            <w:r>
              <w:rPr>
                <w:rFonts w:ascii="Calibri" w:hAnsi="Calibri"/>
                <w:color w:val="1E293B"/>
                <w:sz w:val="18"/>
              </w:rPr>
              <w:t>12 (High)</w:t>
            </w:r>
          </w:p>
        </w:tc>
        <w:tc>
          <w:tcPr>
            <w:tcW w:type="dxa" w:w="3312"/>
            <w:shd w:fill="FFFFFF"/>
            <w:tcMar>
              <w:top w:w="100" w:type="dxa"/>
              <w:bottom w:w="100" w:type="dxa"/>
              <w:left w:w="140" w:type="dxa"/>
              <w:right w:w="140" w:type="dxa"/>
            </w:tcMar>
          </w:tcPr>
          <w:p>
            <w:pPr>
              <w:spacing w:before="0" w:after="0" w:line="276" w:lineRule="auto"/>
            </w:pPr>
            <w:r>
              <w:rPr>
                <w:rFonts w:ascii="Calibri" w:hAnsi="Calibri"/>
                <w:color w:val="1E293B"/>
                <w:sz w:val="18"/>
              </w:rPr>
              <w:t>Pre-emptive compliance architecture: comprehensive technical documentation, human override mechanisms, automated bias testing on dynamic pricing, tamper-proof logs.</w:t>
            </w:r>
          </w:p>
        </w:tc>
      </w:tr>
      <w:tr>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ERP Integration Latency &amp; Pipeline Failure</w:t>
            </w:r>
          </w:p>
        </w:tc>
        <w:tc>
          <w:tcPr>
            <w:tcW w:type="dxa" w:w="1440"/>
            <w:shd w:fill="F8FAFC"/>
            <w:tcMar>
              <w:top w:w="100" w:type="dxa"/>
              <w:bottom w:w="100" w:type="dxa"/>
              <w:left w:w="140" w:type="dxa"/>
              <w:right w:w="140" w:type="dxa"/>
            </w:tcMar>
          </w:tcPr>
          <w:p>
            <w:pPr>
              <w:spacing w:before="0" w:after="0" w:line="276" w:lineRule="auto"/>
            </w:pPr>
            <w:r>
              <w:rPr>
                <w:rFonts w:ascii="Calibri" w:hAnsi="Calibri"/>
                <w:color w:val="1E293B"/>
                <w:sz w:val="18"/>
              </w:rPr>
              <w:t>Operational</w:t>
            </w:r>
          </w:p>
        </w:tc>
        <w:tc>
          <w:tcPr>
            <w:tcW w:type="dxa" w:w="1440"/>
            <w:shd w:fill="F8FAFC"/>
            <w:tcMar>
              <w:top w:w="100" w:type="dxa"/>
              <w:bottom w:w="100" w:type="dxa"/>
              <w:left w:w="140" w:type="dxa"/>
              <w:right w:w="140" w:type="dxa"/>
            </w:tcMar>
          </w:tcPr>
          <w:p>
            <w:pPr>
              <w:spacing w:before="0" w:after="0" w:line="276" w:lineRule="auto"/>
            </w:pPr>
            <w:r>
              <w:rPr>
                <w:rFonts w:ascii="Calibri" w:hAnsi="Calibri"/>
                <w:color w:val="1E293B"/>
                <w:sz w:val="18"/>
              </w:rPr>
              <w:t>Moderate (3) /</w:t>
              <w:br/>
              <w:t>Moderate (3)</w:t>
            </w:r>
          </w:p>
        </w:tc>
        <w:tc>
          <w:tcPr>
            <w:tcW w:type="dxa" w:w="1152"/>
            <w:shd w:fill="F8FAFC"/>
            <w:tcMar>
              <w:top w:w="100" w:type="dxa"/>
              <w:bottom w:w="100" w:type="dxa"/>
              <w:left w:w="140" w:type="dxa"/>
              <w:right w:w="140" w:type="dxa"/>
            </w:tcMar>
          </w:tcPr>
          <w:p>
            <w:pPr>
              <w:spacing w:before="0" w:after="0" w:line="276" w:lineRule="auto"/>
            </w:pPr>
            <w:r>
              <w:rPr>
                <w:rFonts w:ascii="Calibri" w:hAnsi="Calibri"/>
                <w:color w:val="1E293B"/>
                <w:sz w:val="18"/>
              </w:rPr>
              <w:t>9 (Medium)</w:t>
            </w:r>
          </w:p>
        </w:tc>
        <w:tc>
          <w:tcPr>
            <w:tcW w:type="dxa" w:w="3312"/>
            <w:shd w:fill="F8FAFC"/>
            <w:tcMar>
              <w:top w:w="100" w:type="dxa"/>
              <w:bottom w:w="100" w:type="dxa"/>
              <w:left w:w="140" w:type="dxa"/>
              <w:right w:w="140" w:type="dxa"/>
            </w:tcMar>
          </w:tcPr>
          <w:p>
            <w:pPr>
              <w:spacing w:before="0" w:after="0" w:line="276" w:lineRule="auto"/>
            </w:pPr>
            <w:r>
              <w:rPr>
                <w:rFonts w:ascii="Calibri" w:hAnsi="Calibri"/>
                <w:color w:val="1E293B"/>
                <w:sz w:val="18"/>
              </w:rPr>
              <w:t>Decoupled asynchronous event queues; dead-letter queues in Kafka; automatic fallback to deterministic baseline inventory heuristics if AI stream drops &gt;30s.</w:t>
            </w:r>
          </w:p>
        </w:tc>
      </w:tr>
      <w:tr>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Vendor Lock-In &amp; Cloud API Cost Escalation</w:t>
            </w:r>
          </w:p>
        </w:tc>
        <w:tc>
          <w:tcPr>
            <w:tcW w:type="dxa" w:w="1440"/>
            <w:shd w:fill="FFFFFF"/>
            <w:tcMar>
              <w:top w:w="100" w:type="dxa"/>
              <w:bottom w:w="100" w:type="dxa"/>
              <w:left w:w="140" w:type="dxa"/>
              <w:right w:w="140" w:type="dxa"/>
            </w:tcMar>
          </w:tcPr>
          <w:p>
            <w:pPr>
              <w:spacing w:before="0" w:after="0" w:line="276" w:lineRule="auto"/>
            </w:pPr>
            <w:r>
              <w:rPr>
                <w:rFonts w:ascii="Calibri" w:hAnsi="Calibri"/>
                <w:color w:val="1E293B"/>
                <w:sz w:val="18"/>
              </w:rPr>
              <w:t>Financial</w:t>
            </w:r>
          </w:p>
        </w:tc>
        <w:tc>
          <w:tcPr>
            <w:tcW w:type="dxa" w:w="1440"/>
            <w:shd w:fill="FFFFFF"/>
            <w:tcMar>
              <w:top w:w="100" w:type="dxa"/>
              <w:bottom w:w="100" w:type="dxa"/>
              <w:left w:w="140" w:type="dxa"/>
              <w:right w:w="140" w:type="dxa"/>
            </w:tcMar>
          </w:tcPr>
          <w:p>
            <w:pPr>
              <w:spacing w:before="0" w:after="0" w:line="276" w:lineRule="auto"/>
            </w:pPr>
            <w:r>
              <w:rPr>
                <w:rFonts w:ascii="Calibri" w:hAnsi="Calibri"/>
                <w:color w:val="1E293B"/>
                <w:sz w:val="18"/>
              </w:rPr>
              <w:t>Moderate (3) /</w:t>
              <w:br/>
              <w:t>Moderate (3)</w:t>
            </w:r>
          </w:p>
        </w:tc>
        <w:tc>
          <w:tcPr>
            <w:tcW w:type="dxa" w:w="1152"/>
            <w:shd w:fill="FFFFFF"/>
            <w:tcMar>
              <w:top w:w="100" w:type="dxa"/>
              <w:bottom w:w="100" w:type="dxa"/>
              <w:left w:w="140" w:type="dxa"/>
              <w:right w:w="140" w:type="dxa"/>
            </w:tcMar>
          </w:tcPr>
          <w:p>
            <w:pPr>
              <w:spacing w:before="0" w:after="0" w:line="276" w:lineRule="auto"/>
            </w:pPr>
            <w:r>
              <w:rPr>
                <w:rFonts w:ascii="Calibri" w:hAnsi="Calibri"/>
                <w:color w:val="1E293B"/>
                <w:sz w:val="18"/>
              </w:rPr>
              <w:t>9 (Medium)</w:t>
            </w:r>
          </w:p>
        </w:tc>
        <w:tc>
          <w:tcPr>
            <w:tcW w:type="dxa" w:w="3312"/>
            <w:shd w:fill="FFFFFF"/>
            <w:tcMar>
              <w:top w:w="100" w:type="dxa"/>
              <w:bottom w:w="100" w:type="dxa"/>
              <w:left w:w="140" w:type="dxa"/>
              <w:right w:w="140" w:type="dxa"/>
            </w:tcMar>
          </w:tcPr>
          <w:p>
            <w:pPr>
              <w:spacing w:before="0" w:after="0" w:line="276" w:lineRule="auto"/>
            </w:pPr>
            <w:r>
              <w:rPr>
                <w:rFonts w:ascii="Calibri" w:hAnsi="Calibri"/>
                <w:color w:val="1E293B"/>
                <w:sz w:val="18"/>
              </w:rPr>
              <w:t>Model-agnostic abstraction layer (LiteLLM/LangChain); prioritization of self-hosted open-weights models (Llama 3.3, Mistral) ensuring zero vendor dependence.</w:t>
            </w:r>
          </w:p>
        </w:tc>
      </w:tr>
      <w:tr>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Workforce Resistance &amp; Field Adoption Failure</w:t>
            </w:r>
          </w:p>
        </w:tc>
        <w:tc>
          <w:tcPr>
            <w:tcW w:type="dxa" w:w="1440"/>
            <w:shd w:fill="F8FAFC"/>
            <w:tcMar>
              <w:top w:w="100" w:type="dxa"/>
              <w:bottom w:w="100" w:type="dxa"/>
              <w:left w:w="140" w:type="dxa"/>
              <w:right w:w="140" w:type="dxa"/>
            </w:tcMar>
          </w:tcPr>
          <w:p>
            <w:pPr>
              <w:spacing w:before="0" w:after="0" w:line="276" w:lineRule="auto"/>
            </w:pPr>
            <w:r>
              <w:rPr>
                <w:rFonts w:ascii="Calibri" w:hAnsi="Calibri"/>
                <w:color w:val="1E293B"/>
                <w:sz w:val="18"/>
              </w:rPr>
              <w:t>Cultural</w:t>
            </w:r>
          </w:p>
        </w:tc>
        <w:tc>
          <w:tcPr>
            <w:tcW w:type="dxa" w:w="1440"/>
            <w:shd w:fill="F8FAFC"/>
            <w:tcMar>
              <w:top w:w="100" w:type="dxa"/>
              <w:bottom w:w="100" w:type="dxa"/>
              <w:left w:w="140" w:type="dxa"/>
              <w:right w:w="140" w:type="dxa"/>
            </w:tcMar>
          </w:tcPr>
          <w:p>
            <w:pPr>
              <w:spacing w:before="0" w:after="0" w:line="276" w:lineRule="auto"/>
            </w:pPr>
            <w:r>
              <w:rPr>
                <w:rFonts w:ascii="Calibri" w:hAnsi="Calibri"/>
                <w:color w:val="1E293B"/>
                <w:sz w:val="18"/>
              </w:rPr>
              <w:t>High (4) /</w:t>
              <w:br/>
              <w:t>Moderate (3)</w:t>
            </w:r>
          </w:p>
        </w:tc>
        <w:tc>
          <w:tcPr>
            <w:tcW w:type="dxa" w:w="1152"/>
            <w:shd w:fill="F8FAFC"/>
            <w:tcMar>
              <w:top w:w="100" w:type="dxa"/>
              <w:bottom w:w="100" w:type="dxa"/>
              <w:left w:w="140" w:type="dxa"/>
              <w:right w:w="140" w:type="dxa"/>
            </w:tcMar>
          </w:tcPr>
          <w:p>
            <w:pPr>
              <w:spacing w:before="0" w:after="0" w:line="276" w:lineRule="auto"/>
            </w:pPr>
            <w:r>
              <w:rPr>
                <w:rFonts w:ascii="Calibri" w:hAnsi="Calibri"/>
                <w:color w:val="1E293B"/>
                <w:sz w:val="18"/>
              </w:rPr>
              <w:t>12 (High)</w:t>
            </w:r>
          </w:p>
        </w:tc>
        <w:tc>
          <w:tcPr>
            <w:tcW w:type="dxa" w:w="3312"/>
            <w:shd w:fill="F8FAFC"/>
            <w:tcMar>
              <w:top w:w="100" w:type="dxa"/>
              <w:bottom w:w="100" w:type="dxa"/>
              <w:left w:w="140" w:type="dxa"/>
              <w:right w:w="140" w:type="dxa"/>
            </w:tcMar>
          </w:tcPr>
          <w:p>
            <w:pPr>
              <w:spacing w:before="0" w:after="0" w:line="276" w:lineRule="auto"/>
            </w:pPr>
            <w:r>
              <w:rPr>
                <w:rFonts w:ascii="Calibri" w:hAnsi="Calibri"/>
                <w:color w:val="1E293B"/>
                <w:sz w:val="18"/>
              </w:rPr>
              <w:t>Dedicated change management program; frontline warehouse gamification; financial bonuses tied to system utilization; 'co-pilot' framing rather than replacement.</w:t>
            </w:r>
          </w:p>
        </w:tc>
      </w:tr>
    </w:tbl>
    <w:p>
      <w:pPr>
        <w:spacing w:before="0" w:after="120"/>
      </w:pPr>
    </w:p>
    <w:p>
      <w:pPr>
        <w:pStyle w:val="Heading2"/>
        <w:keepNext/>
        <w:spacing w:before="280" w:after="120"/>
      </w:pPr>
      <w:r>
        <w:rPr>
          <w:rFonts w:ascii="Calibri" w:hAnsi="Calibri"/>
          <w:b/>
          <w:color w:val="1E508C"/>
          <w:sz w:val="27"/>
        </w:rPr>
        <w:t>7.2 Business Continuity, Fail-Safe Architecture &amp; Graceful Degradation</w:t>
      </w:r>
    </w:p>
    <w:p>
      <w:pPr>
        <w:spacing w:before="0" w:after="120" w:line="276" w:lineRule="auto"/>
      </w:pPr>
      <w:r>
        <w:rPr>
          <w:rFonts w:ascii="Calibri" w:hAnsi="Calibri"/>
          <w:color w:val="1E293B"/>
          <w:sz w:val="21"/>
        </w:rPr>
        <w:t>To ensure that OmniVanguard's physical supply chain never halts due to software failures, CognitiveFlow incorporates an active Fail-Safe State Engine:</w:t>
      </w:r>
    </w:p>
    <w:p>
      <w:pPr>
        <w:pStyle w:val="ListBullet"/>
        <w:spacing w:before="0" w:after="80" w:line="276" w:lineRule="auto"/>
      </w:pPr>
      <w:r>
        <w:rPr>
          <w:rFonts w:ascii="Calibri" w:hAnsi="Calibri"/>
          <w:b/>
          <w:color w:val="003366"/>
          <w:sz w:val="21"/>
        </w:rPr>
        <w:t xml:space="preserve">Level 0 (Full Autonomous Operation): </w:t>
      </w:r>
      <w:r>
        <w:rPr>
          <w:rFonts w:ascii="Calibri" w:hAnsi="Calibri"/>
          <w:color w:val="1E293B"/>
          <w:sz w:val="21"/>
        </w:rPr>
        <w:t>All agent swarms operating with normal latency (&lt;500ms), executing within standard financial authorization parameters.</w:t>
      </w:r>
    </w:p>
    <w:p>
      <w:pPr>
        <w:pStyle w:val="ListBullet"/>
        <w:spacing w:before="0" w:after="80" w:line="276" w:lineRule="auto"/>
      </w:pPr>
      <w:r>
        <w:rPr>
          <w:rFonts w:ascii="Calibri" w:hAnsi="Calibri"/>
          <w:b/>
          <w:color w:val="003366"/>
          <w:sz w:val="21"/>
        </w:rPr>
        <w:t xml:space="preserve">Level 1 (Supervised Fallback): </w:t>
      </w:r>
      <w:r>
        <w:rPr>
          <w:rFonts w:ascii="Calibri" w:hAnsi="Calibri"/>
          <w:color w:val="1E293B"/>
          <w:sz w:val="21"/>
        </w:rPr>
        <w:t>Triggered if model confidence scores drop below 85% or external data feeds fail. System automatically routes 100% of decisions to human dispatchers with pre-computed recommendations.</w:t>
      </w:r>
    </w:p>
    <w:p>
      <w:pPr>
        <w:pStyle w:val="ListBullet"/>
        <w:spacing w:before="0" w:after="80" w:line="276" w:lineRule="auto"/>
      </w:pPr>
      <w:r>
        <w:rPr>
          <w:rFonts w:ascii="Calibri" w:hAnsi="Calibri"/>
          <w:b/>
          <w:color w:val="003366"/>
          <w:sz w:val="21"/>
        </w:rPr>
        <w:t xml:space="preserve">Level 2 (Deterministic Baseline Mode): </w:t>
      </w:r>
      <w:r>
        <w:rPr>
          <w:rFonts w:ascii="Calibri" w:hAnsi="Calibri"/>
          <w:color w:val="1E293B"/>
          <w:sz w:val="21"/>
        </w:rPr>
        <w:t>Triggered during major cloud infrastructure outages or network partitions. Edge servers instantly sever external API connections and revert to hardened, deterministic heuristic replenishment rules (static min/max buffers) stored locally in SQLite caches.</w:t>
      </w:r>
    </w:p>
    <w:p>
      <w:r>
        <w:br w:type="page"/>
      </w:r>
    </w:p>
    <w:p>
      <w:pPr>
        <w:pStyle w:val="Heading1"/>
        <w:keepNext/>
        <w:spacing w:before="400" w:after="160"/>
      </w:pPr>
      <w:r>
        <w:rPr>
          <w:rFonts w:ascii="Calibri" w:hAnsi="Calibri"/>
          <w:b/>
          <w:color w:val="003366"/>
          <w:sz w:val="34"/>
        </w:rPr>
        <w:t>SECTION 8: FINANCIAL MODEL, COST-BENEFIT ANALYSIS &amp; ROI PROJECTIONS</w:t>
      </w:r>
    </w:p>
    <w:p>
      <w:pPr>
        <w:spacing w:before="0" w:after="120" w:line="276" w:lineRule="auto"/>
      </w:pPr>
      <w:r>
        <w:rPr>
          <w:rFonts w:ascii="Calibri" w:hAnsi="Calibri"/>
          <w:b/>
          <w:color w:val="0F172A"/>
          <w:sz w:val="21"/>
        </w:rPr>
        <w:t xml:space="preserve">8.1 Financial Modeling Methodology: </w:t>
      </w:r>
      <w:r>
        <w:rPr>
          <w:rFonts w:ascii="Calibri" w:hAnsi="Calibri"/>
          <w:color w:val="1E293B"/>
          <w:sz w:val="21"/>
        </w:rPr>
        <w:t>The economic viability of Project CognitiveFlow was modeled across a comprehensive 36-month horizon, incorporating conservative adoption curves, fully burdened labor costs, hardware depreciation, and cloud inference overhead. All figures are presented in USD ($).</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872"/>
        <w:gridCol w:w="1872"/>
        <w:gridCol w:w="1872"/>
        <w:gridCol w:w="1872"/>
        <w:gridCol w:w="1872"/>
      </w:tblGrid>
      <w:tr>
        <w:tc>
          <w:tcPr>
            <w:tcW w:type="dxa" w:w="3168"/>
            <w:shd w:fill="003366"/>
            <w:tcMar>
              <w:top w:w="120" w:type="dxa"/>
              <w:bottom w:w="120" w:type="dxa"/>
              <w:left w:w="140" w:type="dxa"/>
              <w:right w:w="140" w:type="dxa"/>
            </w:tcMar>
          </w:tcPr>
          <w:p>
            <w:pPr>
              <w:spacing w:before="0" w:after="0"/>
            </w:pPr>
            <w:r>
              <w:rPr>
                <w:rFonts w:ascii="Calibri" w:hAnsi="Calibri"/>
                <w:b/>
                <w:color w:val="FFFFFF"/>
                <w:sz w:val="19"/>
              </w:rPr>
              <w:t>Cost / Benefit Category</w:t>
            </w:r>
          </w:p>
        </w:tc>
        <w:tc>
          <w:tcPr>
            <w:tcW w:type="dxa" w:w="1584"/>
            <w:shd w:fill="003366"/>
            <w:tcMar>
              <w:top w:w="120" w:type="dxa"/>
              <w:bottom w:w="120" w:type="dxa"/>
              <w:left w:w="140" w:type="dxa"/>
              <w:right w:w="140" w:type="dxa"/>
            </w:tcMar>
          </w:tcPr>
          <w:p>
            <w:pPr>
              <w:spacing w:before="0" w:after="0"/>
              <w:jc w:val="right"/>
            </w:pPr>
            <w:r>
              <w:rPr>
                <w:rFonts w:ascii="Calibri" w:hAnsi="Calibri"/>
                <w:b/>
                <w:color w:val="FFFFFF"/>
                <w:sz w:val="19"/>
              </w:rPr>
              <w:t>Year 1 (Capex &amp; Setup)</w:t>
            </w:r>
          </w:p>
        </w:tc>
        <w:tc>
          <w:tcPr>
            <w:tcW w:type="dxa" w:w="1584"/>
            <w:shd w:fill="003366"/>
            <w:tcMar>
              <w:top w:w="120" w:type="dxa"/>
              <w:bottom w:w="120" w:type="dxa"/>
              <w:left w:w="140" w:type="dxa"/>
              <w:right w:w="140" w:type="dxa"/>
            </w:tcMar>
          </w:tcPr>
          <w:p>
            <w:pPr>
              <w:spacing w:before="0" w:after="0"/>
              <w:jc w:val="right"/>
            </w:pPr>
            <w:r>
              <w:rPr>
                <w:rFonts w:ascii="Calibri" w:hAnsi="Calibri"/>
                <w:b/>
                <w:color w:val="FFFFFF"/>
                <w:sz w:val="19"/>
              </w:rPr>
              <w:t>Year 2 (Scaling &amp; Rollout)</w:t>
            </w:r>
          </w:p>
        </w:tc>
        <w:tc>
          <w:tcPr>
            <w:tcW w:type="dxa" w:w="1584"/>
            <w:shd w:fill="003366"/>
            <w:tcMar>
              <w:top w:w="120" w:type="dxa"/>
              <w:bottom w:w="120" w:type="dxa"/>
              <w:left w:w="140" w:type="dxa"/>
              <w:right w:w="140" w:type="dxa"/>
            </w:tcMar>
          </w:tcPr>
          <w:p>
            <w:pPr>
              <w:spacing w:before="0" w:after="0"/>
              <w:jc w:val="right"/>
            </w:pPr>
            <w:r>
              <w:rPr>
                <w:rFonts w:ascii="Calibri" w:hAnsi="Calibri"/>
                <w:b/>
                <w:color w:val="FFFFFF"/>
                <w:sz w:val="19"/>
              </w:rPr>
              <w:t>Year 3 (Steady State)</w:t>
            </w:r>
          </w:p>
        </w:tc>
        <w:tc>
          <w:tcPr>
            <w:tcW w:type="dxa" w:w="1440"/>
            <w:shd w:fill="003366"/>
            <w:tcMar>
              <w:top w:w="120" w:type="dxa"/>
              <w:bottom w:w="120" w:type="dxa"/>
              <w:left w:w="140" w:type="dxa"/>
              <w:right w:w="140" w:type="dxa"/>
            </w:tcMar>
          </w:tcPr>
          <w:p>
            <w:pPr>
              <w:spacing w:before="0" w:after="0"/>
              <w:jc w:val="right"/>
            </w:pPr>
            <w:r>
              <w:rPr>
                <w:rFonts w:ascii="Calibri" w:hAnsi="Calibri"/>
                <w:b/>
                <w:color w:val="FFFFFF"/>
                <w:sz w:val="19"/>
              </w:rPr>
              <w:t>3-Year Cumulative Total</w:t>
            </w:r>
          </w:p>
        </w:tc>
      </w:tr>
      <w:tr>
        <w:tc>
          <w:tcPr>
            <w:tcW w:type="dxa" w:w="3168"/>
            <w:shd w:fill="FFFFFF"/>
            <w:tcMar>
              <w:top w:w="100" w:type="dxa"/>
              <w:bottom w:w="100" w:type="dxa"/>
              <w:left w:w="140" w:type="dxa"/>
              <w:right w:w="140" w:type="dxa"/>
            </w:tcMar>
          </w:tcPr>
          <w:p>
            <w:pPr>
              <w:spacing w:before="0" w:after="0" w:line="276" w:lineRule="auto"/>
            </w:pPr>
            <w:r>
              <w:rPr>
                <w:rFonts w:ascii="Calibri" w:hAnsi="Calibri"/>
                <w:color w:val="1E293B"/>
                <w:sz w:val="18"/>
              </w:rPr>
              <w:t>CAPEX: Hardware, GPUs &amp; Edge Cameras</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$2,150,000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$1,450,000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$450,000</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$4,050,000</w:t>
            </w:r>
          </w:p>
        </w:tc>
      </w:tr>
      <w:tr>
        <w:tc>
          <w:tcPr>
            <w:tcW w:type="dxa" w:w="3168"/>
            <w:shd w:fill="F8FAFC"/>
            <w:tcMar>
              <w:top w:w="100" w:type="dxa"/>
              <w:bottom w:w="100" w:type="dxa"/>
              <w:left w:w="140" w:type="dxa"/>
              <w:right w:w="140" w:type="dxa"/>
            </w:tcMar>
          </w:tcPr>
          <w:p>
            <w:pPr>
              <w:spacing w:before="0" w:after="0" w:line="276" w:lineRule="auto"/>
            </w:pPr>
            <w:r>
              <w:rPr>
                <w:rFonts w:ascii="Calibri" w:hAnsi="Calibri"/>
                <w:color w:val="1E293B"/>
                <w:sz w:val="18"/>
              </w:rPr>
              <w:t>CAPEX: Systems Integration &amp; Consulting</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$2,800,000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$1,200,000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$300,000</w:t>
            </w:r>
          </w:p>
        </w:tc>
        <w:tc>
          <w:tcPr>
            <w:tcW w:type="dxa" w:w="1440"/>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$4,300,000</w:t>
            </w:r>
          </w:p>
        </w:tc>
      </w:tr>
      <w:tr>
        <w:tc>
          <w:tcPr>
            <w:tcW w:type="dxa" w:w="3168"/>
            <w:shd w:fill="FFFFFF"/>
            <w:tcMar>
              <w:top w:w="100" w:type="dxa"/>
              <w:bottom w:w="100" w:type="dxa"/>
              <w:left w:w="140" w:type="dxa"/>
              <w:right w:w="140" w:type="dxa"/>
            </w:tcMar>
          </w:tcPr>
          <w:p>
            <w:pPr>
              <w:spacing w:before="0" w:after="0" w:line="276" w:lineRule="auto"/>
            </w:pPr>
            <w:r>
              <w:rPr>
                <w:rFonts w:ascii="Calibri" w:hAnsi="Calibri"/>
                <w:color w:val="1E293B"/>
                <w:sz w:val="18"/>
              </w:rPr>
              <w:t>OPEX: Cloud Inference &amp; GPU Compute</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$850,000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$1,420,000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$1,650,000</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$3,920,000</w:t>
            </w:r>
          </w:p>
        </w:tc>
      </w:tr>
      <w:tr>
        <w:tc>
          <w:tcPr>
            <w:tcW w:type="dxa" w:w="3168"/>
            <w:shd w:fill="F8FAFC"/>
            <w:tcMar>
              <w:top w:w="100" w:type="dxa"/>
              <w:bottom w:w="100" w:type="dxa"/>
              <w:left w:w="140" w:type="dxa"/>
              <w:right w:w="140" w:type="dxa"/>
            </w:tcMar>
          </w:tcPr>
          <w:p>
            <w:pPr>
              <w:spacing w:before="0" w:after="0" w:line="276" w:lineRule="auto"/>
            </w:pPr>
            <w:r>
              <w:rPr>
                <w:rFonts w:ascii="Calibri" w:hAnsi="Calibri"/>
                <w:color w:val="1E293B"/>
                <w:sz w:val="18"/>
              </w:rPr>
              <w:t>OPEX: Software Licenses (Snowflake/Neo4j)</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$450,000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$680,000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$720,000</w:t>
            </w:r>
          </w:p>
        </w:tc>
        <w:tc>
          <w:tcPr>
            <w:tcW w:type="dxa" w:w="1440"/>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$1,850,000</w:t>
            </w:r>
          </w:p>
        </w:tc>
      </w:tr>
      <w:tr>
        <w:tc>
          <w:tcPr>
            <w:tcW w:type="dxa" w:w="3168"/>
            <w:shd w:fill="FFFFFF"/>
            <w:tcMar>
              <w:top w:w="100" w:type="dxa"/>
              <w:bottom w:w="100" w:type="dxa"/>
              <w:left w:w="140" w:type="dxa"/>
              <w:right w:w="140" w:type="dxa"/>
            </w:tcMar>
          </w:tcPr>
          <w:p>
            <w:pPr>
              <w:spacing w:before="0" w:after="0" w:line="276" w:lineRule="auto"/>
            </w:pPr>
            <w:r>
              <w:rPr>
                <w:rFonts w:ascii="Calibri" w:hAnsi="Calibri"/>
                <w:color w:val="1E293B"/>
                <w:sz w:val="18"/>
              </w:rPr>
              <w:t>OPEX: Specialized Internal AI Talent (CoE)</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$1,850,000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$2,200,000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$2,350,000</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$6,400,000</w:t>
            </w:r>
          </w:p>
        </w:tc>
      </w:tr>
      <w:tr>
        <w:tc>
          <w:tcPr>
            <w:tcW w:type="dxa" w:w="3168"/>
            <w:shd w:fill="F8FAFC"/>
            <w:tcMar>
              <w:top w:w="100" w:type="dxa"/>
              <w:bottom w:w="100" w:type="dxa"/>
              <w:left w:w="140" w:type="dxa"/>
              <w:right w:w="140" w:type="dxa"/>
            </w:tcMar>
          </w:tcPr>
          <w:p>
            <w:pPr>
              <w:spacing w:before="0" w:after="0" w:line="276" w:lineRule="auto"/>
            </w:pPr>
            <w:r>
              <w:rPr>
                <w:rFonts w:ascii="Calibri" w:hAnsi="Calibri"/>
                <w:color w:val="1E293B"/>
                <w:sz w:val="18"/>
              </w:rPr>
              <w:t>OPEX: Change Management &amp; Reskilling</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$600,000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$450,000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$250,000</w:t>
            </w:r>
          </w:p>
        </w:tc>
        <w:tc>
          <w:tcPr>
            <w:tcW w:type="dxa" w:w="1440"/>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$1,300,000</w:t>
            </w:r>
          </w:p>
        </w:tc>
      </w:tr>
      <w:tr>
        <w:tc>
          <w:tcPr>
            <w:tcW w:type="dxa" w:w="3168"/>
            <w:shd w:fill="FFFFFF"/>
            <w:tcMar>
              <w:top w:w="100" w:type="dxa"/>
              <w:bottom w:w="100" w:type="dxa"/>
              <w:left w:w="140" w:type="dxa"/>
              <w:right w:w="140" w:type="dxa"/>
            </w:tcMar>
          </w:tcPr>
          <w:p>
            <w:pPr>
              <w:spacing w:before="0" w:after="0" w:line="276" w:lineRule="auto"/>
            </w:pPr>
            <w:r>
              <w:rPr>
                <w:rFonts w:ascii="Calibri" w:hAnsi="Calibri"/>
                <w:color w:val="1E293B"/>
                <w:sz w:val="18"/>
              </w:rPr>
              <w:t>TOTAL PROGRAM INVESTMENT (COSTS)</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$8,700,000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$7,400,000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$5,720,000</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$21,820,000</w:t>
            </w:r>
          </w:p>
        </w:tc>
      </w:tr>
      <w:tr>
        <w:tc>
          <w:tcPr>
            <w:tcW w:type="dxa" w:w="3168"/>
            <w:shd w:fill="F8FAFC"/>
            <w:tcMar>
              <w:top w:w="100" w:type="dxa"/>
              <w:bottom w:w="100" w:type="dxa"/>
              <w:left w:w="140" w:type="dxa"/>
              <w:right w:w="140" w:type="dxa"/>
            </w:tcMar>
          </w:tcPr>
          <w:p>
            <w:pPr>
              <w:spacing w:before="0" w:after="0" w:line="276" w:lineRule="auto"/>
            </w:pPr>
            <w:r>
              <w:rPr>
                <w:rFonts w:ascii="Calibri" w:hAnsi="Calibri"/>
                <w:color w:val="1E293B"/>
                <w:sz w:val="18"/>
              </w:rPr>
              <w:t>BENEFIT: Working Capital Cost of Capital Savings</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$1,200,000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$2,800,000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$3,700,000</w:t>
            </w:r>
          </w:p>
        </w:tc>
        <w:tc>
          <w:tcPr>
            <w:tcW w:type="dxa" w:w="1440"/>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$7,700,000</w:t>
            </w:r>
          </w:p>
        </w:tc>
      </w:tr>
      <w:tr>
        <w:tc>
          <w:tcPr>
            <w:tcW w:type="dxa" w:w="3168"/>
            <w:shd w:fill="FFFFFF"/>
            <w:tcMar>
              <w:top w:w="100" w:type="dxa"/>
              <w:bottom w:w="100" w:type="dxa"/>
              <w:left w:w="140" w:type="dxa"/>
              <w:right w:w="140" w:type="dxa"/>
            </w:tcMar>
          </w:tcPr>
          <w:p>
            <w:pPr>
              <w:spacing w:before="0" w:after="0" w:line="276" w:lineRule="auto"/>
            </w:pPr>
            <w:r>
              <w:rPr>
                <w:rFonts w:ascii="Calibri" w:hAnsi="Calibri"/>
                <w:color w:val="1E293B"/>
                <w:sz w:val="18"/>
              </w:rPr>
              <w:t>BENEFIT: Stockout Prevention (Margin Recapture)</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$3,400,000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$8,600,000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$12,400,000</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$24,400,000</w:t>
            </w:r>
          </w:p>
        </w:tc>
      </w:tr>
      <w:tr>
        <w:tc>
          <w:tcPr>
            <w:tcW w:type="dxa" w:w="3168"/>
            <w:shd w:fill="F8FAFC"/>
            <w:tcMar>
              <w:top w:w="100" w:type="dxa"/>
              <w:bottom w:w="100" w:type="dxa"/>
              <w:left w:w="140" w:type="dxa"/>
              <w:right w:w="140" w:type="dxa"/>
            </w:tcMar>
          </w:tcPr>
          <w:p>
            <w:pPr>
              <w:spacing w:before="0" w:after="0" w:line="276" w:lineRule="auto"/>
            </w:pPr>
            <w:r>
              <w:rPr>
                <w:rFonts w:ascii="Calibri" w:hAnsi="Calibri"/>
                <w:color w:val="1E293B"/>
                <w:sz w:val="18"/>
              </w:rPr>
              <w:t>BENEFIT: Supplier Negotiation Discount Capture</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$1,800,000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$4,800,000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$6,800,000</w:t>
            </w:r>
          </w:p>
        </w:tc>
        <w:tc>
          <w:tcPr>
            <w:tcW w:type="dxa" w:w="1440"/>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$13,400,000</w:t>
            </w:r>
          </w:p>
        </w:tc>
      </w:tr>
      <w:tr>
        <w:tc>
          <w:tcPr>
            <w:tcW w:type="dxa" w:w="3168"/>
            <w:shd w:fill="FFFFFF"/>
            <w:tcMar>
              <w:top w:w="100" w:type="dxa"/>
              <w:bottom w:w="100" w:type="dxa"/>
              <w:left w:w="140" w:type="dxa"/>
              <w:right w:w="140" w:type="dxa"/>
            </w:tcMar>
          </w:tcPr>
          <w:p>
            <w:pPr>
              <w:spacing w:before="0" w:after="0" w:line="276" w:lineRule="auto"/>
            </w:pPr>
            <w:r>
              <w:rPr>
                <w:rFonts w:ascii="Calibri" w:hAnsi="Calibri"/>
                <w:color w:val="1E293B"/>
                <w:sz w:val="18"/>
              </w:rPr>
              <w:t>BENEFIT: Labor Productivity &amp; Error Reduction</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$2,100,000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$6,400,000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$10,400,000</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$18,900,000</w:t>
            </w:r>
          </w:p>
        </w:tc>
      </w:tr>
      <w:tr>
        <w:tc>
          <w:tcPr>
            <w:tcW w:type="dxa" w:w="3168"/>
            <w:shd w:fill="F8FAFC"/>
            <w:tcMar>
              <w:top w:w="100" w:type="dxa"/>
              <w:bottom w:w="100" w:type="dxa"/>
              <w:left w:w="140" w:type="dxa"/>
              <w:right w:w="140" w:type="dxa"/>
            </w:tcMar>
          </w:tcPr>
          <w:p>
            <w:pPr>
              <w:spacing w:before="0" w:after="0" w:line="276" w:lineRule="auto"/>
            </w:pPr>
            <w:r>
              <w:rPr>
                <w:rFonts w:ascii="Calibri" w:hAnsi="Calibri"/>
                <w:color w:val="1E293B"/>
                <w:sz w:val="18"/>
              </w:rPr>
              <w:t>TOTAL VALUE DELIVERED (BENEFITS)</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$8,500,000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$22,600,000</w:t>
            </w:r>
          </w:p>
        </w:tc>
        <w:tc>
          <w:tcPr>
            <w:tcW w:type="dxa" w:w="1584"/>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$33,300,000</w:t>
            </w:r>
          </w:p>
        </w:tc>
        <w:tc>
          <w:tcPr>
            <w:tcW w:type="dxa" w:w="1440"/>
            <w:shd w:fill="F8FAFC"/>
            <w:tcMar>
              <w:top w:w="100" w:type="dxa"/>
              <w:bottom w:w="100" w:type="dxa"/>
              <w:left w:w="140" w:type="dxa"/>
              <w:right w:w="140" w:type="dxa"/>
            </w:tcMar>
          </w:tcPr>
          <w:p>
            <w:pPr>
              <w:spacing w:before="0" w:after="0" w:line="276" w:lineRule="auto"/>
              <w:jc w:val="right"/>
            </w:pPr>
            <w:r>
              <w:rPr>
                <w:rFonts w:ascii="Calibri" w:hAnsi="Calibri"/>
                <w:color w:val="1E293B"/>
                <w:sz w:val="18"/>
              </w:rPr>
              <w:t>$64,400,000</w:t>
            </w:r>
          </w:p>
        </w:tc>
      </w:tr>
      <w:tr>
        <w:tc>
          <w:tcPr>
            <w:tcW w:type="dxa" w:w="3168"/>
            <w:shd w:fill="FFFFFF"/>
            <w:tcMar>
              <w:top w:w="100" w:type="dxa"/>
              <w:bottom w:w="100" w:type="dxa"/>
              <w:left w:w="140" w:type="dxa"/>
              <w:right w:w="140" w:type="dxa"/>
            </w:tcMar>
          </w:tcPr>
          <w:p>
            <w:pPr>
              <w:spacing w:before="0" w:after="0" w:line="276" w:lineRule="auto"/>
            </w:pPr>
            <w:r>
              <w:rPr>
                <w:rFonts w:ascii="Calibri" w:hAnsi="Calibri"/>
                <w:color w:val="1E293B"/>
                <w:sz w:val="18"/>
              </w:rPr>
              <w:t>NET CASH FLOW (BENEFITS - COSTS)</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-$200,000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+$15,200,000</w:t>
            </w:r>
          </w:p>
        </w:tc>
        <w:tc>
          <w:tcPr>
            <w:tcW w:type="dxa" w:w="1584"/>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+$27,580,000</w:t>
            </w:r>
          </w:p>
        </w:tc>
        <w:tc>
          <w:tcPr>
            <w:tcW w:type="dxa" w:w="1440"/>
            <w:shd w:fill="FFFFFF"/>
            <w:tcMar>
              <w:top w:w="100" w:type="dxa"/>
              <w:bottom w:w="100" w:type="dxa"/>
              <w:left w:w="140" w:type="dxa"/>
              <w:right w:w="140" w:type="dxa"/>
            </w:tcMar>
          </w:tcPr>
          <w:p>
            <w:pPr>
              <w:spacing w:before="0" w:after="0" w:line="276" w:lineRule="auto"/>
              <w:jc w:val="right"/>
            </w:pPr>
            <w:r>
              <w:rPr>
                <w:rFonts w:ascii="Calibri" w:hAnsi="Calibri"/>
                <w:color w:val="1E293B"/>
                <w:sz w:val="18"/>
              </w:rPr>
              <w:t>+$42,580,000</w:t>
            </w:r>
          </w:p>
        </w:tc>
      </w:tr>
    </w:tbl>
    <w:p>
      <w:pPr>
        <w:spacing w:before="0" w:after="120"/>
      </w:pPr>
    </w:p>
    <w:p>
      <w:pPr>
        <w:pStyle w:val="Heading2"/>
        <w:keepNext/>
        <w:spacing w:before="280" w:after="120"/>
      </w:pPr>
      <w:r>
        <w:rPr>
          <w:rFonts w:ascii="Calibri" w:hAnsi="Calibri"/>
          <w:b/>
          <w:color w:val="1E508C"/>
          <w:sz w:val="27"/>
        </w:rPr>
        <w:t>8.2 Return on Investment (ROI) &amp; Valuation Metrics</w:t>
      </w:r>
    </w:p>
    <w:p>
      <w:pPr>
        <w:pStyle w:val="ListBullet"/>
        <w:spacing w:before="0" w:after="80" w:line="276" w:lineRule="auto"/>
      </w:pPr>
      <w:r>
        <w:rPr>
          <w:rFonts w:ascii="Calibri" w:hAnsi="Calibri"/>
          <w:b/>
          <w:color w:val="003366"/>
          <w:sz w:val="21"/>
        </w:rPr>
        <w:t xml:space="preserve">Net Present Value (NPV @ 10% Hurdle Rate): </w:t>
      </w:r>
      <w:r>
        <w:rPr>
          <w:rFonts w:ascii="Calibri" w:hAnsi="Calibri"/>
          <w:color w:val="1E293B"/>
          <w:sz w:val="21"/>
        </w:rPr>
        <w:t>$31,450,000 USD, demonstrating exceptional shareholder value accretion.</w:t>
      </w:r>
    </w:p>
    <w:p>
      <w:pPr>
        <w:pStyle w:val="ListBullet"/>
        <w:spacing w:before="0" w:after="80" w:line="276" w:lineRule="auto"/>
      </w:pPr>
      <w:r>
        <w:rPr>
          <w:rFonts w:ascii="Calibri" w:hAnsi="Calibri"/>
          <w:b/>
          <w:color w:val="003366"/>
          <w:sz w:val="21"/>
        </w:rPr>
        <w:t xml:space="preserve">Internal Rate of Return (IRR): </w:t>
      </w:r>
      <w:r>
        <w:rPr>
          <w:rFonts w:ascii="Calibri" w:hAnsi="Calibri"/>
          <w:color w:val="1E293B"/>
          <w:sz w:val="21"/>
        </w:rPr>
        <w:t>74.8%, vastly exceeding OmniVanguard's weighted average cost of capital (WACC) of 8.2%.</w:t>
      </w:r>
    </w:p>
    <w:p>
      <w:pPr>
        <w:pStyle w:val="ListBullet"/>
        <w:spacing w:before="0" w:after="80" w:line="276" w:lineRule="auto"/>
      </w:pPr>
      <w:r>
        <w:rPr>
          <w:rFonts w:ascii="Calibri" w:hAnsi="Calibri"/>
          <w:b/>
          <w:color w:val="003366"/>
          <w:sz w:val="21"/>
        </w:rPr>
        <w:t xml:space="preserve">Payback Period: </w:t>
      </w:r>
      <w:r>
        <w:rPr>
          <w:rFonts w:ascii="Calibri" w:hAnsi="Calibri"/>
          <w:color w:val="1E293B"/>
          <w:sz w:val="21"/>
        </w:rPr>
        <w:t>14.2 Months from program initiation, reaching positive cumulative cash flow within Phase 2.</w:t>
      </w:r>
    </w:p>
    <w:p>
      <w:pPr>
        <w:pStyle w:val="ListBullet"/>
        <w:spacing w:before="0" w:after="80" w:line="276" w:lineRule="auto"/>
      </w:pPr>
      <w:r>
        <w:rPr>
          <w:rFonts w:ascii="Calibri" w:hAnsi="Calibri"/>
          <w:b/>
          <w:color w:val="003366"/>
          <w:sz w:val="21"/>
        </w:rPr>
        <w:t xml:space="preserve">3-Year Net ROI Multiple: </w:t>
      </w:r>
      <w:r>
        <w:rPr>
          <w:rFonts w:ascii="Calibri" w:hAnsi="Calibri"/>
          <w:color w:val="1E293B"/>
          <w:sz w:val="21"/>
        </w:rPr>
        <w:t>284% Net Return on Invested Capital ($42.58M Net Gain on $21.82M Total Spend).</w:t>
      </w:r>
    </w:p>
    <w:p>
      <w:r>
        <w:br w:type="page"/>
      </w:r>
    </w:p>
    <w:p>
      <w:pPr>
        <w:pStyle w:val="Heading1"/>
        <w:keepNext/>
        <w:spacing w:before="400" w:after="160"/>
      </w:pPr>
      <w:r>
        <w:rPr>
          <w:rFonts w:ascii="Calibri" w:hAnsi="Calibri"/>
          <w:b/>
          <w:color w:val="003366"/>
          <w:sz w:val="34"/>
        </w:rPr>
        <w:t>SECTION 9: EXECUTIVE ACTION PLAN: THE IMMEDIATE 90-DAY TACTICAL HORIZON</w:t>
      </w:r>
    </w:p>
    <w:p>
      <w:pPr>
        <w:spacing w:before="0" w:after="120" w:line="276" w:lineRule="auto"/>
      </w:pPr>
      <w:r>
        <w:rPr>
          <w:rFonts w:ascii="Calibri" w:hAnsi="Calibri"/>
          <w:b/>
          <w:color w:val="0F172A"/>
          <w:sz w:val="21"/>
        </w:rPr>
        <w:t xml:space="preserve">9.1 The 90-Day Execution Playbook: </w:t>
      </w:r>
      <w:r>
        <w:rPr>
          <w:rFonts w:ascii="Calibri" w:hAnsi="Calibri"/>
          <w:color w:val="1E293B"/>
          <w:sz w:val="21"/>
        </w:rPr>
        <w:t>To capitalize on the strategic window of opportunity and ensure immediate organizational momentum, executive leadership must authorize the following chronological action plan across the opening 90 days: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1728"/>
            <w:shd w:fill="003366"/>
            <w:tcMar>
              <w:top w:w="120" w:type="dxa"/>
              <w:bottom w:w="120" w:type="dxa"/>
              <w:left w:w="140" w:type="dxa"/>
              <w:right w:w="140" w:type="dxa"/>
            </w:tcMar>
          </w:tcPr>
          <w:p>
            <w:pPr>
              <w:spacing w:before="0" w:after="0"/>
            </w:pPr>
            <w:r>
              <w:rPr>
                <w:rFonts w:ascii="Calibri" w:hAnsi="Calibri"/>
                <w:b/>
                <w:color w:val="FFFFFF"/>
                <w:sz w:val="19"/>
              </w:rPr>
              <w:t>Time Horizon</w:t>
            </w:r>
          </w:p>
        </w:tc>
        <w:tc>
          <w:tcPr>
            <w:tcW w:type="dxa" w:w="3312"/>
            <w:shd w:fill="003366"/>
            <w:tcMar>
              <w:top w:w="120" w:type="dxa"/>
              <w:bottom w:w="120" w:type="dxa"/>
              <w:left w:w="140" w:type="dxa"/>
              <w:right w:w="140" w:type="dxa"/>
            </w:tcMar>
          </w:tcPr>
          <w:p>
            <w:pPr>
              <w:spacing w:before="0" w:after="0"/>
            </w:pPr>
            <w:r>
              <w:rPr>
                <w:rFonts w:ascii="Calibri" w:hAnsi="Calibri"/>
                <w:b/>
                <w:color w:val="FFFFFF"/>
                <w:sz w:val="19"/>
              </w:rPr>
              <w:t>Strategic Operational Workstream</w:t>
            </w:r>
          </w:p>
        </w:tc>
        <w:tc>
          <w:tcPr>
            <w:tcW w:type="dxa" w:w="2016"/>
            <w:shd w:fill="003366"/>
            <w:tcMar>
              <w:top w:w="120" w:type="dxa"/>
              <w:bottom w:w="120" w:type="dxa"/>
              <w:left w:w="140" w:type="dxa"/>
              <w:right w:w="140" w:type="dxa"/>
            </w:tcMar>
          </w:tcPr>
          <w:p>
            <w:pPr>
              <w:spacing w:before="0" w:after="0"/>
            </w:pPr>
            <w:r>
              <w:rPr>
                <w:rFonts w:ascii="Calibri" w:hAnsi="Calibri"/>
                <w:b/>
                <w:color w:val="FFFFFF"/>
                <w:sz w:val="19"/>
              </w:rPr>
              <w:t>Responsible Stakeholder</w:t>
            </w:r>
          </w:p>
        </w:tc>
        <w:tc>
          <w:tcPr>
            <w:tcW w:type="dxa" w:w="2304"/>
            <w:shd w:fill="003366"/>
            <w:tcMar>
              <w:top w:w="120" w:type="dxa"/>
              <w:bottom w:w="120" w:type="dxa"/>
              <w:left w:w="140" w:type="dxa"/>
              <w:right w:w="140" w:type="dxa"/>
            </w:tcMar>
          </w:tcPr>
          <w:p>
            <w:pPr>
              <w:spacing w:before="0" w:after="0"/>
            </w:pPr>
            <w:r>
              <w:rPr>
                <w:rFonts w:ascii="Calibri" w:hAnsi="Calibri"/>
                <w:b/>
                <w:color w:val="FFFFFF"/>
                <w:sz w:val="19"/>
              </w:rPr>
              <w:t>Mandatory Deliverable</w:t>
            </w:r>
          </w:p>
        </w:tc>
      </w:tr>
      <w:tr>
        <w:tc>
          <w:tcPr>
            <w:tcW w:type="dxa" w:w="1728"/>
            <w:shd w:fill="FFFFFF"/>
            <w:tcMar>
              <w:top w:w="100" w:type="dxa"/>
              <w:bottom w:w="100" w:type="dxa"/>
              <w:left w:w="140" w:type="dxa"/>
              <w:right w:w="140" w:type="dxa"/>
            </w:tcMar>
          </w:tcPr>
          <w:p>
            <w:pPr>
              <w:spacing w:before="0" w:after="0" w:line="276" w:lineRule="auto"/>
            </w:pPr>
            <w:r>
              <w:rPr>
                <w:rFonts w:ascii="Calibri" w:hAnsi="Calibri"/>
                <w:color w:val="1E293B"/>
                <w:sz w:val="18"/>
              </w:rPr>
              <w:t>Weeks 1 - 2</w:t>
            </w:r>
          </w:p>
        </w:tc>
        <w:tc>
          <w:tcPr>
            <w:tcW w:type="dxa" w:w="3312"/>
            <w:shd w:fill="FFFFFF"/>
            <w:tcMar>
              <w:top w:w="100" w:type="dxa"/>
              <w:bottom w:w="100" w:type="dxa"/>
              <w:left w:w="140" w:type="dxa"/>
              <w:right w:w="140" w:type="dxa"/>
            </w:tcMar>
          </w:tcPr>
          <w:p>
            <w:pPr>
              <w:spacing w:before="0" w:after="0" w:line="276" w:lineRule="auto"/>
            </w:pPr>
            <w:r>
              <w:rPr>
                <w:rFonts w:ascii="Calibri" w:hAnsi="Calibri"/>
                <w:color w:val="1E293B"/>
                <w:sz w:val="18"/>
              </w:rPr>
              <w:t>Executive Steering Committee &amp; AI Charter Formalization</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Board, CEO, CIO, COO</w:t>
            </w:r>
          </w:p>
        </w:tc>
        <w:tc>
          <w:tcPr>
            <w:tcW w:type="dxa" w:w="2304"/>
            <w:shd w:fill="FFFFFF"/>
            <w:tcMar>
              <w:top w:w="100" w:type="dxa"/>
              <w:bottom w:w="100" w:type="dxa"/>
              <w:left w:w="140" w:type="dxa"/>
              <w:right w:w="140" w:type="dxa"/>
            </w:tcMar>
          </w:tcPr>
          <w:p>
            <w:pPr>
              <w:spacing w:before="0" w:after="0" w:line="276" w:lineRule="auto"/>
            </w:pPr>
            <w:r>
              <w:rPr>
                <w:rFonts w:ascii="Calibri" w:hAnsi="Calibri"/>
                <w:color w:val="1E293B"/>
                <w:sz w:val="18"/>
              </w:rPr>
              <w:t>Charter approved; $8.7M Year-1 budget allocated; CAIO search initiated.</w:t>
            </w:r>
          </w:p>
        </w:tc>
      </w:tr>
      <w:tr>
        <w:tc>
          <w:tcPr>
            <w:tcW w:type="dxa" w:w="1728"/>
            <w:shd w:fill="F8FAFC"/>
            <w:tcMar>
              <w:top w:w="100" w:type="dxa"/>
              <w:bottom w:w="100" w:type="dxa"/>
              <w:left w:w="140" w:type="dxa"/>
              <w:right w:w="140" w:type="dxa"/>
            </w:tcMar>
          </w:tcPr>
          <w:p>
            <w:pPr>
              <w:spacing w:before="0" w:after="0" w:line="276" w:lineRule="auto"/>
            </w:pPr>
            <w:r>
              <w:rPr>
                <w:rFonts w:ascii="Calibri" w:hAnsi="Calibri"/>
                <w:color w:val="1E293B"/>
                <w:sz w:val="18"/>
              </w:rPr>
              <w:t>Weeks 3 - 4</w:t>
            </w:r>
          </w:p>
        </w:tc>
        <w:tc>
          <w:tcPr>
            <w:tcW w:type="dxa" w:w="3312"/>
            <w:shd w:fill="F8FAFC"/>
            <w:tcMar>
              <w:top w:w="100" w:type="dxa"/>
              <w:bottom w:w="100" w:type="dxa"/>
              <w:left w:w="140" w:type="dxa"/>
              <w:right w:w="140" w:type="dxa"/>
            </w:tcMar>
          </w:tcPr>
          <w:p>
            <w:pPr>
              <w:spacing w:before="0" w:after="0" w:line="276" w:lineRule="auto"/>
            </w:pPr>
            <w:r>
              <w:rPr>
                <w:rFonts w:ascii="Calibri" w:hAnsi="Calibri"/>
                <w:color w:val="1E293B"/>
                <w:sz w:val="18"/>
              </w:rPr>
              <w:t>CISO Security &amp; Data Privacy Review</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CISO, Head of Legal</w:t>
            </w:r>
          </w:p>
        </w:tc>
        <w:tc>
          <w:tcPr>
            <w:tcW w:type="dxa" w:w="2304"/>
            <w:shd w:fill="F8FAFC"/>
            <w:tcMar>
              <w:top w:w="100" w:type="dxa"/>
              <w:bottom w:w="100" w:type="dxa"/>
              <w:left w:w="140" w:type="dxa"/>
              <w:right w:w="140" w:type="dxa"/>
            </w:tcMar>
          </w:tcPr>
          <w:p>
            <w:pPr>
              <w:spacing w:before="0" w:after="0" w:line="276" w:lineRule="auto"/>
            </w:pPr>
            <w:r>
              <w:rPr>
                <w:rFonts w:ascii="Calibri" w:hAnsi="Calibri"/>
                <w:color w:val="1E293B"/>
                <w:sz w:val="18"/>
              </w:rPr>
              <w:t>Zero-trust AI access framework approved; EU AI Act readiness baseline documented.</w:t>
            </w:r>
          </w:p>
        </w:tc>
      </w:tr>
      <w:tr>
        <w:tc>
          <w:tcPr>
            <w:tcW w:type="dxa" w:w="1728"/>
            <w:shd w:fill="FFFFFF"/>
            <w:tcMar>
              <w:top w:w="100" w:type="dxa"/>
              <w:bottom w:w="100" w:type="dxa"/>
              <w:left w:w="140" w:type="dxa"/>
              <w:right w:w="140" w:type="dxa"/>
            </w:tcMar>
          </w:tcPr>
          <w:p>
            <w:pPr>
              <w:spacing w:before="0" w:after="0" w:line="276" w:lineRule="auto"/>
            </w:pPr>
            <w:r>
              <w:rPr>
                <w:rFonts w:ascii="Calibri" w:hAnsi="Calibri"/>
                <w:color w:val="1E293B"/>
                <w:sz w:val="18"/>
              </w:rPr>
              <w:t>Weeks 5 - 6</w:t>
            </w:r>
          </w:p>
        </w:tc>
        <w:tc>
          <w:tcPr>
            <w:tcW w:type="dxa" w:w="3312"/>
            <w:shd w:fill="FFFFFF"/>
            <w:tcMar>
              <w:top w:w="100" w:type="dxa"/>
              <w:bottom w:w="100" w:type="dxa"/>
              <w:left w:w="140" w:type="dxa"/>
              <w:right w:w="140" w:type="dxa"/>
            </w:tcMar>
          </w:tcPr>
          <w:p>
            <w:pPr>
              <w:spacing w:before="0" w:after="0" w:line="276" w:lineRule="auto"/>
            </w:pPr>
            <w:r>
              <w:rPr>
                <w:rFonts w:ascii="Calibri" w:hAnsi="Calibri"/>
                <w:color w:val="1E293B"/>
                <w:sz w:val="18"/>
              </w:rPr>
              <w:t>Systems Integration &amp; Infrastructure RFP</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CIO, VP Infrastructure</w:t>
            </w:r>
          </w:p>
        </w:tc>
        <w:tc>
          <w:tcPr>
            <w:tcW w:type="dxa" w:w="2304"/>
            <w:shd w:fill="FFFFFF"/>
            <w:tcMar>
              <w:top w:w="100" w:type="dxa"/>
              <w:bottom w:w="100" w:type="dxa"/>
              <w:left w:w="140" w:type="dxa"/>
              <w:right w:w="140" w:type="dxa"/>
            </w:tcMar>
          </w:tcPr>
          <w:p>
            <w:pPr>
              <w:spacing w:before="0" w:after="0" w:line="276" w:lineRule="auto"/>
            </w:pPr>
            <w:r>
              <w:rPr>
                <w:rFonts w:ascii="Calibri" w:hAnsi="Calibri"/>
                <w:color w:val="1E293B"/>
                <w:sz w:val="18"/>
              </w:rPr>
              <w:t>Cloud provider contract finalized (AWS/Azure GPU reservations secured); RFP awarded.</w:t>
            </w:r>
          </w:p>
        </w:tc>
      </w:tr>
      <w:tr>
        <w:tc>
          <w:tcPr>
            <w:tcW w:type="dxa" w:w="1728"/>
            <w:shd w:fill="F8FAFC"/>
            <w:tcMar>
              <w:top w:w="100" w:type="dxa"/>
              <w:bottom w:w="100" w:type="dxa"/>
              <w:left w:w="140" w:type="dxa"/>
              <w:right w:w="140" w:type="dxa"/>
            </w:tcMar>
          </w:tcPr>
          <w:p>
            <w:pPr>
              <w:spacing w:before="0" w:after="0" w:line="276" w:lineRule="auto"/>
            </w:pPr>
            <w:r>
              <w:rPr>
                <w:rFonts w:ascii="Calibri" w:hAnsi="Calibri"/>
                <w:color w:val="1E293B"/>
                <w:sz w:val="18"/>
              </w:rPr>
              <w:t>Weeks 7 - 8</w:t>
            </w:r>
          </w:p>
        </w:tc>
        <w:tc>
          <w:tcPr>
            <w:tcW w:type="dxa" w:w="3312"/>
            <w:shd w:fill="F8FAFC"/>
            <w:tcMar>
              <w:top w:w="100" w:type="dxa"/>
              <w:bottom w:w="100" w:type="dxa"/>
              <w:left w:w="140" w:type="dxa"/>
              <w:right w:w="140" w:type="dxa"/>
            </w:tcMar>
          </w:tcPr>
          <w:p>
            <w:pPr>
              <w:spacing w:before="0" w:after="0" w:line="276" w:lineRule="auto"/>
            </w:pPr>
            <w:r>
              <w:rPr>
                <w:rFonts w:ascii="Calibri" w:hAnsi="Calibri"/>
                <w:color w:val="1E293B"/>
                <w:sz w:val="18"/>
              </w:rPr>
              <w:t>Phase 1 Pilot Site Selection &amp; Data Audits</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VP Supply Chain, Lead Architect</w:t>
            </w:r>
          </w:p>
        </w:tc>
        <w:tc>
          <w:tcPr>
            <w:tcW w:type="dxa" w:w="2304"/>
            <w:shd w:fill="F8FAFC"/>
            <w:tcMar>
              <w:top w:w="100" w:type="dxa"/>
              <w:bottom w:w="100" w:type="dxa"/>
              <w:left w:w="140" w:type="dxa"/>
              <w:right w:w="140" w:type="dxa"/>
            </w:tcMar>
          </w:tcPr>
          <w:p>
            <w:pPr>
              <w:spacing w:before="0" w:after="0" w:line="276" w:lineRule="auto"/>
            </w:pPr>
            <w:r>
              <w:rPr>
                <w:rFonts w:ascii="Calibri" w:hAnsi="Calibri"/>
                <w:color w:val="1E293B"/>
                <w:sz w:val="18"/>
              </w:rPr>
              <w:t>5 Pilot Distribution Centers selected; Kafka connector sandbox deployed on SAP ERP.</w:t>
            </w:r>
          </w:p>
        </w:tc>
      </w:tr>
      <w:tr>
        <w:tc>
          <w:tcPr>
            <w:tcW w:type="dxa" w:w="1728"/>
            <w:shd w:fill="FFFFFF"/>
            <w:tcMar>
              <w:top w:w="100" w:type="dxa"/>
              <w:bottom w:w="100" w:type="dxa"/>
              <w:left w:w="140" w:type="dxa"/>
              <w:right w:w="140" w:type="dxa"/>
            </w:tcMar>
          </w:tcPr>
          <w:p>
            <w:pPr>
              <w:spacing w:before="0" w:after="0" w:line="276" w:lineRule="auto"/>
            </w:pPr>
            <w:r>
              <w:rPr>
                <w:rFonts w:ascii="Calibri" w:hAnsi="Calibri"/>
                <w:color w:val="1E293B"/>
                <w:sz w:val="18"/>
              </w:rPr>
              <w:t>Weeks 9 - 10</w:t>
            </w:r>
          </w:p>
        </w:tc>
        <w:tc>
          <w:tcPr>
            <w:tcW w:type="dxa" w:w="3312"/>
            <w:shd w:fill="FFFFFF"/>
            <w:tcMar>
              <w:top w:w="100" w:type="dxa"/>
              <w:bottom w:w="100" w:type="dxa"/>
              <w:left w:w="140" w:type="dxa"/>
              <w:right w:w="140" w:type="dxa"/>
            </w:tcMar>
          </w:tcPr>
          <w:p>
            <w:pPr>
              <w:spacing w:before="0" w:after="0" w:line="276" w:lineRule="auto"/>
            </w:pPr>
            <w:r>
              <w:rPr>
                <w:rFonts w:ascii="Calibri" w:hAnsi="Calibri"/>
                <w:color w:val="1E293B"/>
                <w:sz w:val="18"/>
              </w:rPr>
              <w:t>AI Center of Excellence (CoE) Core Team Onboarding</w:t>
            </w:r>
          </w:p>
        </w:tc>
        <w:tc>
          <w:tcPr>
            <w:tcW w:type="dxa" w:w="2016"/>
            <w:shd w:fill="FFFFFF"/>
            <w:tcMar>
              <w:top w:w="100" w:type="dxa"/>
              <w:bottom w:w="100" w:type="dxa"/>
              <w:left w:w="140" w:type="dxa"/>
              <w:right w:w="140" w:type="dxa"/>
            </w:tcMar>
          </w:tcPr>
          <w:p>
            <w:pPr>
              <w:spacing w:before="0" w:after="0" w:line="276" w:lineRule="auto"/>
            </w:pPr>
            <w:r>
              <w:rPr>
                <w:rFonts w:ascii="Calibri" w:hAnsi="Calibri"/>
                <w:color w:val="1E293B"/>
                <w:sz w:val="18"/>
              </w:rPr>
              <w:t>CAIO, HR Talent Acquisition</w:t>
            </w:r>
          </w:p>
        </w:tc>
        <w:tc>
          <w:tcPr>
            <w:tcW w:type="dxa" w:w="2304"/>
            <w:shd w:fill="FFFFFF"/>
            <w:tcMar>
              <w:top w:w="100" w:type="dxa"/>
              <w:bottom w:w="100" w:type="dxa"/>
              <w:left w:w="140" w:type="dxa"/>
              <w:right w:w="140" w:type="dxa"/>
            </w:tcMar>
          </w:tcPr>
          <w:p>
            <w:pPr>
              <w:spacing w:before="0" w:after="0" w:line="276" w:lineRule="auto"/>
            </w:pPr>
            <w:r>
              <w:rPr>
                <w:rFonts w:ascii="Calibri" w:hAnsi="Calibri"/>
                <w:color w:val="1E293B"/>
                <w:sz w:val="18"/>
              </w:rPr>
              <w:t>Lead AI Architects, ML Ops leads, and Data Engineers hired and oriented.</w:t>
            </w:r>
          </w:p>
        </w:tc>
      </w:tr>
      <w:tr>
        <w:tc>
          <w:tcPr>
            <w:tcW w:type="dxa" w:w="1728"/>
            <w:shd w:fill="F8FAFC"/>
            <w:tcMar>
              <w:top w:w="100" w:type="dxa"/>
              <w:bottom w:w="100" w:type="dxa"/>
              <w:left w:w="140" w:type="dxa"/>
              <w:right w:w="140" w:type="dxa"/>
            </w:tcMar>
          </w:tcPr>
          <w:p>
            <w:pPr>
              <w:spacing w:before="0" w:after="0" w:line="276" w:lineRule="auto"/>
            </w:pPr>
            <w:r>
              <w:rPr>
                <w:rFonts w:ascii="Calibri" w:hAnsi="Calibri"/>
                <w:color w:val="1E293B"/>
                <w:sz w:val="18"/>
              </w:rPr>
              <w:t>Weeks 11 - 12</w:t>
            </w:r>
          </w:p>
        </w:tc>
        <w:tc>
          <w:tcPr>
            <w:tcW w:type="dxa" w:w="3312"/>
            <w:shd w:fill="F8FAFC"/>
            <w:tcMar>
              <w:top w:w="100" w:type="dxa"/>
              <w:bottom w:w="100" w:type="dxa"/>
              <w:left w:w="140" w:type="dxa"/>
              <w:right w:w="140" w:type="dxa"/>
            </w:tcMar>
          </w:tcPr>
          <w:p>
            <w:pPr>
              <w:spacing w:before="0" w:after="0" w:line="276" w:lineRule="auto"/>
            </w:pPr>
            <w:r>
              <w:rPr>
                <w:rFonts w:ascii="Calibri" w:hAnsi="Calibri"/>
                <w:color w:val="1E293B"/>
                <w:sz w:val="18"/>
              </w:rPr>
              <w:t>Sandbox MVP Deployment &amp; Baseline Verification</w:t>
            </w:r>
          </w:p>
        </w:tc>
        <w:tc>
          <w:tcPr>
            <w:tcW w:type="dxa" w:w="2016"/>
            <w:shd w:fill="F8FAFC"/>
            <w:tcMar>
              <w:top w:w="100" w:type="dxa"/>
              <w:bottom w:w="100" w:type="dxa"/>
              <w:left w:w="140" w:type="dxa"/>
              <w:right w:w="140" w:type="dxa"/>
            </w:tcMar>
          </w:tcPr>
          <w:p>
            <w:pPr>
              <w:spacing w:before="0" w:after="0" w:line="276" w:lineRule="auto"/>
            </w:pPr>
            <w:r>
              <w:rPr>
                <w:rFonts w:ascii="Calibri" w:hAnsi="Calibri"/>
                <w:color w:val="1E293B"/>
                <w:sz w:val="18"/>
              </w:rPr>
              <w:t>Lead Architect, Pilot DC Leads</w:t>
            </w:r>
          </w:p>
        </w:tc>
        <w:tc>
          <w:tcPr>
            <w:tcW w:type="dxa" w:w="2304"/>
            <w:shd w:fill="F8FAFC"/>
            <w:tcMar>
              <w:top w:w="100" w:type="dxa"/>
              <w:bottom w:w="100" w:type="dxa"/>
              <w:left w:w="140" w:type="dxa"/>
              <w:right w:w="140" w:type="dxa"/>
            </w:tcMar>
          </w:tcPr>
          <w:p>
            <w:pPr>
              <w:spacing w:before="0" w:after="0" w:line="276" w:lineRule="auto"/>
            </w:pPr>
            <w:r>
              <w:rPr>
                <w:rFonts w:ascii="Calibri" w:hAnsi="Calibri"/>
                <w:color w:val="1E293B"/>
                <w:sz w:val="18"/>
              </w:rPr>
              <w:t>First operational test of Demand Sensing agent against historical peak season data.</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4F7FB"/>
            <w:tcMar>
              <w:top w:w="160" w:type="dxa"/>
              <w:bottom w:w="160" w:type="dxa"/>
              <w:left w:w="240" w:type="dxa"/>
              <w:right w:w="200" w:type="dxa"/>
            </w:tcMar>
            <w:tcBorders>
              <w:left w:val="single" w:sz="24" w:space="0" w:color="003366"/>
              <w:top w:val="none"/>
              <w:right w:val="none"/>
              <w:bottom w:val="none"/>
            </w:tcBorders>
          </w:tcPr>
          <w:p>
            <w:pPr>
              <w:spacing w:before="40" w:after="60" w:line="276" w:lineRule="auto"/>
            </w:pPr>
            <w:r>
              <w:rPr>
                <w:rFonts w:ascii="Calibri" w:hAnsi="Calibri"/>
                <w:b/>
                <w:color w:val="003366"/>
                <w:sz w:val="21"/>
              </w:rPr>
              <w:t xml:space="preserve">✦ FINAL STRATEGIC DIRECTIVE: </w:t>
            </w:r>
            <w:r>
              <w:rPr>
                <w:rFonts w:ascii="Calibri" w:hAnsi="Calibri"/>
                <w:i/>
                <w:color w:val="1E293B"/>
                <w:sz w:val="20"/>
              </w:rPr>
              <w:t>The risk of inaction vastly eclipses the risk of disciplined execution. Competitors are rapidly deploying autonomous capabilities to compress supply chain costs. Executing Project CognitiveFlow ensures OmniVanguard commands a structural cost advantage and market-leading agility through the next decade.</w:t>
            </w:r>
          </w:p>
        </w:tc>
      </w:tr>
    </w:tbl>
    <w:p>
      <w:pPr>
        <w:spacing w:before="0" w:after="120"/>
      </w:pPr>
    </w:p>
    <w:p>
      <w:pPr>
        <w:pStyle w:val="Heading1"/>
        <w:keepNext/>
        <w:spacing w:before="400" w:after="160"/>
      </w:pPr>
      <w:r>
        <w:rPr>
          <w:rFonts w:ascii="Calibri" w:hAnsi="Calibri"/>
          <w:b/>
          <w:color w:val="003366"/>
          <w:sz w:val="34"/>
        </w:rPr>
        <w:t>APPENDIX: REGULATORY COMPLIANCE MAPPING (EU AI ACT &amp; NIST AI RMF)</w:t>
      </w:r>
    </w:p>
    <w:p>
      <w:pPr>
        <w:spacing w:before="0" w:after="120" w:line="276" w:lineRule="auto"/>
      </w:pPr>
      <w:r>
        <w:rPr>
          <w:rFonts w:ascii="Calibri" w:hAnsi="Calibri"/>
          <w:color w:val="1E293B"/>
          <w:sz w:val="21"/>
        </w:rPr>
        <w:t>Project CognitiveFlow incorporates comprehensive compliance controls mapped directly to international regulatory frameworks:</w:t>
      </w:r>
    </w:p>
    <w:p>
      <w:pPr>
        <w:pStyle w:val="ListBullet"/>
        <w:spacing w:before="0" w:after="80" w:line="276" w:lineRule="auto"/>
      </w:pPr>
      <w:r>
        <w:rPr>
          <w:rFonts w:ascii="Calibri" w:hAnsi="Calibri"/>
          <w:b/>
          <w:color w:val="003366"/>
          <w:sz w:val="21"/>
        </w:rPr>
        <w:t xml:space="preserve">NIST AI RMF - GOVERN 1.1: </w:t>
      </w:r>
      <w:r>
        <w:rPr>
          <w:rFonts w:ascii="Calibri" w:hAnsi="Calibri"/>
          <w:color w:val="1E293B"/>
          <w:sz w:val="21"/>
        </w:rPr>
        <w:t>Legal, risk, and technical leadership form the AI Governance Committee, holding quarterly auditing sessions on model drift, algorithmic fairness, and data provenance.</w:t>
      </w:r>
    </w:p>
    <w:p>
      <w:pPr>
        <w:pStyle w:val="ListBullet"/>
        <w:spacing w:before="0" w:after="80" w:line="276" w:lineRule="auto"/>
      </w:pPr>
      <w:r>
        <w:rPr>
          <w:rFonts w:ascii="Calibri" w:hAnsi="Calibri"/>
          <w:b/>
          <w:color w:val="003366"/>
          <w:sz w:val="21"/>
        </w:rPr>
        <w:t xml:space="preserve">NIST AI RMF - MAP 2.3: </w:t>
      </w:r>
      <w:r>
        <w:rPr>
          <w:rFonts w:ascii="Calibri" w:hAnsi="Calibri"/>
          <w:color w:val="1E293B"/>
          <w:sz w:val="21"/>
        </w:rPr>
        <w:t>Impact assessments conducted on all autonomous agentic workflows, classifying procurement negotiation and pricing agents under appropriate risk tiers.</w:t>
      </w:r>
    </w:p>
    <w:p>
      <w:pPr>
        <w:pStyle w:val="ListBullet"/>
        <w:spacing w:before="0" w:after="80" w:line="276" w:lineRule="auto"/>
      </w:pPr>
      <w:r>
        <w:rPr>
          <w:rFonts w:ascii="Calibri" w:hAnsi="Calibri"/>
          <w:b/>
          <w:color w:val="003366"/>
          <w:sz w:val="21"/>
        </w:rPr>
        <w:t xml:space="preserve">NIST AI RMF - MEASURE 2.5: </w:t>
      </w:r>
      <w:r>
        <w:rPr>
          <w:rFonts w:ascii="Calibri" w:hAnsi="Calibri"/>
          <w:color w:val="1E293B"/>
          <w:sz w:val="21"/>
        </w:rPr>
        <w:t>Continuous automated regression testing measuring hallucination rate, refusal rate, latency, and financial parameter adherence.</w:t>
      </w:r>
    </w:p>
    <w:p>
      <w:pPr>
        <w:pStyle w:val="ListBullet"/>
        <w:spacing w:before="0" w:after="80" w:line="276" w:lineRule="auto"/>
      </w:pPr>
      <w:r>
        <w:rPr>
          <w:rFonts w:ascii="Calibri" w:hAnsi="Calibri"/>
          <w:b/>
          <w:color w:val="003366"/>
          <w:sz w:val="21"/>
        </w:rPr>
        <w:t xml:space="preserve">EU AI Act - Article 14 (Human Oversight): </w:t>
      </w:r>
      <w:r>
        <w:rPr>
          <w:rFonts w:ascii="Calibri" w:hAnsi="Calibri"/>
          <w:color w:val="1E293B"/>
          <w:sz w:val="21"/>
        </w:rPr>
        <w:t>Guaranteed human-in-the-loop escalation paths for all transactions exceeding $10,000, with unilateral kill-switches accessible to warehouse supervisors.</w:t>
      </w:r>
    </w:p>
    <w:p>
      <w:pPr>
        <w:pStyle w:val="ListBullet"/>
        <w:spacing w:before="0" w:after="80" w:line="276" w:lineRule="auto"/>
      </w:pPr>
      <w:r>
        <w:rPr>
          <w:rFonts w:ascii="Calibri" w:hAnsi="Calibri"/>
          <w:b/>
          <w:color w:val="003366"/>
          <w:sz w:val="21"/>
        </w:rPr>
        <w:t xml:space="preserve">EU AI Act - Article 12 (Record-Keeping): </w:t>
      </w:r>
      <w:r>
        <w:rPr>
          <w:rFonts w:ascii="Calibri" w:hAnsi="Calibri"/>
          <w:color w:val="1E293B"/>
          <w:sz w:val="21"/>
        </w:rPr>
        <w:t>Immutable cryptographic logging of all training datasets, prompt inputs, model outputs, and execution timestamps retained for 5 years in compliant WORM storage.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