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200"/>
        <w:jc w:val="center"/>
      </w:pPr>
      <w:r>
        <w:rPr>
          <w:rFonts w:ascii="Arial" w:cs="Arial" w:eastAsia="Arial" w:hAnsi="Arial"/>
          <w:b/>
          <w:bCs/>
          <w:color w:val="1B4F72"/>
          <w:sz w:val="40"/>
          <w:szCs w:val="40"/>
        </w:rPr>
        <w:t xml:space="preserve">WEBSITE SPECIFICATION DOCUMENT</w:t>
      </w:r>
    </w:p>
    <w:p>
      <w:pPr>
        <w:spacing w:after="120"/>
        <w:jc w:val="center"/>
      </w:pPr>
      <w:r>
        <w:rPr>
          <w:rFonts w:ascii="Arial" w:cs="Arial" w:eastAsia="Arial" w:hAnsi="Arial"/>
          <w:color w:val="2E86C1"/>
          <w:sz w:val="30"/>
          <w:szCs w:val="30"/>
        </w:rPr>
        <w:t xml:space="preserve">Travel &amp; Tourism Website</w:t>
      </w:r>
    </w:p>
    <w:p>
      <w:pPr>
        <w:spacing w:after="120"/>
        <w:jc w:val="center"/>
      </w:pPr>
      <w:r>
        <w:rPr>
          <w:rFonts w:ascii="Arial" w:cs="Arial" w:eastAsia="Arial" w:hAnsi="Arial"/>
          <w:b/>
          <w:bCs/>
          <w:sz w:val="28"/>
          <w:szCs w:val="28"/>
        </w:rPr>
        <w:t xml:space="preserve">Destination: Japan</w:t>
      </w:r>
    </w:p>
    <w:p>
      <w:pPr>
        <w:spacing w:after="60"/>
      </w:pPr>
      <w:r>
        <w:t xml:space="preserve"/>
      </w:r>
    </w:p>
    <w:p>
      <w:pPr>
        <w:spacing w:after="60"/>
      </w:pPr>
      <w:r>
        <w:t xml:space="preserve"/>
      </w:r>
    </w:p>
    <w:p>
      <w:pPr>
        <w:spacing w:after="100"/>
        <w:jc w:val="center"/>
      </w:pPr>
      <w:r>
        <w:rPr>
          <w:rFonts w:ascii="Arial" w:cs="Arial" w:eastAsia="Arial" w:hAnsi="Arial"/>
          <w:sz w:val="24"/>
          <w:szCs w:val="24"/>
        </w:rPr>
        <w:t xml:space="preserve">Student Number: [YOUR STU NUMBER]</w:t>
      </w:r>
    </w:p>
    <w:p>
      <w:pPr>
        <w:spacing w:after="100"/>
        <w:jc w:val="center"/>
      </w:pPr>
      <w:r>
        <w:rPr>
          <w:rFonts w:ascii="Arial" w:cs="Arial" w:eastAsia="Arial" w:hAnsi="Arial"/>
          <w:sz w:val="24"/>
          <w:szCs w:val="24"/>
        </w:rPr>
        <w:t xml:space="preserve">Module: Introduction to Web Authoring (COM4014)</w:t>
      </w:r>
    </w:p>
    <w:p>
      <w:pPr>
        <w:spacing w:after="100"/>
        <w:jc w:val="center"/>
      </w:pPr>
      <w:r>
        <w:rPr>
          <w:rFonts w:ascii="Arial" w:cs="Arial" w:eastAsia="Arial" w:hAnsi="Arial"/>
          <w:sz w:val="24"/>
          <w:szCs w:val="24"/>
        </w:rPr>
        <w:t xml:space="preserve">Submission Deadline: [INSERT DEADLINE]</w:t>
      </w:r>
    </w:p>
    <w:p>
      <w:pPr>
        <w:spacing w:after="100"/>
        <w:jc w:val="center"/>
      </w:pPr>
      <w:r>
        <w:rPr>
          <w:rFonts w:ascii="Arial" w:cs="Arial" w:eastAsia="Arial" w:hAnsi="Arial"/>
          <w:sz w:val="24"/>
          <w:szCs w:val="24"/>
        </w:rPr>
        <w:t xml:space="preserve">Word Count: approximately 600 words</w:t>
      </w:r>
    </w:p>
    <w:p>
      <w:pPr>
        <w:spacing w:after="60"/>
      </w:pPr>
      <w:r>
        <w:t xml:space="preserve"/>
      </w:r>
    </w:p>
    <w:p>
      <w:r>
        <w:br w:type="page"/>
      </w:r>
    </w:p>
    <w:p>
      <w:pPr>
        <w:pStyle w:val="Heading1"/>
        <w:spacing w:after="120" w:before="360"/>
      </w:pPr>
      <w:r>
        <w:rPr>
          <w:rFonts w:ascii="Arial" w:cs="Arial" w:eastAsia="Arial" w:hAnsi="Arial"/>
          <w:b/>
          <w:bCs/>
          <w:color w:val="1B4F72"/>
          <w:sz w:val="28"/>
          <w:szCs w:val="28"/>
        </w:rPr>
        <w:t xml:space="preserve">1. Website Objective / Goals</w:t>
      </w:r>
    </w:p>
    <w:p>
      <w:pPr>
        <w:spacing w:after="100"/>
      </w:pPr>
      <w:r>
        <w:rPr>
          <w:rFonts w:ascii="Arial" w:cs="Arial" w:eastAsia="Arial" w:hAnsi="Arial"/>
          <w:b w:val="false"/>
          <w:bCs w:val="false"/>
          <w:sz w:val="22"/>
          <w:szCs w:val="22"/>
        </w:rPr>
        <w:t xml:space="preserve">WanderJapan is a travel and tourism website dedicated to helping visitors plan an unforgettable trip to Japan. The site serves as a comprehensive destination guide covering culture, itineraries, practical travel tips, top attractions and local experiences.</w:t>
      </w:r>
    </w:p>
    <w:p>
      <w:pPr>
        <w:spacing w:after="60"/>
      </w:pPr>
      <w:r>
        <w:t xml:space="preserve"/>
      </w:r>
    </w:p>
    <w:p>
      <w:pPr>
        <w:spacing w:after="100"/>
      </w:pPr>
      <w:r>
        <w:rPr>
          <w:rFonts w:ascii="Arial" w:cs="Arial" w:eastAsia="Arial" w:hAnsi="Arial"/>
          <w:b/>
          <w:bCs/>
          <w:sz w:val="22"/>
          <w:szCs w:val="22"/>
        </w:rPr>
        <w:t xml:space="preserve">The primary goals of the website are:</w:t>
      </w:r>
    </w:p>
    <w:p>
      <w:pPr>
        <w:pStyle w:val="ListParagraph"/>
        <w:numPr>
          <w:ilvl w:val="0"/>
          <w:numId w:val="2"/>
        </w:numPr>
        <w:spacing w:after="60"/>
      </w:pPr>
      <w:r>
        <w:rPr>
          <w:rFonts w:ascii="Arial" w:cs="Arial" w:eastAsia="Arial" w:hAnsi="Arial"/>
          <w:sz w:val="22"/>
          <w:szCs w:val="22"/>
        </w:rPr>
        <w:t xml:space="preserve">Inspire potential visitors with vivid destination content, photography and local insights.</w:t>
      </w:r>
    </w:p>
    <w:p>
      <w:pPr>
        <w:pStyle w:val="ListParagraph"/>
        <w:numPr>
          <w:ilvl w:val="0"/>
          <w:numId w:val="2"/>
        </w:numPr>
        <w:spacing w:after="60"/>
      </w:pPr>
      <w:r>
        <w:rPr>
          <w:rFonts w:ascii="Arial" w:cs="Arial" w:eastAsia="Arial" w:hAnsi="Arial"/>
          <w:sz w:val="22"/>
          <w:szCs w:val="22"/>
        </w:rPr>
        <w:t xml:space="preserve">Provide practical, up-to-date travel information including visa requirements, transport options and accommodation guidance.</w:t>
      </w:r>
    </w:p>
    <w:p>
      <w:pPr>
        <w:pStyle w:val="ListParagraph"/>
        <w:numPr>
          <w:ilvl w:val="0"/>
          <w:numId w:val="2"/>
        </w:numPr>
        <w:spacing w:after="60"/>
      </w:pPr>
      <w:r>
        <w:rPr>
          <w:rFonts w:ascii="Arial" w:cs="Arial" w:eastAsia="Arial" w:hAnsi="Arial"/>
          <w:sz w:val="22"/>
          <w:szCs w:val="22"/>
        </w:rPr>
        <w:t xml:space="preserve">Offer curated itineraries for different trip lengths (e.g. 7-day, 14-day tours).</w:t>
      </w:r>
    </w:p>
    <w:p>
      <w:pPr>
        <w:pStyle w:val="ListParagraph"/>
        <w:numPr>
          <w:ilvl w:val="0"/>
          <w:numId w:val="2"/>
        </w:numPr>
        <w:spacing w:after="60"/>
      </w:pPr>
      <w:r>
        <w:rPr>
          <w:rFonts w:ascii="Arial" w:cs="Arial" w:eastAsia="Arial" w:hAnsi="Arial"/>
          <w:sz w:val="22"/>
          <w:szCs w:val="22"/>
        </w:rPr>
        <w:t xml:space="preserve">Enable users to submit travel enquiries or newsletter sign-ups through an interactive form.</w:t>
      </w:r>
    </w:p>
    <w:p>
      <w:pPr>
        <w:pStyle w:val="ListParagraph"/>
        <w:numPr>
          <w:ilvl w:val="0"/>
          <w:numId w:val="2"/>
        </w:numPr>
        <w:spacing w:after="60"/>
      </w:pPr>
      <w:r>
        <w:rPr>
          <w:rFonts w:ascii="Arial" w:cs="Arial" w:eastAsia="Arial" w:hAnsi="Arial"/>
          <w:sz w:val="22"/>
          <w:szCs w:val="22"/>
        </w:rPr>
        <w:t xml:space="preserve">Present Japan's diverse regions — from the neon lights of Tokyo to the temples of Kyoto and the beaches of Okinawa.</w:t>
      </w:r>
    </w:p>
    <w:p>
      <w:pPr>
        <w:pStyle w:val="ListParagraph"/>
        <w:numPr>
          <w:ilvl w:val="0"/>
          <w:numId w:val="2"/>
        </w:numPr>
        <w:spacing w:after="60"/>
      </w:pPr>
      <w:r>
        <w:rPr>
          <w:rFonts w:ascii="Arial" w:cs="Arial" w:eastAsia="Arial" w:hAnsi="Arial"/>
          <w:sz w:val="22"/>
          <w:szCs w:val="22"/>
        </w:rPr>
        <w:t xml:space="preserve">Promote responsible and sustainable tourism practices.</w:t>
      </w:r>
    </w:p>
    <w:p>
      <w:pPr>
        <w:spacing w:after="60"/>
      </w:pPr>
      <w:r>
        <w:t xml:space="preserve"/>
      </w:r>
    </w:p>
    <w:p>
      <w:pPr>
        <w:pStyle w:val="Heading1"/>
        <w:spacing w:after="120" w:before="360"/>
      </w:pPr>
      <w:r>
        <w:rPr>
          <w:rFonts w:ascii="Arial" w:cs="Arial" w:eastAsia="Arial" w:hAnsi="Arial"/>
          <w:b/>
          <w:bCs/>
          <w:color w:val="1B4F72"/>
          <w:sz w:val="28"/>
          <w:szCs w:val="28"/>
        </w:rPr>
        <w:t xml:space="preserve">2. Key Audiences</w:t>
      </w:r>
    </w:p>
    <w:p>
      <w:pPr>
        <w:spacing w:after="100"/>
      </w:pPr>
      <w:r>
        <w:rPr>
          <w:rFonts w:ascii="Arial" w:cs="Arial" w:eastAsia="Arial" w:hAnsi="Arial"/>
          <w:b w:val="false"/>
          <w:bCs w:val="false"/>
          <w:sz w:val="22"/>
          <w:szCs w:val="22"/>
        </w:rPr>
        <w:t xml:space="preserve">The website targets three primary audience groups: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Audience</w:t>
            </w:r>
          </w:p>
        </w:tc>
        <w:tc>
          <w:tcPr>
            <w:tcW w:type="dxa" w:w="3263"/>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3263"/>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Key Needs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First-time travellers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Adults 25–45, planning first visit to Japan</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Itineraries, visa info, budgeting tips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Culture enthusiasts</w:t>
            </w:r>
          </w:p>
        </w:tc>
        <w:tc>
          <w:tcPr>
            <w:tcW w:type="dxa" w:w="32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History/art lovers, anime/manga fans</w:t>
            </w:r>
          </w:p>
        </w:tc>
        <w:tc>
          <w:tcPr>
            <w:tcW w:type="dxa" w:w="326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Cultural sites, seasonal events, local customs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Budget backpackers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18–30, solo or group travel on a budget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Cheap eats, hostels, free attractions</w:t>
            </w:r>
          </w:p>
        </w:tc>
      </w:tr>
    </w:tbl>
    <w:p>
      <w:pPr>
        <w:spacing w:after="60"/>
      </w:pPr>
      <w:r>
        <w:t xml:space="preserve"/>
      </w:r>
    </w:p>
    <w:p>
      <w:pPr>
        <w:pStyle w:val="Heading1"/>
        <w:spacing w:after="120" w:before="360"/>
      </w:pPr>
      <w:r>
        <w:rPr>
          <w:rFonts w:ascii="Arial" w:cs="Arial" w:eastAsia="Arial" w:hAnsi="Arial"/>
          <w:b/>
          <w:bCs/>
          <w:color w:val="1B4F72"/>
          <w:sz w:val="28"/>
          <w:szCs w:val="28"/>
        </w:rPr>
        <w:t xml:space="preserve">3. Provisional Site Structure</w:t>
      </w:r>
    </w:p>
    <w:p>
      <w:pPr>
        <w:spacing w:after="100"/>
      </w:pPr>
      <w:r>
        <w:rPr>
          <w:rFonts w:ascii="Arial" w:cs="Arial" w:eastAsia="Arial" w:hAnsi="Arial"/>
          <w:b w:val="false"/>
          <w:bCs w:val="false"/>
          <w:sz w:val="22"/>
          <w:szCs w:val="22"/>
        </w:rPr>
        <w:t xml:space="preserve">The website will consist of the following six pages, linked via a consistent navigation bar: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Page</w:t>
            </w:r>
          </w:p>
        </w:tc>
        <w:tc>
          <w:tcPr>
            <w:tcW w:type="dxa" w:w="35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c>
          <w:tcPr>
            <w:tcW w:type="dxa" w:w="3526"/>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Key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Home (index.html)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Welcome page &amp; destination overview</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Hero banner, intro text, featured destinations, call to action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Destinations (destinations.html)</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Explore Japan's top regions</w:t>
            </w:r>
          </w:p>
        </w:tc>
        <w:tc>
          <w:tcPr>
            <w:tcW w:type="dxa" w:w="3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Tokyo, Kyoto, Osaka, Hiroshima, Okinawa cards with images &amp; descriptions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Itineraries (itineraries.html)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Ready-made travel plans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7-day &amp; 14-day itinerary timelines, downloadable PDF links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Travel Tips (tips.html)</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Practical visitor guidance</w:t>
            </w:r>
          </w:p>
        </w:tc>
        <w:tc>
          <w:tcPr>
            <w:tcW w:type="dxa" w:w="3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Visa info, JR Pass, currency, etiquette, best seasons to visit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Gallery (gallery.html)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Visual inspiration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Photo grid of landscapes, food, culture, festivals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Contact / Enquiry (contact.html)</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User interaction via form</w:t>
            </w:r>
          </w:p>
        </w:tc>
        <w:tc>
          <w:tcPr>
            <w:tcW w:type="dxa" w:w="3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Enquiry form: name, email, travel dates, destination preference, message</w:t>
            </w:r>
          </w:p>
        </w:tc>
      </w:tr>
    </w:tbl>
    <w:p>
      <w:pPr>
        <w:spacing w:after="60"/>
      </w:pPr>
      <w:r>
        <w:t xml:space="preserve"/>
      </w:r>
    </w:p>
    <w:p>
      <w:pPr>
        <w:pStyle w:val="Heading1"/>
        <w:spacing w:after="120" w:before="360"/>
      </w:pPr>
      <w:r>
        <w:rPr>
          <w:rFonts w:ascii="Arial" w:cs="Arial" w:eastAsia="Arial" w:hAnsi="Arial"/>
          <w:b/>
          <w:bCs/>
          <w:color w:val="1B4F72"/>
          <w:sz w:val="28"/>
          <w:szCs w:val="28"/>
        </w:rPr>
        <w:t xml:space="preserve">4. Functional Specification</w:t>
      </w:r>
    </w:p>
    <w:p>
      <w:pPr>
        <w:spacing w:after="100"/>
      </w:pPr>
      <w:r>
        <w:rPr>
          <w:rFonts w:ascii="Arial" w:cs="Arial" w:eastAsia="Arial" w:hAnsi="Arial"/>
          <w:b w:val="false"/>
          <w:bCs w:val="false"/>
          <w:sz w:val="22"/>
          <w:szCs w:val="22"/>
        </w:rPr>
        <w:t xml:space="preserve">The website will deliver the following functional features:</w:t>
      </w:r>
    </w:p>
    <w:p>
      <w:pPr>
        <w:spacing w:after="60"/>
      </w:pPr>
      <w:r>
        <w:t xml:space="preserve"/>
      </w:r>
    </w:p>
    <w:p>
      <w:pPr>
        <w:pStyle w:val="Heading2"/>
        <w:spacing w:after="80" w:before="240"/>
      </w:pPr>
      <w:r>
        <w:rPr>
          <w:rFonts w:ascii="Arial" w:cs="Arial" w:eastAsia="Arial" w:hAnsi="Arial"/>
          <w:b/>
          <w:bCs/>
          <w:color w:val="2E86C1"/>
          <w:sz w:val="24"/>
          <w:szCs w:val="24"/>
        </w:rPr>
        <w:t xml:space="preserve">4.1 Navigation</w:t>
      </w:r>
    </w:p>
    <w:p>
      <w:pPr>
        <w:pStyle w:val="ListParagraph"/>
        <w:numPr>
          <w:ilvl w:val="0"/>
          <w:numId w:val="2"/>
        </w:numPr>
        <w:spacing w:after="60"/>
      </w:pPr>
      <w:r>
        <w:rPr>
          <w:rFonts w:ascii="Arial" w:cs="Arial" w:eastAsia="Arial" w:hAnsi="Arial"/>
          <w:sz w:val="22"/>
          <w:szCs w:val="22"/>
        </w:rPr>
        <w:t xml:space="preserve">A fixed top navigation bar present on all pages, containing links to all six pages.</w:t>
      </w:r>
    </w:p>
    <w:p>
      <w:pPr>
        <w:pStyle w:val="ListParagraph"/>
        <w:numPr>
          <w:ilvl w:val="0"/>
          <w:numId w:val="2"/>
        </w:numPr>
        <w:spacing w:after="60"/>
      </w:pPr>
      <w:r>
        <w:rPr>
          <w:rFonts w:ascii="Arial" w:cs="Arial" w:eastAsia="Arial" w:hAnsi="Arial"/>
          <w:sz w:val="22"/>
          <w:szCs w:val="22"/>
        </w:rPr>
        <w:t xml:space="preserve">Active page highlighting so users can identify their current location.</w:t>
      </w:r>
    </w:p>
    <w:p>
      <w:pPr>
        <w:pStyle w:val="ListParagraph"/>
        <w:numPr>
          <w:ilvl w:val="0"/>
          <w:numId w:val="2"/>
        </w:numPr>
        <w:spacing w:after="60"/>
      </w:pPr>
      <w:r>
        <w:rPr>
          <w:rFonts w:ascii="Arial" w:cs="Arial" w:eastAsia="Arial" w:hAnsi="Arial"/>
          <w:sz w:val="22"/>
          <w:szCs w:val="22"/>
        </w:rPr>
        <w:t xml:space="preserve">Responsive hamburger menu on mobile screen sizes using CSS only.</w:t>
      </w:r>
    </w:p>
    <w:p>
      <w:pPr>
        <w:spacing w:after="60"/>
      </w:pPr>
      <w:r>
        <w:t xml:space="preserve"/>
      </w:r>
    </w:p>
    <w:p>
      <w:pPr>
        <w:pStyle w:val="Heading2"/>
        <w:spacing w:after="80" w:before="240"/>
      </w:pPr>
      <w:r>
        <w:rPr>
          <w:rFonts w:ascii="Arial" w:cs="Arial" w:eastAsia="Arial" w:hAnsi="Arial"/>
          <w:b/>
          <w:bCs/>
          <w:color w:val="2E86C1"/>
          <w:sz w:val="24"/>
          <w:szCs w:val="24"/>
        </w:rPr>
        <w:t xml:space="preserve">4.2 Content Pages</w:t>
      </w:r>
    </w:p>
    <w:p>
      <w:pPr>
        <w:pStyle w:val="ListParagraph"/>
        <w:numPr>
          <w:ilvl w:val="0"/>
          <w:numId w:val="2"/>
        </w:numPr>
        <w:spacing w:after="60"/>
      </w:pPr>
      <w:r>
        <w:rPr>
          <w:rFonts w:ascii="Arial" w:cs="Arial" w:eastAsia="Arial" w:hAnsi="Arial"/>
          <w:sz w:val="22"/>
          <w:szCs w:val="22"/>
        </w:rPr>
        <w:t xml:space="preserve">All pages will use a consistent header and footer for brand coherence.</w:t>
      </w:r>
    </w:p>
    <w:p>
      <w:pPr>
        <w:pStyle w:val="ListParagraph"/>
        <w:numPr>
          <w:ilvl w:val="0"/>
          <w:numId w:val="2"/>
        </w:numPr>
        <w:spacing w:after="60"/>
      </w:pPr>
      <w:r>
        <w:rPr>
          <w:rFonts w:ascii="Arial" w:cs="Arial" w:eastAsia="Arial" w:hAnsi="Arial"/>
          <w:sz w:val="22"/>
          <w:szCs w:val="22"/>
        </w:rPr>
        <w:t xml:space="preserve">Images will include descriptive alt text for accessibility (WCAG 2.1 AA compliance).</w:t>
      </w:r>
    </w:p>
    <w:p>
      <w:pPr>
        <w:pStyle w:val="ListParagraph"/>
        <w:numPr>
          <w:ilvl w:val="0"/>
          <w:numId w:val="2"/>
        </w:numPr>
        <w:spacing w:after="60"/>
      </w:pPr>
      <w:r>
        <w:rPr>
          <w:rFonts w:ascii="Arial" w:cs="Arial" w:eastAsia="Arial" w:hAnsi="Arial"/>
          <w:sz w:val="22"/>
          <w:szCs w:val="22"/>
        </w:rPr>
        <w:t xml:space="preserve">The gallery page will use a CSS grid layout with hover effects.</w:t>
      </w:r>
    </w:p>
    <w:p>
      <w:pPr>
        <w:spacing w:after="60"/>
      </w:pPr>
      <w:r>
        <w:t xml:space="preserve"/>
      </w:r>
    </w:p>
    <w:p>
      <w:pPr>
        <w:pStyle w:val="Heading2"/>
        <w:spacing w:after="80" w:before="240"/>
      </w:pPr>
      <w:r>
        <w:rPr>
          <w:rFonts w:ascii="Arial" w:cs="Arial" w:eastAsia="Arial" w:hAnsi="Arial"/>
          <w:b/>
          <w:bCs/>
          <w:color w:val="2E86C1"/>
          <w:sz w:val="24"/>
          <w:szCs w:val="24"/>
        </w:rPr>
        <w:t xml:space="preserve">4.3 Contact Form</w:t>
      </w:r>
    </w:p>
    <w:p>
      <w:pPr>
        <w:pStyle w:val="ListParagraph"/>
        <w:numPr>
          <w:ilvl w:val="0"/>
          <w:numId w:val="2"/>
        </w:numPr>
        <w:spacing w:after="60"/>
      </w:pPr>
      <w:r>
        <w:rPr>
          <w:rFonts w:ascii="Arial" w:cs="Arial" w:eastAsia="Arial" w:hAnsi="Arial"/>
          <w:sz w:val="22"/>
          <w:szCs w:val="22"/>
        </w:rPr>
        <w:t xml:space="preserve">Fields: Full Name (text), Email Address (email), Preferred Travel Month (select), Destination of Interest (checkbox group), Budget Range (radio buttons), Message/Enquiry (textarea).</w:t>
      </w:r>
    </w:p>
    <w:p>
      <w:pPr>
        <w:pStyle w:val="ListParagraph"/>
        <w:numPr>
          <w:ilvl w:val="0"/>
          <w:numId w:val="2"/>
        </w:numPr>
        <w:spacing w:after="60"/>
      </w:pPr>
      <w:r>
        <w:rPr>
          <w:rFonts w:ascii="Arial" w:cs="Arial" w:eastAsia="Arial" w:hAnsi="Arial"/>
          <w:sz w:val="22"/>
          <w:szCs w:val="22"/>
        </w:rPr>
        <w:t xml:space="preserve">HTML5 required attributes for basic client-side validation.</w:t>
      </w:r>
    </w:p>
    <w:p>
      <w:pPr>
        <w:pStyle w:val="ListParagraph"/>
        <w:numPr>
          <w:ilvl w:val="0"/>
          <w:numId w:val="2"/>
        </w:numPr>
        <w:spacing w:after="60"/>
      </w:pPr>
      <w:r>
        <w:rPr>
          <w:rFonts w:ascii="Arial" w:cs="Arial" w:eastAsia="Arial" w:hAnsi="Arial"/>
          <w:sz w:val="22"/>
          <w:szCs w:val="22"/>
        </w:rPr>
        <w:t xml:space="preserve">Clear submit button with visual feedback styling.</w:t>
      </w:r>
    </w:p>
    <w:p>
      <w:pPr>
        <w:spacing w:after="60"/>
      </w:pPr>
      <w:r>
        <w:t xml:space="preserve"/>
      </w:r>
    </w:p>
    <w:p>
      <w:pPr>
        <w:pStyle w:val="Heading2"/>
        <w:spacing w:after="80" w:before="240"/>
      </w:pPr>
      <w:r>
        <w:rPr>
          <w:rFonts w:ascii="Arial" w:cs="Arial" w:eastAsia="Arial" w:hAnsi="Arial"/>
          <w:b/>
          <w:bCs/>
          <w:color w:val="2E86C1"/>
          <w:sz w:val="24"/>
          <w:szCs w:val="24"/>
        </w:rPr>
        <w:t xml:space="preserve">4.4 Accessibility &amp; Performance</w:t>
      </w:r>
    </w:p>
    <w:p>
      <w:pPr>
        <w:pStyle w:val="ListParagraph"/>
        <w:numPr>
          <w:ilvl w:val="0"/>
          <w:numId w:val="2"/>
        </w:numPr>
        <w:spacing w:after="60"/>
      </w:pPr>
      <w:r>
        <w:rPr>
          <w:rFonts w:ascii="Arial" w:cs="Arial" w:eastAsia="Arial" w:hAnsi="Arial"/>
          <w:sz w:val="22"/>
          <w:szCs w:val="22"/>
        </w:rPr>
        <w:t xml:space="preserve">Semantic HTML5 elements: &lt;header&gt;, &lt;nav&gt;, &lt;main&gt;, &lt;section&gt;, &lt;article&gt;, &lt;footer&gt;.</w:t>
      </w:r>
    </w:p>
    <w:p>
      <w:pPr>
        <w:pStyle w:val="ListParagraph"/>
        <w:numPr>
          <w:ilvl w:val="0"/>
          <w:numId w:val="2"/>
        </w:numPr>
        <w:spacing w:after="60"/>
      </w:pPr>
      <w:r>
        <w:rPr>
          <w:rFonts w:ascii="Arial" w:cs="Arial" w:eastAsia="Arial" w:hAnsi="Arial"/>
          <w:sz w:val="22"/>
          <w:szCs w:val="22"/>
        </w:rPr>
        <w:t xml:space="preserve">Sufficient colour contrast ratios meeting WCAG 2.1 Level AA standards.</w:t>
      </w:r>
    </w:p>
    <w:p>
      <w:pPr>
        <w:pStyle w:val="ListParagraph"/>
        <w:numPr>
          <w:ilvl w:val="0"/>
          <w:numId w:val="2"/>
        </w:numPr>
        <w:spacing w:after="60"/>
      </w:pPr>
      <w:r>
        <w:rPr>
          <w:rFonts w:ascii="Arial" w:cs="Arial" w:eastAsia="Arial" w:hAnsi="Arial"/>
          <w:sz w:val="22"/>
          <w:szCs w:val="22"/>
        </w:rPr>
        <w:t xml:space="preserve">Skip-to-main-content link for keyboard/screen reader users.</w:t>
      </w:r>
    </w:p>
    <w:p>
      <w:pPr>
        <w:pStyle w:val="ListParagraph"/>
        <w:numPr>
          <w:ilvl w:val="0"/>
          <w:numId w:val="2"/>
        </w:numPr>
        <w:spacing w:after="60"/>
      </w:pPr>
      <w:r>
        <w:rPr>
          <w:rFonts w:ascii="Arial" w:cs="Arial" w:eastAsia="Arial" w:hAnsi="Arial"/>
          <w:sz w:val="22"/>
          <w:szCs w:val="22"/>
        </w:rPr>
        <w:t xml:space="preserve">All images optimised and include meaningful alt attributes.</w:t>
      </w:r>
    </w:p>
    <w:p>
      <w:pPr>
        <w:spacing w:after="60"/>
      </w:pPr>
      <w:r>
        <w:t xml:space="preserve"/>
      </w:r>
    </w:p>
    <w:p>
      <w:pPr>
        <w:pStyle w:val="Heading1"/>
        <w:spacing w:after="120" w:before="360"/>
      </w:pPr>
      <w:r>
        <w:rPr>
          <w:rFonts w:ascii="Arial" w:cs="Arial" w:eastAsia="Arial" w:hAnsi="Arial"/>
          <w:b/>
          <w:bCs/>
          <w:color w:val="1B4F72"/>
          <w:sz w:val="28"/>
          <w:szCs w:val="28"/>
        </w:rPr>
        <w:t xml:space="preserve">5. Website Comparison</w:t>
      </w:r>
    </w:p>
    <w:p>
      <w:pPr>
        <w:spacing w:after="100"/>
      </w:pPr>
      <w:r>
        <w:rPr>
          <w:rFonts w:ascii="Arial" w:cs="Arial" w:eastAsia="Arial" w:hAnsi="Arial"/>
          <w:b w:val="false"/>
          <w:bCs w:val="false"/>
          <w:sz w:val="22"/>
          <w:szCs w:val="22"/>
        </w:rPr>
        <w:t xml:space="preserve">Three existing travel and tourism websites were reviewed to inform the design, usability and accessibility approach of WanderJapan:</w:t>
      </w:r>
    </w:p>
    <w:p>
      <w:pPr>
        <w:spacing w:after="60"/>
      </w:pPr>
      <w:r>
        <w:t xml:space="preserve"/>
      </w:r>
    </w:p>
    <w:p>
      <w:pPr>
        <w:pStyle w:val="Heading2"/>
        <w:spacing w:after="80" w:before="240"/>
      </w:pPr>
      <w:r>
        <w:rPr>
          <w:rFonts w:ascii="Arial" w:cs="Arial" w:eastAsia="Arial" w:hAnsi="Arial"/>
          <w:b/>
          <w:bCs/>
          <w:color w:val="2E86C1"/>
          <w:sz w:val="24"/>
          <w:szCs w:val="24"/>
        </w:rPr>
        <w:t xml:space="preserve">5.1 VisitBritain — www.visitbritain.com</w:t>
      </w:r>
    </w:p>
    <w:p>
      <w:pPr>
        <w:spacing w:after="100"/>
      </w:pPr>
      <w:r>
        <w:rPr>
          <w:rFonts w:ascii="Arial" w:cs="Arial" w:eastAsia="Arial" w:hAnsi="Arial"/>
          <w:b w:val="false"/>
          <w:bCs w:val="false"/>
          <w:sz w:val="22"/>
          <w:szCs w:val="22"/>
        </w:rPr>
        <w:t xml:space="preserve">Design: VisitBritain uses a clean, modern layout with large hero images that immediately immerse the visitor in the destination. The colour palette is neutral with subtle brand accents. Typography is legible with clear hierarchy between headings and body text. The site makes strong use of cards to present destination categories.</w:t>
      </w:r>
    </w:p>
    <w:p>
      <w:pPr>
        <w:spacing w:after="100"/>
      </w:pPr>
      <w:r>
        <w:rPr>
          <w:rFonts w:ascii="Arial" w:cs="Arial" w:eastAsia="Arial" w:hAnsi="Arial"/>
          <w:b w:val="false"/>
          <w:bCs w:val="false"/>
          <w:sz w:val="22"/>
          <w:szCs w:val="22"/>
        </w:rPr>
        <w:t xml:space="preserve">Usability: Navigation is intuitive with a mega-menu that groups content logically. A prominent search bar aids discoverability. The site performs well on mobile — responsive breakpoints are handled smoothly.</w:t>
      </w:r>
    </w:p>
    <w:p>
      <w:pPr>
        <w:spacing w:after="100"/>
      </w:pPr>
      <w:r>
        <w:rPr>
          <w:rFonts w:ascii="Arial" w:cs="Arial" w:eastAsia="Arial" w:hAnsi="Arial"/>
          <w:b w:val="false"/>
          <w:bCs w:val="false"/>
          <w:sz w:val="22"/>
          <w:szCs w:val="22"/>
        </w:rPr>
        <w:t xml:space="preserve">Accessibility: The site includes skip navigation links and sufficient alt text on images. ARIA landmarks are used appropriately. Colour contrast meets WCAG AA in most areas. One noted issue is that some CTA buttons use low-contrast text over image overlays.</w:t>
      </w:r>
    </w:p>
    <w:p>
      <w:pPr>
        <w:spacing w:after="100"/>
      </w:pPr>
      <w:r>
        <w:rPr>
          <w:rFonts w:ascii="Arial" w:cs="Arial" w:eastAsia="Arial" w:hAnsi="Arial"/>
          <w:b w:val="false"/>
          <w:bCs w:val="false"/>
          <w:sz w:val="22"/>
          <w:szCs w:val="22"/>
        </w:rPr>
        <w:t xml:space="preserve">URL: https://www.visitbritain.com</w:t>
      </w:r>
    </w:p>
    <w:p>
      <w:pPr>
        <w:spacing w:after="60"/>
      </w:pPr>
      <w:r>
        <w:t xml:space="preserve"/>
      </w:r>
    </w:p>
    <w:p>
      <w:pPr>
        <w:pStyle w:val="Heading2"/>
        <w:spacing w:after="80" w:before="240"/>
      </w:pPr>
      <w:r>
        <w:rPr>
          <w:rFonts w:ascii="Arial" w:cs="Arial" w:eastAsia="Arial" w:hAnsi="Arial"/>
          <w:b/>
          <w:bCs/>
          <w:color w:val="2E86C1"/>
          <w:sz w:val="24"/>
          <w:szCs w:val="24"/>
        </w:rPr>
        <w:t xml:space="preserve">5.2 Japan National Tourism Organization — www.japan.travel</w:t>
      </w:r>
    </w:p>
    <w:p>
      <w:pPr>
        <w:spacing w:after="100"/>
      </w:pPr>
      <w:r>
        <w:rPr>
          <w:rFonts w:ascii="Arial" w:cs="Arial" w:eastAsia="Arial" w:hAnsi="Arial"/>
          <w:b w:val="false"/>
          <w:bCs w:val="false"/>
          <w:sz w:val="22"/>
          <w:szCs w:val="22"/>
        </w:rPr>
        <w:t xml:space="preserve">Design: Japan.travel employs a visually striking design rooted in Japanese aesthetics — a red and white palette echoes the national flag, and imagery showcases seasonal beauty. The site balances minimalism with rich photography. Section layouts are well-structured and consistent.</w:t>
      </w:r>
    </w:p>
    <w:p>
      <w:pPr>
        <w:spacing w:after="100"/>
      </w:pPr>
      <w:r>
        <w:rPr>
          <w:rFonts w:ascii="Arial" w:cs="Arial" w:eastAsia="Arial" w:hAnsi="Arial"/>
          <w:b w:val="false"/>
          <w:bCs w:val="false"/>
          <w:sz w:val="22"/>
          <w:szCs w:val="22"/>
        </w:rPr>
        <w:t xml:space="preserve">Usability: The main menu is comprehensive, offering filters by region, season and theme. Internal search is effective. However, on mobile, some dropdown menus require horizontal scrolling which reduces usability on smaller screens.</w:t>
      </w:r>
    </w:p>
    <w:p>
      <w:pPr>
        <w:spacing w:after="100"/>
      </w:pPr>
      <w:r>
        <w:rPr>
          <w:rFonts w:ascii="Arial" w:cs="Arial" w:eastAsia="Arial" w:hAnsi="Arial"/>
          <w:b w:val="false"/>
          <w:bCs w:val="false"/>
          <w:sz w:val="22"/>
          <w:szCs w:val="22"/>
        </w:rPr>
        <w:t xml:space="preserve">Accessibility: Alt text is provided for most images. The site uses semantic HTML and has reasonable colour contrast. However, some interactive elements lack visible keyboard focus indicators, which is a WCAG 2.1 criterion violation.</w:t>
      </w:r>
    </w:p>
    <w:p>
      <w:pPr>
        <w:spacing w:after="100"/>
      </w:pPr>
      <w:r>
        <w:rPr>
          <w:rFonts w:ascii="Arial" w:cs="Arial" w:eastAsia="Arial" w:hAnsi="Arial"/>
          <w:b w:val="false"/>
          <w:bCs w:val="false"/>
          <w:sz w:val="22"/>
          <w:szCs w:val="22"/>
        </w:rPr>
        <w:t xml:space="preserve">URL: https://www.japan.travel</w:t>
      </w:r>
    </w:p>
    <w:p>
      <w:pPr>
        <w:spacing w:after="60"/>
      </w:pPr>
      <w:r>
        <w:t xml:space="preserve"/>
      </w:r>
    </w:p>
    <w:p>
      <w:pPr>
        <w:pStyle w:val="Heading2"/>
        <w:spacing w:after="80" w:before="240"/>
      </w:pPr>
      <w:r>
        <w:rPr>
          <w:rFonts w:ascii="Arial" w:cs="Arial" w:eastAsia="Arial" w:hAnsi="Arial"/>
          <w:b/>
          <w:bCs/>
          <w:color w:val="2E86C1"/>
          <w:sz w:val="24"/>
          <w:szCs w:val="24"/>
        </w:rPr>
        <w:t xml:space="preserve">5.3 Lonely Planet — www.lonelyplanet.com</w:t>
      </w:r>
    </w:p>
    <w:p>
      <w:pPr>
        <w:spacing w:after="100"/>
      </w:pPr>
      <w:r>
        <w:rPr>
          <w:rFonts w:ascii="Arial" w:cs="Arial" w:eastAsia="Arial" w:hAnsi="Arial"/>
          <w:b w:val="false"/>
          <w:bCs w:val="false"/>
          <w:sz w:val="22"/>
          <w:szCs w:val="22"/>
        </w:rPr>
        <w:t xml:space="preserve">Design: Lonely Planet features a content-rich layout with strong editorial identity. The colour scheme uses deep greens and warm neutrals. Typography is journalistic — the site reads like a travel magazine which aligns well with its brand. Destination cards use bold imagery and concise descriptors.</w:t>
      </w:r>
    </w:p>
    <w:p>
      <w:pPr>
        <w:spacing w:after="100"/>
      </w:pPr>
      <w:r>
        <w:rPr>
          <w:rFonts w:ascii="Arial" w:cs="Arial" w:eastAsia="Arial" w:hAnsi="Arial"/>
          <w:b w:val="false"/>
          <w:bCs w:val="false"/>
          <w:sz w:val="22"/>
          <w:szCs w:val="22"/>
        </w:rPr>
        <w:t xml:space="preserve">Usability: The site provides a powerful filtering system for destinations, activities and trip types. User reviews and ratings are integrated throughout, adding credibility. Page load times can be slow due to heavy image use, which impacts mobile usability.</w:t>
      </w:r>
    </w:p>
    <w:p>
      <w:pPr>
        <w:spacing w:after="100"/>
      </w:pPr>
      <w:r>
        <w:rPr>
          <w:rFonts w:ascii="Arial" w:cs="Arial" w:eastAsia="Arial" w:hAnsi="Arial"/>
          <w:b w:val="false"/>
          <w:bCs w:val="false"/>
          <w:sz w:val="22"/>
          <w:szCs w:val="22"/>
        </w:rPr>
        <w:t xml:space="preserve">Accessibility: Lonely Planet generally performs well on accessibility audits. The site uses proper heading hierarchy, form labels and ARIA roles. One weakness is that the interactive map component lacks full keyboard navigability.</w:t>
      </w:r>
    </w:p>
    <w:p>
      <w:pPr>
        <w:spacing w:after="100"/>
      </w:pPr>
      <w:r>
        <w:rPr>
          <w:rFonts w:ascii="Arial" w:cs="Arial" w:eastAsia="Arial" w:hAnsi="Arial"/>
          <w:b w:val="false"/>
          <w:bCs w:val="false"/>
          <w:sz w:val="22"/>
          <w:szCs w:val="22"/>
        </w:rPr>
        <w:t xml:space="preserve">URL: https://www.lonelyplanet.com</w:t>
      </w:r>
    </w:p>
    <w:p>
      <w:pPr>
        <w:spacing w:after="60"/>
      </w:pPr>
      <w:r>
        <w:t xml:space="preserve"/>
      </w:r>
    </w:p>
    <w:p>
      <w:r>
        <w:br w:type="page"/>
      </w:r>
    </w:p>
    <w:p>
      <w:pPr>
        <w:pStyle w:val="Heading1"/>
        <w:spacing w:after="120" w:before="360"/>
      </w:pPr>
      <w:r>
        <w:rPr>
          <w:rFonts w:ascii="Arial" w:cs="Arial" w:eastAsia="Arial" w:hAnsi="Arial"/>
          <w:b/>
          <w:bCs/>
          <w:color w:val="1B4F72"/>
          <w:sz w:val="28"/>
          <w:szCs w:val="28"/>
        </w:rPr>
        <w:t xml:space="preserve">References</w:t>
      </w:r>
    </w:p>
    <w:p>
      <w:pPr>
        <w:spacing w:after="100"/>
      </w:pPr>
      <w:r>
        <w:rPr>
          <w:rFonts w:ascii="Arial" w:cs="Arial" w:eastAsia="Arial" w:hAnsi="Arial"/>
          <w:b w:val="false"/>
          <w:bCs w:val="false"/>
          <w:sz w:val="22"/>
          <w:szCs w:val="22"/>
        </w:rPr>
        <w:t xml:space="preserve">VisitBritain (2024) VisitBritain Official Tourism Website. Available at: https://www.visitbritain.com (Accessed: June 2026).</w:t>
      </w:r>
    </w:p>
    <w:p>
      <w:pPr>
        <w:spacing w:after="100"/>
      </w:pPr>
      <w:r>
        <w:rPr>
          <w:rFonts w:ascii="Arial" w:cs="Arial" w:eastAsia="Arial" w:hAnsi="Arial"/>
          <w:b w:val="false"/>
          <w:bCs w:val="false"/>
          <w:sz w:val="22"/>
          <w:szCs w:val="22"/>
        </w:rPr>
        <w:t xml:space="preserve">Japan National Tourism Organization (2024) Japan Official Travel Guide. Available at: https://www.japan.travel (Accessed: June 2026).</w:t>
      </w:r>
    </w:p>
    <w:p>
      <w:pPr>
        <w:spacing w:after="100"/>
      </w:pPr>
      <w:r>
        <w:rPr>
          <w:rFonts w:ascii="Arial" w:cs="Arial" w:eastAsia="Arial" w:hAnsi="Arial"/>
          <w:b w:val="false"/>
          <w:bCs w:val="false"/>
          <w:sz w:val="22"/>
          <w:szCs w:val="22"/>
        </w:rPr>
        <w:t xml:space="preserve">Lonely Planet (2024) Lonely Planet Travel Guide. Available at: https://www.lonelyplanet.com (Accessed: June 2026).</w:t>
      </w:r>
    </w:p>
    <w:p>
      <w:pPr>
        <w:spacing w:after="100"/>
      </w:pPr>
      <w:r>
        <w:rPr>
          <w:rFonts w:ascii="Arial" w:cs="Arial" w:eastAsia="Arial" w:hAnsi="Arial"/>
          <w:b w:val="false"/>
          <w:bCs w:val="false"/>
          <w:sz w:val="22"/>
          <w:szCs w:val="22"/>
        </w:rPr>
        <w:t xml:space="preserve">W3C (2018) Web Content Accessibility Guidelines (WCAG) 2.1. Available at: https://www.w3.org/TR/WCAG21/ (Accessed: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2026-06-14T07:19:16.324Z</dcterms:created>
  <dcterms:modified xsi:type="dcterms:W3CDTF">2026-06-14T07:19:16.324Z</dcterms:modified>
</cp:coreProperties>
</file>

<file path=docProps/custom.xml><?xml version="1.0" encoding="utf-8"?>
<Properties xmlns="http://schemas.openxmlformats.org/officeDocument/2006/custom-properties" xmlns:vt="http://schemas.openxmlformats.org/officeDocument/2006/docPropsVTypes"/>
</file>