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26DEB" w14:textId="77777777" w:rsidR="00E97402" w:rsidRPr="0063701A" w:rsidRDefault="00E97402">
      <w:pPr>
        <w:pStyle w:val="Text"/>
        <w:ind w:firstLine="0"/>
        <w:rPr>
          <w:sz w:val="18"/>
          <w:szCs w:val="18"/>
        </w:rPr>
      </w:pPr>
      <w:r w:rsidRPr="0063701A">
        <w:rPr>
          <w:sz w:val="18"/>
          <w:szCs w:val="18"/>
        </w:rPr>
        <w:footnoteReference w:customMarkFollows="1" w:id="1"/>
        <w:sym w:font="Symbol" w:char="F020"/>
      </w:r>
    </w:p>
    <w:p w14:paraId="5D71C63E" w14:textId="41170E60" w:rsidR="00E97402" w:rsidRPr="0063701A" w:rsidRDefault="00E94C62" w:rsidP="001905F7">
      <w:pPr>
        <w:pStyle w:val="Title"/>
        <w:framePr w:wrap="notBeside"/>
        <w:rPr>
          <w:sz w:val="36"/>
          <w:szCs w:val="36"/>
        </w:rPr>
      </w:pPr>
      <w:r>
        <w:rPr>
          <w:sz w:val="36"/>
          <w:szCs w:val="36"/>
        </w:rPr>
        <w:t xml:space="preserve">Exploratory Data Analysis On </w:t>
      </w:r>
      <w:r w:rsidR="001905F7">
        <w:rPr>
          <w:sz w:val="36"/>
          <w:szCs w:val="36"/>
        </w:rPr>
        <w:t>Tobacco Control</w:t>
      </w:r>
      <w:r w:rsidR="00691C45" w:rsidRPr="0063701A">
        <w:rPr>
          <w:sz w:val="36"/>
          <w:szCs w:val="36"/>
        </w:rPr>
        <w:t xml:space="preserve"> </w:t>
      </w:r>
    </w:p>
    <w:p w14:paraId="70CF3115" w14:textId="00E589ED" w:rsidR="00222D5E" w:rsidRPr="0063701A" w:rsidRDefault="00E94C62" w:rsidP="003D7CE8">
      <w:pPr>
        <w:pStyle w:val="Authors"/>
        <w:framePr w:wrap="notBeside"/>
        <w:spacing w:after="0"/>
        <w:jc w:val="left"/>
      </w:pPr>
      <w:r>
        <w:t xml:space="preserve"> </w:t>
      </w:r>
      <w:r w:rsidR="003D7CE8">
        <w:t xml:space="preserve">   </w:t>
      </w:r>
      <w:r>
        <w:t>Author</w:t>
      </w:r>
      <w:r w:rsidR="003D7CE8">
        <w:t>s</w:t>
      </w:r>
      <w:r>
        <w:t xml:space="preserve"> </w:t>
      </w:r>
      <w:r w:rsidR="007313E3">
        <w:t>Somashekhar Kinagi</w:t>
      </w:r>
      <w:r w:rsidR="003D7CE8">
        <w:t>;</w:t>
      </w:r>
      <w:r>
        <w:t xml:space="preserve"> </w:t>
      </w:r>
      <w:r w:rsidR="007313E3">
        <w:t>Vishwa Badachi</w:t>
      </w:r>
      <w:r>
        <w:t>;</w:t>
      </w:r>
      <w:r w:rsidR="003D7CE8">
        <w:t xml:space="preserve"> </w:t>
      </w:r>
      <w:r w:rsidR="007313E3">
        <w:t>Fardeen Vaddo</w:t>
      </w:r>
      <w:r w:rsidR="003D7CE8">
        <w:t>;</w:t>
      </w:r>
      <w:r w:rsidR="007313E3">
        <w:t xml:space="preserve"> Sai Satya B.V.</w:t>
      </w:r>
      <w:r w:rsidR="003D7CE8">
        <w:t>;</w:t>
      </w:r>
    </w:p>
    <w:p w14:paraId="579AD66F" w14:textId="5A891102" w:rsidR="00E97402" w:rsidRDefault="003D7CE8" w:rsidP="003D7CE8">
      <w:pPr>
        <w:pStyle w:val="Authors"/>
        <w:framePr w:wrap="notBeside"/>
        <w:spacing w:after="0"/>
        <w:jc w:val="left"/>
        <w:rPr>
          <w:color w:val="FF0000"/>
        </w:rPr>
      </w:pPr>
      <w:r>
        <w:t xml:space="preserve">    </w:t>
      </w:r>
      <w:r w:rsidR="00222D5E" w:rsidRPr="00247D09">
        <w:t>Email:</w:t>
      </w:r>
      <w:r w:rsidR="008237EF" w:rsidRPr="00247D09">
        <w:rPr>
          <w:color w:val="FF0000"/>
        </w:rPr>
        <w:t xml:space="preserve"> </w:t>
      </w:r>
      <w:hyperlink r:id="rId8" w:history="1">
        <w:r w:rsidR="007313E3" w:rsidRPr="00752CA7">
          <w:rPr>
            <w:rStyle w:val="Hyperlink"/>
          </w:rPr>
          <w:t>01fe22bcs063@kletech.ac.in</w:t>
        </w:r>
      </w:hyperlink>
      <w:r>
        <w:rPr>
          <w:color w:val="FF0000"/>
        </w:rPr>
        <w:t>;</w:t>
      </w:r>
      <w:r w:rsidRPr="003D7CE8">
        <w:rPr>
          <w:color w:val="FF0000"/>
        </w:rPr>
        <w:t xml:space="preserve"> </w:t>
      </w:r>
      <w:hyperlink r:id="rId9" w:history="1">
        <w:r w:rsidR="007313E3" w:rsidRPr="00752CA7">
          <w:rPr>
            <w:rStyle w:val="Hyperlink"/>
          </w:rPr>
          <w:t>01fe22bcs065@kletech.ac.in</w:t>
        </w:r>
      </w:hyperlink>
      <w:r>
        <w:rPr>
          <w:color w:val="FF0000"/>
        </w:rPr>
        <w:t xml:space="preserve">; </w:t>
      </w:r>
      <w:hyperlink r:id="rId10" w:history="1">
        <w:r w:rsidR="007313E3" w:rsidRPr="00752CA7">
          <w:rPr>
            <w:rStyle w:val="Hyperlink"/>
          </w:rPr>
          <w:t>01fe22bcs074@kletech.ac.in</w:t>
        </w:r>
      </w:hyperlink>
      <w:r>
        <w:rPr>
          <w:color w:val="FF0000"/>
        </w:rPr>
        <w:t xml:space="preserve"> ;</w:t>
      </w:r>
      <w:r w:rsidRPr="003D7CE8">
        <w:rPr>
          <w:color w:val="FF0000"/>
        </w:rPr>
        <w:t xml:space="preserve"> </w:t>
      </w:r>
      <w:r>
        <w:rPr>
          <w:color w:val="FF0000"/>
        </w:rPr>
        <w:t xml:space="preserve">   </w:t>
      </w:r>
      <w:hyperlink r:id="rId11" w:history="1">
        <w:r w:rsidR="007313E3" w:rsidRPr="00752CA7">
          <w:rPr>
            <w:rStyle w:val="Hyperlink"/>
          </w:rPr>
          <w:t>01fe22bcs076@kletech.ac.in</w:t>
        </w:r>
      </w:hyperlink>
      <w:r>
        <w:rPr>
          <w:color w:val="FF0000"/>
        </w:rPr>
        <w:t xml:space="preserve"> ;</w:t>
      </w:r>
    </w:p>
    <w:p w14:paraId="6A213810" w14:textId="77777777" w:rsidR="003D7CE8" w:rsidRPr="003D7CE8" w:rsidRDefault="003D7CE8" w:rsidP="003D7CE8"/>
    <w:p w14:paraId="15907517" w14:textId="77777777" w:rsidR="007313E3" w:rsidRPr="007313E3" w:rsidRDefault="007313E3" w:rsidP="007313E3">
      <w:pPr>
        <w:spacing w:before="100" w:beforeAutospacing="1" w:after="100" w:afterAutospacing="1"/>
        <w:outlineLvl w:val="2"/>
        <w:rPr>
          <w:b/>
          <w:bCs/>
          <w:sz w:val="22"/>
          <w:szCs w:val="22"/>
          <w:lang w:eastAsia="en-IN"/>
        </w:rPr>
      </w:pPr>
      <w:r w:rsidRPr="007313E3">
        <w:rPr>
          <w:b/>
          <w:bCs/>
          <w:sz w:val="22"/>
          <w:szCs w:val="22"/>
          <w:lang w:eastAsia="en-IN"/>
        </w:rPr>
        <w:t>Abstract</w:t>
      </w:r>
    </w:p>
    <w:p w14:paraId="61E8A9D4" w14:textId="77777777" w:rsidR="007313E3" w:rsidRPr="007313E3" w:rsidRDefault="007313E3" w:rsidP="007313E3">
      <w:pPr>
        <w:spacing w:before="100" w:beforeAutospacing="1" w:after="100" w:afterAutospacing="1"/>
        <w:jc w:val="both"/>
        <w:rPr>
          <w:sz w:val="22"/>
          <w:szCs w:val="22"/>
          <w:lang w:eastAsia="en-IN"/>
        </w:rPr>
      </w:pPr>
      <w:r w:rsidRPr="007313E3">
        <w:rPr>
          <w:sz w:val="22"/>
          <w:szCs w:val="22"/>
          <w:lang w:eastAsia="en-IN"/>
        </w:rPr>
        <w:t>Tobacco use remains a significant public health issue, particularly among adolescents. This thesis examines the implementation of the WHO Framework Convention on Tobacco Control (WHO FCTC) through an exploratory data analysis (EDA) of youth tobacco use. Utilizing the Global Youth Tobacco Survey (GYTS) dataset, this study identifies patterns and correlations in tobacco use, exposure to tobacco advertising, and the impact of anti-tobacco messages. The findings underscore the effectiveness of targeted interventions and provide actionable insights for enhancing tobacco control strategies.</w:t>
      </w:r>
    </w:p>
    <w:p w14:paraId="35C805E1" w14:textId="77777777" w:rsidR="007313E3" w:rsidRPr="007313E3" w:rsidRDefault="007313E3" w:rsidP="007313E3">
      <w:pPr>
        <w:spacing w:before="100" w:beforeAutospacing="1" w:after="100" w:afterAutospacing="1"/>
        <w:outlineLvl w:val="2"/>
        <w:rPr>
          <w:b/>
          <w:bCs/>
          <w:sz w:val="22"/>
          <w:szCs w:val="22"/>
          <w:lang w:eastAsia="en-IN"/>
        </w:rPr>
      </w:pPr>
      <w:r w:rsidRPr="007313E3">
        <w:rPr>
          <w:b/>
          <w:bCs/>
          <w:sz w:val="22"/>
          <w:szCs w:val="22"/>
          <w:lang w:eastAsia="en-IN"/>
        </w:rPr>
        <w:t>Introduction</w:t>
      </w:r>
    </w:p>
    <w:p w14:paraId="559656BD" w14:textId="77777777" w:rsidR="007313E3" w:rsidRPr="007313E3" w:rsidRDefault="007313E3" w:rsidP="007313E3">
      <w:pPr>
        <w:spacing w:before="100" w:beforeAutospacing="1" w:after="100" w:afterAutospacing="1"/>
        <w:jc w:val="both"/>
        <w:outlineLvl w:val="2"/>
        <w:rPr>
          <w:sz w:val="22"/>
          <w:szCs w:val="22"/>
          <w:lang w:eastAsia="en-IN"/>
        </w:rPr>
      </w:pPr>
      <w:r w:rsidRPr="007313E3">
        <w:rPr>
          <w:sz w:val="22"/>
          <w:szCs w:val="22"/>
          <w:lang w:eastAsia="en-IN"/>
        </w:rPr>
        <w:t>Tobacco use is a leading cause of preventable death worldwide, with a substantial portion of users starting during adolescence. Recognizing the critical need for action, the Sustainable Development Goals (SDGs) include the target to implement the World Health Organization's Framework Convention on Tobacco Control (WHO FCTC). This convention aims to curb tobacco use through comprehensive measures, including advertising bans, public smoking restrictions, and educational campaigns. This thesis investigates the effectiveness of these measures using data from the Global Youth Tobacco Survey (GYTS), focusing on Indian states and regions. By evaluating the impact of the WHO FCTC's implementation, this research aims to contribute to the global effort to reduce tobacco-related morbidity and mortality, particularly among youth.</w:t>
      </w:r>
    </w:p>
    <w:p w14:paraId="038A6DE0" w14:textId="77777777" w:rsidR="007313E3" w:rsidRPr="007313E3" w:rsidRDefault="007313E3" w:rsidP="007313E3">
      <w:pPr>
        <w:spacing w:before="100" w:beforeAutospacing="1" w:after="100" w:afterAutospacing="1"/>
        <w:outlineLvl w:val="2"/>
        <w:rPr>
          <w:b/>
          <w:bCs/>
          <w:sz w:val="22"/>
          <w:szCs w:val="22"/>
          <w:lang w:eastAsia="en-IN"/>
        </w:rPr>
      </w:pPr>
      <w:r w:rsidRPr="007313E3">
        <w:rPr>
          <w:b/>
          <w:bCs/>
          <w:sz w:val="22"/>
          <w:szCs w:val="22"/>
          <w:lang w:eastAsia="en-IN"/>
        </w:rPr>
        <w:t>Literature Review</w:t>
      </w:r>
    </w:p>
    <w:p w14:paraId="70A5DC59" w14:textId="77777777" w:rsidR="007313E3" w:rsidRPr="007313E3" w:rsidRDefault="007313E3" w:rsidP="007313E3">
      <w:pPr>
        <w:spacing w:before="100" w:beforeAutospacing="1" w:after="100" w:afterAutospacing="1"/>
        <w:jc w:val="both"/>
        <w:rPr>
          <w:sz w:val="22"/>
          <w:szCs w:val="22"/>
          <w:lang w:eastAsia="en-IN"/>
        </w:rPr>
      </w:pPr>
      <w:r w:rsidRPr="007313E3">
        <w:rPr>
          <w:sz w:val="22"/>
          <w:szCs w:val="22"/>
          <w:lang w:eastAsia="en-IN"/>
        </w:rPr>
        <w:t>The WHO FCTC, adopted in 2003, provides a global framework for tobacco control. Previous studies have demonstrated the efficacy of various provisions of the FCTC, such as pictorial warnings, advertising bans, and tax increases. However, the impact on youth tobacco use varies by region and implementation rigor. This study builds on existing literature by providing a detailed analysis of youth tobacco use patterns in India.</w:t>
      </w:r>
    </w:p>
    <w:p w14:paraId="26034875" w14:textId="77777777" w:rsidR="007313E3" w:rsidRPr="007313E3" w:rsidRDefault="007313E3" w:rsidP="007313E3">
      <w:pPr>
        <w:spacing w:before="100" w:beforeAutospacing="1" w:after="100" w:afterAutospacing="1"/>
        <w:outlineLvl w:val="2"/>
        <w:rPr>
          <w:b/>
          <w:bCs/>
          <w:sz w:val="22"/>
          <w:szCs w:val="22"/>
          <w:lang w:eastAsia="en-IN"/>
        </w:rPr>
      </w:pPr>
      <w:r w:rsidRPr="007313E3">
        <w:rPr>
          <w:b/>
          <w:bCs/>
          <w:sz w:val="22"/>
          <w:szCs w:val="22"/>
          <w:lang w:eastAsia="en-IN"/>
        </w:rPr>
        <w:t>Reason for Choosing this Topic</w:t>
      </w:r>
    </w:p>
    <w:p w14:paraId="66FF695F" w14:textId="77777777" w:rsidR="007313E3" w:rsidRPr="007313E3" w:rsidRDefault="007313E3" w:rsidP="007313E3">
      <w:pPr>
        <w:pStyle w:val="NormalWeb"/>
        <w:jc w:val="both"/>
        <w:rPr>
          <w:sz w:val="22"/>
          <w:szCs w:val="22"/>
        </w:rPr>
      </w:pPr>
      <w:r w:rsidRPr="007313E3">
        <w:rPr>
          <w:sz w:val="22"/>
          <w:szCs w:val="22"/>
        </w:rPr>
        <w:t>Tobacco use among youth is a critical public health concern. Tobacco control is a crucial topic because it directly impacts the health and well-being of millions of individuals worldwide. Smoking and other forms of tobacco use are leading causes of preventable diseases, including cancer, heart disease, and respiratory illnesses. The devastating effects of tobacco are not limited to smokers alone but extend to their families, friends, and communities. Second-hand smoke exposure, for example, endangers children, non-smoking adults, and even pets.</w:t>
      </w:r>
    </w:p>
    <w:p w14:paraId="6F7A5C8B" w14:textId="77777777" w:rsidR="007313E3" w:rsidRPr="007313E3" w:rsidRDefault="007313E3" w:rsidP="007313E3">
      <w:pPr>
        <w:pStyle w:val="NormalWeb"/>
        <w:jc w:val="both"/>
        <w:rPr>
          <w:sz w:val="22"/>
          <w:szCs w:val="22"/>
        </w:rPr>
      </w:pPr>
      <w:r w:rsidRPr="007313E3">
        <w:rPr>
          <w:sz w:val="22"/>
          <w:szCs w:val="22"/>
        </w:rPr>
        <w:t>Choosing tobacco control as a focus reflects a deep empathy for those who suffer due to tobacco-related illnesses. It is a commitment to protecting the most vulnerable members of society, such as children who are exposed to second-hand smoke, and to helping individuals who struggle with addiction. Tobacco control initiatives aim to reduce these harms, save lives, and promote healthier, happier communities. By advocating for tobacco control, we express our compassion for those who are affected and our desire to create a world where fewer people endure the pain and suffering associated with tobacco use.</w:t>
      </w:r>
    </w:p>
    <w:p w14:paraId="443D2413" w14:textId="77777777" w:rsidR="007313E3" w:rsidRPr="007313E3" w:rsidRDefault="007313E3" w:rsidP="007313E3">
      <w:pPr>
        <w:spacing w:before="100" w:beforeAutospacing="1" w:after="100" w:afterAutospacing="1"/>
        <w:outlineLvl w:val="2"/>
        <w:rPr>
          <w:b/>
          <w:bCs/>
          <w:sz w:val="22"/>
          <w:szCs w:val="22"/>
          <w:lang w:eastAsia="en-IN"/>
        </w:rPr>
      </w:pPr>
      <w:r w:rsidRPr="007313E3">
        <w:rPr>
          <w:b/>
          <w:bCs/>
          <w:sz w:val="22"/>
          <w:szCs w:val="22"/>
          <w:lang w:eastAsia="en-IN"/>
        </w:rPr>
        <w:t>Methodology</w:t>
      </w:r>
    </w:p>
    <w:p w14:paraId="789DD62C" w14:textId="77777777" w:rsidR="007313E3" w:rsidRPr="007313E3" w:rsidRDefault="007313E3" w:rsidP="007313E3">
      <w:pPr>
        <w:spacing w:before="100" w:beforeAutospacing="1" w:after="100" w:afterAutospacing="1"/>
        <w:outlineLvl w:val="3"/>
        <w:rPr>
          <w:b/>
          <w:bCs/>
          <w:sz w:val="22"/>
          <w:szCs w:val="22"/>
          <w:lang w:eastAsia="en-IN"/>
        </w:rPr>
      </w:pPr>
      <w:r w:rsidRPr="007313E3">
        <w:rPr>
          <w:b/>
          <w:bCs/>
          <w:sz w:val="22"/>
          <w:szCs w:val="22"/>
          <w:lang w:eastAsia="en-IN"/>
        </w:rPr>
        <w:t>Data Collection and Pre-Processing</w:t>
      </w:r>
    </w:p>
    <w:p w14:paraId="5A2E5E0E" w14:textId="77777777" w:rsidR="007313E3" w:rsidRPr="007313E3" w:rsidRDefault="007313E3" w:rsidP="007313E3">
      <w:pPr>
        <w:spacing w:before="100" w:beforeAutospacing="1" w:after="100" w:afterAutospacing="1"/>
        <w:jc w:val="both"/>
        <w:rPr>
          <w:sz w:val="22"/>
          <w:szCs w:val="22"/>
          <w:lang w:eastAsia="en-IN"/>
        </w:rPr>
      </w:pPr>
      <w:r w:rsidRPr="007313E3">
        <w:rPr>
          <w:sz w:val="22"/>
          <w:szCs w:val="22"/>
          <w:lang w:eastAsia="en-IN"/>
        </w:rPr>
        <w:t xml:space="preserve">The dataset used in this study was obtained from data.gov.in, specifically the GYTS dataset. This dataset includes various indicators of tobacco use among students, such as current and ever tobacco use, exposure to tobacco advertising, and awareness of anti-tobacco </w:t>
      </w:r>
      <w:r w:rsidRPr="007313E3">
        <w:rPr>
          <w:sz w:val="22"/>
          <w:szCs w:val="22"/>
          <w:lang w:eastAsia="en-IN"/>
        </w:rPr>
        <w:lastRenderedPageBreak/>
        <w:t>messages. The data was pre-processed to handle missing values and standardize formats. The detailed pre-processing steps are provided in Appendix A.</w:t>
      </w:r>
    </w:p>
    <w:p w14:paraId="3FDB1388" w14:textId="77777777" w:rsidR="007313E3" w:rsidRPr="007313E3" w:rsidRDefault="007313E3" w:rsidP="007313E3">
      <w:pPr>
        <w:spacing w:before="100" w:beforeAutospacing="1" w:after="100" w:afterAutospacing="1"/>
        <w:jc w:val="both"/>
        <w:rPr>
          <w:sz w:val="22"/>
          <w:szCs w:val="22"/>
          <w:lang w:eastAsia="en-IN"/>
        </w:rPr>
      </w:pPr>
      <w:r w:rsidRPr="007313E3">
        <w:rPr>
          <w:b/>
          <w:bCs/>
          <w:sz w:val="22"/>
          <w:szCs w:val="22"/>
          <w:lang w:eastAsia="en-IN"/>
        </w:rPr>
        <w:t>Pre-Processing Steps:</w:t>
      </w:r>
    </w:p>
    <w:p w14:paraId="52891715" w14:textId="77777777" w:rsidR="007313E3" w:rsidRPr="007313E3" w:rsidRDefault="007313E3" w:rsidP="007313E3">
      <w:pPr>
        <w:numPr>
          <w:ilvl w:val="0"/>
          <w:numId w:val="51"/>
        </w:numPr>
        <w:spacing w:before="100" w:beforeAutospacing="1" w:after="100" w:afterAutospacing="1"/>
        <w:jc w:val="both"/>
        <w:rPr>
          <w:sz w:val="22"/>
          <w:szCs w:val="22"/>
          <w:lang w:eastAsia="en-IN"/>
        </w:rPr>
      </w:pPr>
      <w:r w:rsidRPr="007313E3">
        <w:rPr>
          <w:b/>
          <w:bCs/>
          <w:sz w:val="22"/>
          <w:szCs w:val="22"/>
          <w:lang w:eastAsia="en-IN"/>
        </w:rPr>
        <w:t>Handling Missing Values:</w:t>
      </w:r>
      <w:r w:rsidRPr="007313E3">
        <w:rPr>
          <w:sz w:val="22"/>
          <w:szCs w:val="22"/>
          <w:lang w:eastAsia="en-IN"/>
        </w:rPr>
        <w:t xml:space="preserve"> Missing values were replaced with the median of the respective columns to maintain data integrity.</w:t>
      </w:r>
    </w:p>
    <w:p w14:paraId="70474FD3" w14:textId="77777777" w:rsidR="007313E3" w:rsidRPr="007313E3" w:rsidRDefault="007313E3" w:rsidP="007313E3">
      <w:pPr>
        <w:numPr>
          <w:ilvl w:val="0"/>
          <w:numId w:val="51"/>
        </w:numPr>
        <w:spacing w:before="100" w:beforeAutospacing="1" w:after="100" w:afterAutospacing="1"/>
        <w:jc w:val="both"/>
        <w:rPr>
          <w:sz w:val="22"/>
          <w:szCs w:val="22"/>
          <w:lang w:eastAsia="en-IN"/>
        </w:rPr>
      </w:pPr>
      <w:r w:rsidRPr="007313E3">
        <w:rPr>
          <w:b/>
          <w:bCs/>
          <w:sz w:val="22"/>
          <w:szCs w:val="22"/>
          <w:lang w:eastAsia="en-IN"/>
        </w:rPr>
        <w:t>Standardizing Formats:</w:t>
      </w:r>
      <w:r w:rsidRPr="007313E3">
        <w:rPr>
          <w:sz w:val="22"/>
          <w:szCs w:val="22"/>
          <w:lang w:eastAsia="en-IN"/>
        </w:rPr>
        <w:t xml:space="preserve"> All text and numerical data were standardized for consistency.</w:t>
      </w:r>
    </w:p>
    <w:p w14:paraId="7ACE51A0" w14:textId="77777777" w:rsidR="007313E3" w:rsidRPr="007313E3" w:rsidRDefault="007313E3" w:rsidP="007313E3">
      <w:pPr>
        <w:numPr>
          <w:ilvl w:val="0"/>
          <w:numId w:val="51"/>
        </w:numPr>
        <w:spacing w:before="100" w:beforeAutospacing="1" w:after="100" w:afterAutospacing="1"/>
        <w:jc w:val="both"/>
        <w:rPr>
          <w:sz w:val="22"/>
          <w:szCs w:val="22"/>
          <w:lang w:eastAsia="en-IN"/>
        </w:rPr>
      </w:pPr>
      <w:r w:rsidRPr="007313E3">
        <w:rPr>
          <w:b/>
          <w:bCs/>
          <w:sz w:val="22"/>
          <w:szCs w:val="22"/>
          <w:lang w:eastAsia="en-IN"/>
        </w:rPr>
        <w:t>Filtering Data:</w:t>
      </w:r>
      <w:r w:rsidRPr="007313E3">
        <w:rPr>
          <w:sz w:val="22"/>
          <w:szCs w:val="22"/>
          <w:lang w:eastAsia="en-IN"/>
        </w:rPr>
        <w:t xml:space="preserve"> Rows with irrelevant or noisy data were filtered out to focus on the most pertinent information.</w:t>
      </w:r>
    </w:p>
    <w:p w14:paraId="581E709E" w14:textId="77777777" w:rsidR="007313E3" w:rsidRPr="007313E3" w:rsidRDefault="007313E3" w:rsidP="007313E3">
      <w:pPr>
        <w:spacing w:before="100" w:beforeAutospacing="1" w:after="100" w:afterAutospacing="1"/>
        <w:jc w:val="both"/>
        <w:outlineLvl w:val="3"/>
        <w:rPr>
          <w:b/>
          <w:bCs/>
          <w:sz w:val="22"/>
          <w:szCs w:val="22"/>
          <w:lang w:eastAsia="en-IN"/>
        </w:rPr>
      </w:pPr>
      <w:r w:rsidRPr="007313E3">
        <w:rPr>
          <w:b/>
          <w:bCs/>
          <w:sz w:val="22"/>
          <w:szCs w:val="22"/>
          <w:lang w:eastAsia="en-IN"/>
        </w:rPr>
        <w:t>Analytical Techniques</w:t>
      </w:r>
    </w:p>
    <w:p w14:paraId="22D3433A" w14:textId="77777777" w:rsidR="007313E3" w:rsidRPr="007313E3" w:rsidRDefault="007313E3" w:rsidP="007313E3">
      <w:pPr>
        <w:spacing w:before="100" w:beforeAutospacing="1" w:after="100" w:afterAutospacing="1"/>
        <w:jc w:val="both"/>
        <w:rPr>
          <w:sz w:val="22"/>
          <w:szCs w:val="22"/>
          <w:lang w:eastAsia="en-IN"/>
        </w:rPr>
      </w:pPr>
      <w:r w:rsidRPr="007313E3">
        <w:rPr>
          <w:sz w:val="22"/>
          <w:szCs w:val="22"/>
          <w:lang w:eastAsia="en-IN"/>
        </w:rPr>
        <w:t>Exploratory Data Analysis (EDA) techniques were employed to identify trends, correlations, and outliers. Visualizations such as bar plots, scatter plots with regression lines, and heatmaps were used to convey insights effectively. Statistical tests were conducted to determine the significance of observed patterns.</w:t>
      </w:r>
    </w:p>
    <w:p w14:paraId="1DC6DC24" w14:textId="77777777" w:rsidR="007313E3" w:rsidRPr="007313E3" w:rsidRDefault="007313E3" w:rsidP="007313E3">
      <w:pPr>
        <w:spacing w:before="100" w:beforeAutospacing="1" w:after="100" w:afterAutospacing="1"/>
        <w:outlineLvl w:val="2"/>
        <w:rPr>
          <w:b/>
          <w:bCs/>
          <w:sz w:val="22"/>
          <w:szCs w:val="22"/>
          <w:lang w:eastAsia="en-IN"/>
        </w:rPr>
      </w:pPr>
      <w:r w:rsidRPr="007313E3">
        <w:rPr>
          <w:b/>
          <w:bCs/>
          <w:sz w:val="22"/>
          <w:szCs w:val="22"/>
          <w:lang w:eastAsia="en-IN"/>
        </w:rPr>
        <w:t>Results</w:t>
      </w:r>
    </w:p>
    <w:p w14:paraId="70F82346" w14:textId="77777777" w:rsidR="007313E3" w:rsidRPr="007313E3" w:rsidRDefault="007313E3" w:rsidP="007313E3">
      <w:pPr>
        <w:spacing w:before="100" w:beforeAutospacing="1" w:after="100" w:afterAutospacing="1"/>
        <w:jc w:val="both"/>
        <w:outlineLvl w:val="3"/>
        <w:rPr>
          <w:b/>
          <w:bCs/>
          <w:sz w:val="22"/>
          <w:szCs w:val="22"/>
          <w:lang w:eastAsia="en-IN"/>
        </w:rPr>
      </w:pPr>
      <w:r w:rsidRPr="007313E3">
        <w:rPr>
          <w:b/>
          <w:bCs/>
          <w:sz w:val="22"/>
          <w:szCs w:val="22"/>
          <w:lang w:eastAsia="en-IN"/>
        </w:rPr>
        <w:t>Prevalence of Tobacco Use</w:t>
      </w:r>
    </w:p>
    <w:p w14:paraId="7A6E183B" w14:textId="77777777" w:rsidR="007313E3" w:rsidRDefault="007313E3" w:rsidP="007313E3">
      <w:pPr>
        <w:spacing w:before="100" w:beforeAutospacing="1" w:after="100" w:afterAutospacing="1"/>
        <w:jc w:val="both"/>
        <w:rPr>
          <w:sz w:val="22"/>
          <w:szCs w:val="22"/>
          <w:lang w:eastAsia="en-IN"/>
        </w:rPr>
      </w:pPr>
      <w:r w:rsidRPr="007313E3">
        <w:rPr>
          <w:sz w:val="22"/>
          <w:szCs w:val="22"/>
          <w:lang w:eastAsia="en-IN"/>
        </w:rPr>
        <w:t>Bar plots revealed significant variations in tobacco use across different Indian states. States with the highest tobacco use included Arunachal Pradesh, Mizoram, Nagaland, Meghalaya, and Sikkim, while Dadra and Nagar Haveli, Andhra Pradesh, Goa, Himachal Pradesh, and  Karnataka reported the lowest usage rates. Rural areas showed higher prevalence compared to urban regions, highlighting the need for targeted interventions in rural communities.</w:t>
      </w:r>
    </w:p>
    <w:p w14:paraId="7DB3E066" w14:textId="65A3AC88" w:rsidR="00EA0E5A" w:rsidRDefault="00EA0E5A" w:rsidP="007313E3">
      <w:pPr>
        <w:spacing w:before="100" w:beforeAutospacing="1" w:after="100" w:afterAutospacing="1"/>
        <w:jc w:val="both"/>
        <w:rPr>
          <w:sz w:val="22"/>
          <w:szCs w:val="22"/>
          <w:lang w:eastAsia="en-IN"/>
        </w:rPr>
      </w:pPr>
      <w:r w:rsidRPr="007313E3">
        <w:rPr>
          <w:noProof/>
          <w:sz w:val="22"/>
          <w:szCs w:val="22"/>
          <w:lang w:eastAsia="en-IN"/>
        </w:rPr>
        <w:drawing>
          <wp:inline distT="0" distB="0" distL="0" distR="0" wp14:anchorId="531EDD9C" wp14:editId="62287B58">
            <wp:extent cx="2873212" cy="15906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2901604" cy="1606393"/>
                    </a:xfrm>
                    <a:prstGeom prst="rect">
                      <a:avLst/>
                    </a:prstGeom>
                  </pic:spPr>
                </pic:pic>
              </a:graphicData>
            </a:graphic>
          </wp:inline>
        </w:drawing>
      </w:r>
    </w:p>
    <w:p w14:paraId="7FD6B594" w14:textId="11668A53" w:rsidR="007313E3" w:rsidRPr="00017CEE" w:rsidRDefault="00EA0E5A" w:rsidP="00017CEE">
      <w:pPr>
        <w:spacing w:before="100" w:beforeAutospacing="1" w:after="100" w:afterAutospacing="1"/>
        <w:jc w:val="both"/>
        <w:rPr>
          <w:i/>
          <w:iCs/>
          <w:sz w:val="22"/>
          <w:szCs w:val="22"/>
          <w:lang w:eastAsia="en-IN"/>
        </w:rPr>
      </w:pPr>
      <w:r w:rsidRPr="007313E3">
        <w:rPr>
          <w:i/>
          <w:iCs/>
          <w:sz w:val="22"/>
          <w:szCs w:val="22"/>
          <w:lang w:eastAsia="en-IN"/>
        </w:rPr>
        <w:t>Figure 1: Bar plot highlighting the states with the highest and lowest percentage of current tobacco users.</w:t>
      </w:r>
    </w:p>
    <w:p w14:paraId="6B00F5DC" w14:textId="77777777" w:rsidR="007313E3" w:rsidRPr="007313E3" w:rsidRDefault="007313E3" w:rsidP="007313E3">
      <w:pPr>
        <w:spacing w:before="100" w:beforeAutospacing="1" w:after="100" w:afterAutospacing="1"/>
        <w:rPr>
          <w:sz w:val="22"/>
          <w:szCs w:val="22"/>
          <w:lang w:eastAsia="en-IN"/>
        </w:rPr>
      </w:pPr>
      <w:r w:rsidRPr="007313E3">
        <w:rPr>
          <w:b/>
          <w:bCs/>
          <w:sz w:val="22"/>
          <w:szCs w:val="22"/>
          <w:lang w:eastAsia="en-IN"/>
        </w:rPr>
        <w:t>Regions with Highest and Lowest Percentage of Tobacco Quitters</w:t>
      </w:r>
    </w:p>
    <w:p w14:paraId="1EE4E5F2" w14:textId="77777777" w:rsidR="007313E3" w:rsidRDefault="007313E3" w:rsidP="007313E3">
      <w:pPr>
        <w:spacing w:before="100" w:beforeAutospacing="1" w:after="100" w:afterAutospacing="1"/>
        <w:rPr>
          <w:sz w:val="22"/>
          <w:szCs w:val="22"/>
          <w:lang w:eastAsia="en-IN"/>
        </w:rPr>
      </w:pPr>
      <w:r w:rsidRPr="007313E3">
        <w:rPr>
          <w:sz w:val="22"/>
          <w:szCs w:val="22"/>
          <w:lang w:eastAsia="en-IN"/>
        </w:rPr>
        <w:t>A geographical heatmap indicated that Himachal Pradesh, Punjab, Haryana, Uttarakhand, and Uttar Pradesh in the north, and Karnataka in the south have the lowest percentage of tobacco quitters in the last 12 months. Conversely, Sikkim, Meghalaya in the east, and Rajasthan and Gujarat in the west have the highest percentage of quitters. This regional analysis underscores the varying effectiveness of tobacco cessation programs across different states.</w:t>
      </w:r>
    </w:p>
    <w:p w14:paraId="3DF6E447" w14:textId="23B3B9B4" w:rsidR="00EA0E5A" w:rsidRDefault="00EA0E5A" w:rsidP="007313E3">
      <w:pPr>
        <w:spacing w:before="100" w:beforeAutospacing="1" w:after="100" w:afterAutospacing="1"/>
        <w:rPr>
          <w:sz w:val="22"/>
          <w:szCs w:val="22"/>
          <w:lang w:eastAsia="en-IN"/>
        </w:rPr>
      </w:pPr>
      <w:r w:rsidRPr="007313E3">
        <w:rPr>
          <w:noProof/>
          <w:sz w:val="22"/>
          <w:szCs w:val="22"/>
          <w:lang w:eastAsia="en-IN"/>
        </w:rPr>
        <w:drawing>
          <wp:inline distT="0" distB="0" distL="0" distR="0" wp14:anchorId="40E7F160" wp14:editId="1D23D88D">
            <wp:extent cx="3081337" cy="3310279"/>
            <wp:effectExtent l="0" t="0" r="5080"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3081919" cy="3310904"/>
                    </a:xfrm>
                    <a:prstGeom prst="rect">
                      <a:avLst/>
                    </a:prstGeom>
                  </pic:spPr>
                </pic:pic>
              </a:graphicData>
            </a:graphic>
          </wp:inline>
        </w:drawing>
      </w:r>
    </w:p>
    <w:p w14:paraId="2B7B483E" w14:textId="0EE04CB2" w:rsidR="00EA0E5A" w:rsidRPr="00C61B11" w:rsidRDefault="00EA0E5A" w:rsidP="00C61B11">
      <w:pPr>
        <w:spacing w:before="100" w:beforeAutospacing="1" w:after="100" w:afterAutospacing="1"/>
        <w:jc w:val="both"/>
        <w:rPr>
          <w:i/>
          <w:iCs/>
          <w:sz w:val="22"/>
          <w:szCs w:val="22"/>
          <w:lang w:eastAsia="en-IN"/>
        </w:rPr>
      </w:pPr>
      <w:r w:rsidRPr="007313E3">
        <w:rPr>
          <w:i/>
          <w:iCs/>
          <w:sz w:val="22"/>
          <w:szCs w:val="22"/>
          <w:lang w:eastAsia="en-IN"/>
        </w:rPr>
        <w:t>Figure 2: Geographical heat map highlighting the states with percentage of tobacco quitters</w:t>
      </w:r>
    </w:p>
    <w:p w14:paraId="4E56337B" w14:textId="77777777" w:rsidR="007313E3" w:rsidRPr="007313E3" w:rsidRDefault="007313E3" w:rsidP="007313E3">
      <w:pPr>
        <w:spacing w:before="100" w:beforeAutospacing="1" w:after="100" w:afterAutospacing="1"/>
        <w:rPr>
          <w:sz w:val="22"/>
          <w:szCs w:val="22"/>
          <w:lang w:eastAsia="en-IN"/>
        </w:rPr>
      </w:pPr>
      <w:r w:rsidRPr="007313E3">
        <w:rPr>
          <w:b/>
          <w:bCs/>
          <w:sz w:val="22"/>
          <w:szCs w:val="22"/>
          <w:lang w:eastAsia="en-IN"/>
        </w:rPr>
        <w:t>Drastic Decrease in Tobacco Use</w:t>
      </w:r>
    </w:p>
    <w:p w14:paraId="5C01C2DC" w14:textId="77777777" w:rsidR="007313E3" w:rsidRDefault="007313E3" w:rsidP="007313E3">
      <w:pPr>
        <w:spacing w:before="100" w:beforeAutospacing="1" w:after="100" w:afterAutospacing="1"/>
        <w:rPr>
          <w:sz w:val="22"/>
          <w:szCs w:val="22"/>
          <w:lang w:eastAsia="en-IN"/>
        </w:rPr>
      </w:pPr>
      <w:r w:rsidRPr="007313E3">
        <w:rPr>
          <w:sz w:val="22"/>
          <w:szCs w:val="22"/>
          <w:lang w:eastAsia="en-IN"/>
        </w:rPr>
        <w:t>The bar plot showing the ratio between ‘Ever tobacco users’ and ‘Current tobacco users’ indicates that Himachal Pradesh has the highest ratio, suggesting significant success in reducing tobacco usage. This implies that studying the methods implemented by Himachal Pradesh could help curb tobacco initiation in other states, providing a model for effective tobacco control strategies.</w:t>
      </w:r>
    </w:p>
    <w:p w14:paraId="77DB62B1" w14:textId="6B108FF9" w:rsidR="00EA0E5A" w:rsidRDefault="00EA0E5A" w:rsidP="007313E3">
      <w:pPr>
        <w:spacing w:before="100" w:beforeAutospacing="1" w:after="100" w:afterAutospacing="1"/>
        <w:rPr>
          <w:sz w:val="22"/>
          <w:szCs w:val="22"/>
          <w:lang w:eastAsia="en-IN"/>
        </w:rPr>
      </w:pPr>
      <w:r w:rsidRPr="007313E3">
        <w:rPr>
          <w:noProof/>
          <w:sz w:val="22"/>
          <w:szCs w:val="22"/>
          <w:lang w:eastAsia="en-IN"/>
        </w:rPr>
        <w:lastRenderedPageBreak/>
        <w:drawing>
          <wp:inline distT="0" distB="0" distL="0" distR="0" wp14:anchorId="757022EA" wp14:editId="7223F0DD">
            <wp:extent cx="3200400" cy="1684847"/>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a:off x="0" y="0"/>
                      <a:ext cx="3200400" cy="1684847"/>
                    </a:xfrm>
                    <a:prstGeom prst="rect">
                      <a:avLst/>
                    </a:prstGeom>
                  </pic:spPr>
                </pic:pic>
              </a:graphicData>
            </a:graphic>
          </wp:inline>
        </w:drawing>
      </w:r>
    </w:p>
    <w:p w14:paraId="12CBA1FC" w14:textId="3485FEA3" w:rsidR="00EA0E5A" w:rsidRPr="00017CEE" w:rsidRDefault="00017CEE" w:rsidP="00017CEE">
      <w:pPr>
        <w:spacing w:before="100" w:beforeAutospacing="1" w:after="100" w:afterAutospacing="1"/>
        <w:jc w:val="both"/>
        <w:rPr>
          <w:i/>
          <w:iCs/>
          <w:sz w:val="22"/>
          <w:szCs w:val="22"/>
          <w:lang w:eastAsia="en-IN"/>
        </w:rPr>
      </w:pPr>
      <w:r w:rsidRPr="007313E3">
        <w:rPr>
          <w:i/>
          <w:iCs/>
          <w:sz w:val="22"/>
          <w:szCs w:val="22"/>
          <w:lang w:eastAsia="en-IN"/>
        </w:rPr>
        <w:t>Figure 3: Bar graph indicating the use of tobacco products in the states.</w:t>
      </w:r>
    </w:p>
    <w:p w14:paraId="4A9D4F35" w14:textId="77777777" w:rsidR="007313E3" w:rsidRPr="007313E3" w:rsidRDefault="007313E3" w:rsidP="007313E3">
      <w:pPr>
        <w:spacing w:before="100" w:beforeAutospacing="1" w:after="100" w:afterAutospacing="1"/>
        <w:rPr>
          <w:sz w:val="22"/>
          <w:szCs w:val="22"/>
          <w:lang w:eastAsia="en-IN"/>
        </w:rPr>
      </w:pPr>
      <w:r w:rsidRPr="007313E3">
        <w:rPr>
          <w:b/>
          <w:bCs/>
          <w:sz w:val="22"/>
          <w:szCs w:val="22"/>
          <w:lang w:eastAsia="en-IN"/>
        </w:rPr>
        <w:t>Rural vs. Urban Tobacco Usage</w:t>
      </w:r>
    </w:p>
    <w:p w14:paraId="0FF48391" w14:textId="77777777" w:rsidR="007313E3" w:rsidRDefault="007313E3" w:rsidP="007313E3">
      <w:pPr>
        <w:spacing w:before="100" w:beforeAutospacing="1" w:after="100" w:afterAutospacing="1"/>
        <w:rPr>
          <w:sz w:val="22"/>
          <w:szCs w:val="22"/>
          <w:lang w:eastAsia="en-IN"/>
        </w:rPr>
      </w:pPr>
      <w:r w:rsidRPr="007313E3">
        <w:rPr>
          <w:sz w:val="22"/>
          <w:szCs w:val="22"/>
          <w:lang w:eastAsia="en-IN"/>
        </w:rPr>
        <w:t>Data analysis shows that rural areas have a higher percentage of tobacco users compared to urban areas. This disparity is likely due to less access to educational resources about the health risks associated with tobacco use in rural communities. This finding highlights the need for more robust educational campaigns and resources in rural areas to address this public health issue.</w:t>
      </w:r>
    </w:p>
    <w:p w14:paraId="17D4D19D" w14:textId="153CB596" w:rsidR="00EA0E5A" w:rsidRDefault="00EA0E5A" w:rsidP="007313E3">
      <w:pPr>
        <w:spacing w:before="100" w:beforeAutospacing="1" w:after="100" w:afterAutospacing="1"/>
        <w:rPr>
          <w:sz w:val="22"/>
          <w:szCs w:val="22"/>
          <w:lang w:eastAsia="en-IN"/>
        </w:rPr>
      </w:pPr>
      <w:r w:rsidRPr="007313E3">
        <w:rPr>
          <w:i/>
          <w:iCs/>
          <w:noProof/>
          <w:sz w:val="22"/>
          <w:szCs w:val="22"/>
          <w:lang w:eastAsia="en-IN"/>
        </w:rPr>
        <w:drawing>
          <wp:inline distT="0" distB="0" distL="0" distR="0" wp14:anchorId="550EF9C2" wp14:editId="3A905F25">
            <wp:extent cx="2690233" cy="2044648"/>
            <wp:effectExtent l="152400" t="152400" r="339090" b="3371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2718757" cy="2066327"/>
                    </a:xfrm>
                    <a:prstGeom prst="rect">
                      <a:avLst/>
                    </a:prstGeom>
                    <a:ln>
                      <a:noFill/>
                    </a:ln>
                    <a:effectLst>
                      <a:outerShdw blurRad="292100" dist="139700" dir="2700000" algn="tl" rotWithShape="0">
                        <a:srgbClr val="333333">
                          <a:alpha val="65000"/>
                        </a:srgbClr>
                      </a:outerShdw>
                    </a:effectLst>
                  </pic:spPr>
                </pic:pic>
              </a:graphicData>
            </a:graphic>
          </wp:inline>
        </w:drawing>
      </w:r>
    </w:p>
    <w:p w14:paraId="0E783495" w14:textId="77777777" w:rsidR="00017CEE" w:rsidRPr="007313E3" w:rsidRDefault="00017CEE" w:rsidP="00017CEE">
      <w:pPr>
        <w:spacing w:before="100" w:beforeAutospacing="1" w:after="100" w:afterAutospacing="1"/>
        <w:jc w:val="both"/>
        <w:rPr>
          <w:i/>
          <w:iCs/>
          <w:sz w:val="22"/>
          <w:szCs w:val="22"/>
          <w:lang w:eastAsia="en-IN"/>
        </w:rPr>
      </w:pPr>
      <w:r w:rsidRPr="007313E3">
        <w:rPr>
          <w:i/>
          <w:iCs/>
          <w:sz w:val="22"/>
          <w:szCs w:val="22"/>
          <w:lang w:eastAsia="en-IN"/>
        </w:rPr>
        <w:t>Figure 4: Bar plot indicating which Area has the highest number of tobacco users.</w:t>
      </w:r>
    </w:p>
    <w:p w14:paraId="06A8A2BF" w14:textId="77777777" w:rsidR="00017CEE" w:rsidRPr="007313E3" w:rsidRDefault="00017CEE" w:rsidP="007313E3">
      <w:pPr>
        <w:spacing w:before="100" w:beforeAutospacing="1" w:after="100" w:afterAutospacing="1"/>
        <w:rPr>
          <w:sz w:val="22"/>
          <w:szCs w:val="22"/>
          <w:lang w:eastAsia="en-IN"/>
        </w:rPr>
      </w:pPr>
    </w:p>
    <w:p w14:paraId="326806F3" w14:textId="32F36A26" w:rsidR="007313E3" w:rsidRPr="007313E3" w:rsidRDefault="007313E3" w:rsidP="007313E3">
      <w:pPr>
        <w:spacing w:before="100" w:beforeAutospacing="1" w:after="100" w:afterAutospacing="1"/>
        <w:jc w:val="both"/>
        <w:outlineLvl w:val="3"/>
        <w:rPr>
          <w:b/>
          <w:bCs/>
          <w:sz w:val="22"/>
          <w:szCs w:val="22"/>
          <w:lang w:eastAsia="en-IN"/>
        </w:rPr>
      </w:pPr>
      <w:r w:rsidRPr="007313E3">
        <w:rPr>
          <w:b/>
          <w:bCs/>
          <w:sz w:val="22"/>
          <w:szCs w:val="22"/>
          <w:lang w:eastAsia="en-IN"/>
        </w:rPr>
        <w:t>Impact of Media Exposure</w:t>
      </w:r>
    </w:p>
    <w:p w14:paraId="5BDF77BC" w14:textId="77777777" w:rsidR="007313E3" w:rsidRDefault="007313E3" w:rsidP="007313E3">
      <w:pPr>
        <w:spacing w:before="100" w:beforeAutospacing="1" w:after="100" w:afterAutospacing="1"/>
        <w:jc w:val="both"/>
        <w:rPr>
          <w:sz w:val="22"/>
          <w:szCs w:val="22"/>
          <w:lang w:eastAsia="en-IN"/>
        </w:rPr>
      </w:pPr>
      <w:r w:rsidRPr="007313E3">
        <w:rPr>
          <w:sz w:val="22"/>
          <w:szCs w:val="22"/>
          <w:lang w:eastAsia="en-IN"/>
        </w:rPr>
        <w:t xml:space="preserve">A scatter plot with a regression line indicated a positive correlation between students who saw tobacco use in </w:t>
      </w:r>
      <w:r w:rsidRPr="007313E3">
        <w:rPr>
          <w:sz w:val="22"/>
          <w:szCs w:val="22"/>
          <w:lang w:eastAsia="en-IN"/>
        </w:rPr>
        <w:t>mass media and current tobacco users (Pearson correlation coefficient: 0.65, p-value &lt; 0.001). This suggests that media exposure significantly influences youth tobacco use, necessitating stricter regulations on tobacco advertising.</w:t>
      </w:r>
    </w:p>
    <w:p w14:paraId="04A6A82F" w14:textId="7C03A7F2" w:rsidR="00EA0E5A" w:rsidRDefault="00EA0E5A" w:rsidP="007313E3">
      <w:pPr>
        <w:spacing w:before="100" w:beforeAutospacing="1" w:after="100" w:afterAutospacing="1"/>
        <w:jc w:val="both"/>
        <w:rPr>
          <w:sz w:val="22"/>
          <w:szCs w:val="22"/>
          <w:lang w:eastAsia="en-IN"/>
        </w:rPr>
      </w:pPr>
      <w:r w:rsidRPr="007313E3">
        <w:rPr>
          <w:i/>
          <w:iCs/>
          <w:noProof/>
          <w:sz w:val="22"/>
          <w:szCs w:val="22"/>
          <w:lang w:eastAsia="en-IN"/>
        </w:rPr>
        <w:drawing>
          <wp:inline distT="0" distB="0" distL="0" distR="0" wp14:anchorId="334EE501" wp14:editId="74B41507">
            <wp:extent cx="2840859" cy="1847850"/>
            <wp:effectExtent l="0" t="0" r="0" b="0"/>
            <wp:docPr id="2036441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41434" name="Picture 2"/>
                    <pic:cNvPicPr>
                      <a:picLocks noChangeAspect="1"/>
                    </pic:cNvPicPr>
                  </pic:nvPicPr>
                  <pic:blipFill>
                    <a:blip r:embed="rId16"/>
                    <a:stretch>
                      <a:fillRect/>
                    </a:stretch>
                  </pic:blipFill>
                  <pic:spPr>
                    <a:xfrm>
                      <a:off x="0" y="0"/>
                      <a:ext cx="2892700" cy="1881570"/>
                    </a:xfrm>
                    <a:prstGeom prst="rect">
                      <a:avLst/>
                    </a:prstGeom>
                  </pic:spPr>
                </pic:pic>
              </a:graphicData>
            </a:graphic>
          </wp:inline>
        </w:drawing>
      </w:r>
    </w:p>
    <w:p w14:paraId="162ED188" w14:textId="196E1BB5" w:rsidR="00940BA2" w:rsidRPr="00017CEE" w:rsidRDefault="00940BA2" w:rsidP="007313E3">
      <w:pPr>
        <w:spacing w:before="100" w:beforeAutospacing="1" w:after="100" w:afterAutospacing="1"/>
        <w:jc w:val="both"/>
        <w:rPr>
          <w:i/>
          <w:iCs/>
          <w:sz w:val="24"/>
          <w:szCs w:val="24"/>
          <w:lang w:eastAsia="en-IN"/>
        </w:rPr>
      </w:pPr>
      <w:r>
        <w:rPr>
          <w:i/>
          <w:iCs/>
          <w:sz w:val="24"/>
          <w:szCs w:val="24"/>
          <w:lang w:eastAsia="en-IN"/>
        </w:rPr>
        <w:t>Figure 5: Scatter plot showing the positive correlation between media exposure and current tobacco use.</w:t>
      </w:r>
    </w:p>
    <w:p w14:paraId="270150DF" w14:textId="77777777" w:rsidR="007313E3" w:rsidRPr="007313E3" w:rsidRDefault="007313E3" w:rsidP="007313E3">
      <w:pPr>
        <w:spacing w:before="100" w:beforeAutospacing="1" w:after="100" w:afterAutospacing="1"/>
        <w:rPr>
          <w:sz w:val="22"/>
          <w:szCs w:val="22"/>
          <w:lang w:eastAsia="en-IN"/>
        </w:rPr>
      </w:pPr>
      <w:r w:rsidRPr="007313E3">
        <w:rPr>
          <w:b/>
          <w:bCs/>
          <w:sz w:val="22"/>
          <w:szCs w:val="22"/>
          <w:lang w:eastAsia="en-IN"/>
        </w:rPr>
        <w:t>Age of Initiation of Cigarette Smoking</w:t>
      </w:r>
    </w:p>
    <w:p w14:paraId="7888523A" w14:textId="77777777" w:rsidR="007313E3" w:rsidRDefault="007313E3" w:rsidP="007313E3">
      <w:pPr>
        <w:spacing w:before="100" w:beforeAutospacing="1" w:after="100" w:afterAutospacing="1"/>
        <w:rPr>
          <w:sz w:val="22"/>
          <w:szCs w:val="22"/>
          <w:lang w:eastAsia="en-IN"/>
        </w:rPr>
      </w:pPr>
      <w:r w:rsidRPr="007313E3">
        <w:rPr>
          <w:sz w:val="22"/>
          <w:szCs w:val="22"/>
          <w:lang w:eastAsia="en-IN"/>
        </w:rPr>
        <w:t>The boxplot analysis reveals that the age band of 10 to 12.5 years is when most people start smoking, with an even lower initiation age in central and north India. This early initiation underscores the urgent need for early intervention programs targeting young children to prevent the onset of tobacco use.</w:t>
      </w:r>
    </w:p>
    <w:p w14:paraId="47ADCD66" w14:textId="4A8BB586" w:rsidR="00EA0E5A" w:rsidRDefault="00EA0E5A" w:rsidP="007313E3">
      <w:pPr>
        <w:spacing w:before="100" w:beforeAutospacing="1" w:after="100" w:afterAutospacing="1"/>
        <w:rPr>
          <w:sz w:val="22"/>
          <w:szCs w:val="22"/>
          <w:lang w:eastAsia="en-IN"/>
        </w:rPr>
      </w:pPr>
      <w:r>
        <w:rPr>
          <w:i/>
          <w:iCs/>
          <w:noProof/>
          <w:sz w:val="24"/>
          <w:szCs w:val="24"/>
          <w:lang w:eastAsia="en-IN"/>
        </w:rPr>
        <w:drawing>
          <wp:inline distT="0" distB="0" distL="0" distR="0" wp14:anchorId="6CBFB729" wp14:editId="57A6ECEB">
            <wp:extent cx="3200400" cy="2428179"/>
            <wp:effectExtent l="0" t="0" r="0" b="0"/>
            <wp:docPr id="13761845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84541" name="Picture 3"/>
                    <pic:cNvPicPr>
                      <a:picLocks noChangeAspect="1"/>
                    </pic:cNvPicPr>
                  </pic:nvPicPr>
                  <pic:blipFill>
                    <a:blip r:embed="rId17"/>
                    <a:stretch>
                      <a:fillRect/>
                    </a:stretch>
                  </pic:blipFill>
                  <pic:spPr>
                    <a:xfrm>
                      <a:off x="0" y="0"/>
                      <a:ext cx="3200400" cy="2428179"/>
                    </a:xfrm>
                    <a:prstGeom prst="rect">
                      <a:avLst/>
                    </a:prstGeom>
                  </pic:spPr>
                </pic:pic>
              </a:graphicData>
            </a:graphic>
          </wp:inline>
        </w:drawing>
      </w:r>
    </w:p>
    <w:p w14:paraId="01813FCB" w14:textId="77777777" w:rsidR="004207E4" w:rsidRDefault="004207E4" w:rsidP="004207E4">
      <w:pPr>
        <w:spacing w:before="100" w:beforeAutospacing="1" w:after="100" w:afterAutospacing="1"/>
        <w:jc w:val="both"/>
        <w:rPr>
          <w:i/>
          <w:iCs/>
          <w:sz w:val="24"/>
          <w:szCs w:val="24"/>
          <w:lang w:eastAsia="en-IN"/>
        </w:rPr>
      </w:pPr>
      <w:r>
        <w:rPr>
          <w:i/>
          <w:iCs/>
          <w:sz w:val="24"/>
          <w:szCs w:val="24"/>
          <w:lang w:eastAsia="en-IN"/>
        </w:rPr>
        <w:t>Figure 6: Box plot indicating which age group have started smoking.</w:t>
      </w:r>
    </w:p>
    <w:p w14:paraId="7830C1A1" w14:textId="77777777" w:rsidR="004207E4" w:rsidRPr="007313E3" w:rsidRDefault="004207E4" w:rsidP="007313E3">
      <w:pPr>
        <w:spacing w:before="100" w:beforeAutospacing="1" w:after="100" w:afterAutospacing="1"/>
        <w:rPr>
          <w:sz w:val="22"/>
          <w:szCs w:val="22"/>
          <w:lang w:eastAsia="en-IN"/>
        </w:rPr>
      </w:pPr>
    </w:p>
    <w:p w14:paraId="20C76565" w14:textId="77777777" w:rsidR="007313E3" w:rsidRPr="007313E3" w:rsidRDefault="007313E3" w:rsidP="007313E3">
      <w:pPr>
        <w:spacing w:before="100" w:beforeAutospacing="1" w:after="100" w:afterAutospacing="1"/>
        <w:jc w:val="both"/>
        <w:outlineLvl w:val="2"/>
        <w:rPr>
          <w:b/>
          <w:bCs/>
          <w:sz w:val="22"/>
          <w:szCs w:val="22"/>
          <w:lang w:eastAsia="en-IN"/>
        </w:rPr>
      </w:pPr>
      <w:r w:rsidRPr="007313E3">
        <w:rPr>
          <w:b/>
          <w:bCs/>
          <w:sz w:val="22"/>
          <w:szCs w:val="22"/>
          <w:lang w:eastAsia="en-IN"/>
        </w:rPr>
        <w:lastRenderedPageBreak/>
        <w:t>Discussion</w:t>
      </w:r>
    </w:p>
    <w:p w14:paraId="1C89A3F1" w14:textId="77777777" w:rsidR="007313E3" w:rsidRPr="007313E3" w:rsidRDefault="007313E3" w:rsidP="007313E3">
      <w:pPr>
        <w:spacing w:before="100" w:beforeAutospacing="1" w:after="100" w:afterAutospacing="1"/>
        <w:jc w:val="both"/>
        <w:rPr>
          <w:sz w:val="22"/>
          <w:szCs w:val="22"/>
          <w:lang w:eastAsia="en-IN"/>
        </w:rPr>
      </w:pPr>
      <w:r w:rsidRPr="007313E3">
        <w:rPr>
          <w:sz w:val="22"/>
          <w:szCs w:val="22"/>
          <w:lang w:eastAsia="en-IN"/>
        </w:rPr>
        <w:t>The results indicate that targeted anti-tobacco messages and strict regulation of tobacco advertising are crucial in reducing youth tobacco use. States with lower tobacco use rates have successfully implemented comprehensive tobacco control measures. Conversely, high usage rates in certain regions underscore the need for enhanced enforcement and public education efforts.</w:t>
      </w:r>
    </w:p>
    <w:p w14:paraId="67631CA1" w14:textId="77777777" w:rsidR="007313E3" w:rsidRPr="007313E3" w:rsidRDefault="007313E3" w:rsidP="007313E3">
      <w:pPr>
        <w:spacing w:before="100" w:beforeAutospacing="1" w:after="100" w:afterAutospacing="1"/>
        <w:outlineLvl w:val="2"/>
        <w:rPr>
          <w:b/>
          <w:bCs/>
          <w:sz w:val="22"/>
          <w:szCs w:val="22"/>
          <w:lang w:eastAsia="en-IN"/>
        </w:rPr>
      </w:pPr>
      <w:r w:rsidRPr="007313E3">
        <w:rPr>
          <w:b/>
          <w:bCs/>
          <w:sz w:val="22"/>
          <w:szCs w:val="22"/>
          <w:lang w:eastAsia="en-IN"/>
        </w:rPr>
        <w:t>Conclusion</w:t>
      </w:r>
    </w:p>
    <w:p w14:paraId="604E42A6" w14:textId="77777777" w:rsidR="007313E3" w:rsidRPr="007313E3" w:rsidRDefault="007313E3" w:rsidP="007313E3">
      <w:pPr>
        <w:spacing w:before="100" w:beforeAutospacing="1" w:after="100" w:afterAutospacing="1"/>
        <w:jc w:val="both"/>
        <w:rPr>
          <w:sz w:val="22"/>
          <w:szCs w:val="22"/>
          <w:lang w:eastAsia="en-IN"/>
        </w:rPr>
      </w:pPr>
      <w:r w:rsidRPr="007313E3">
        <w:rPr>
          <w:sz w:val="22"/>
          <w:szCs w:val="22"/>
          <w:lang w:eastAsia="en-IN"/>
        </w:rPr>
        <w:t>This study highlights the importance of implementing and enforcing the WHO FCTC's provisions to curb youth tobacco use. Effective strategies include stringent advertising bans, widespread dissemination of anti-tobacco messages, and targeted interventions in high-prevalence areas. Future research should focus on longitudinal studies to assess the long-term impact of these measures.</w:t>
      </w:r>
    </w:p>
    <w:p w14:paraId="355FC54E" w14:textId="77777777" w:rsidR="007313E3" w:rsidRPr="007313E3" w:rsidRDefault="007313E3" w:rsidP="007313E3">
      <w:pPr>
        <w:spacing w:before="100" w:beforeAutospacing="1" w:after="100" w:afterAutospacing="1"/>
        <w:jc w:val="both"/>
        <w:outlineLvl w:val="2"/>
        <w:rPr>
          <w:b/>
          <w:bCs/>
          <w:sz w:val="22"/>
          <w:szCs w:val="22"/>
          <w:lang w:eastAsia="en-IN"/>
        </w:rPr>
      </w:pPr>
      <w:r w:rsidRPr="007313E3">
        <w:rPr>
          <w:b/>
          <w:bCs/>
          <w:sz w:val="22"/>
          <w:szCs w:val="22"/>
          <w:lang w:eastAsia="en-IN"/>
        </w:rPr>
        <w:t>Recommendations</w:t>
      </w:r>
    </w:p>
    <w:p w14:paraId="36210380" w14:textId="77777777" w:rsidR="007313E3" w:rsidRPr="007313E3" w:rsidRDefault="007313E3" w:rsidP="007313E3">
      <w:pPr>
        <w:numPr>
          <w:ilvl w:val="0"/>
          <w:numId w:val="52"/>
        </w:numPr>
        <w:spacing w:before="100" w:beforeAutospacing="1" w:after="100" w:afterAutospacing="1"/>
        <w:jc w:val="both"/>
        <w:rPr>
          <w:sz w:val="22"/>
          <w:szCs w:val="22"/>
          <w:lang w:eastAsia="en-IN"/>
        </w:rPr>
      </w:pPr>
      <w:r w:rsidRPr="007313E3">
        <w:rPr>
          <w:b/>
          <w:bCs/>
          <w:sz w:val="22"/>
          <w:szCs w:val="22"/>
          <w:lang w:eastAsia="en-IN"/>
        </w:rPr>
        <w:t>Enhance Enforcement</w:t>
      </w:r>
      <w:r w:rsidRPr="007313E3">
        <w:rPr>
          <w:sz w:val="22"/>
          <w:szCs w:val="22"/>
          <w:lang w:eastAsia="en-IN"/>
        </w:rPr>
        <w:t>: Strengthen the enforcement of tobacco advertising bans, particularly in media accessible to youths.</w:t>
      </w:r>
    </w:p>
    <w:p w14:paraId="2B9007E3" w14:textId="77777777" w:rsidR="007313E3" w:rsidRPr="007313E3" w:rsidRDefault="007313E3" w:rsidP="007313E3">
      <w:pPr>
        <w:numPr>
          <w:ilvl w:val="0"/>
          <w:numId w:val="52"/>
        </w:numPr>
        <w:spacing w:before="100" w:beforeAutospacing="1" w:after="100" w:afterAutospacing="1"/>
        <w:jc w:val="both"/>
        <w:rPr>
          <w:sz w:val="22"/>
          <w:szCs w:val="22"/>
          <w:lang w:eastAsia="en-IN"/>
        </w:rPr>
      </w:pPr>
      <w:r w:rsidRPr="007313E3">
        <w:rPr>
          <w:b/>
          <w:bCs/>
          <w:sz w:val="22"/>
          <w:szCs w:val="22"/>
          <w:lang w:eastAsia="en-IN"/>
        </w:rPr>
        <w:t>Expand Educational Campaigns</w:t>
      </w:r>
      <w:r w:rsidRPr="007313E3">
        <w:rPr>
          <w:sz w:val="22"/>
          <w:szCs w:val="22"/>
          <w:lang w:eastAsia="en-IN"/>
        </w:rPr>
        <w:t>: Increase the reach and frequency of anti-tobacco messages through schools and community programs.</w:t>
      </w:r>
    </w:p>
    <w:p w14:paraId="4F8B66C1" w14:textId="77777777" w:rsidR="007313E3" w:rsidRPr="007313E3" w:rsidRDefault="007313E3" w:rsidP="007313E3">
      <w:pPr>
        <w:numPr>
          <w:ilvl w:val="0"/>
          <w:numId w:val="52"/>
        </w:numPr>
        <w:spacing w:before="100" w:beforeAutospacing="1" w:after="100" w:afterAutospacing="1"/>
        <w:jc w:val="both"/>
        <w:rPr>
          <w:sz w:val="22"/>
          <w:szCs w:val="22"/>
          <w:lang w:eastAsia="en-IN"/>
        </w:rPr>
      </w:pPr>
      <w:r w:rsidRPr="007313E3">
        <w:rPr>
          <w:b/>
          <w:bCs/>
          <w:sz w:val="22"/>
          <w:szCs w:val="22"/>
          <w:lang w:eastAsia="en-IN"/>
        </w:rPr>
        <w:t>Target Rural Areas</w:t>
      </w:r>
      <w:r w:rsidRPr="007313E3">
        <w:rPr>
          <w:sz w:val="22"/>
          <w:szCs w:val="22"/>
          <w:lang w:eastAsia="en-IN"/>
        </w:rPr>
        <w:t>: Develop tailored interventions for rural communities, where tobacco use prevalence is higher.</w:t>
      </w:r>
    </w:p>
    <w:p w14:paraId="31F1EB68" w14:textId="77777777" w:rsidR="007313E3" w:rsidRPr="007313E3" w:rsidRDefault="007313E3" w:rsidP="007313E3">
      <w:pPr>
        <w:numPr>
          <w:ilvl w:val="0"/>
          <w:numId w:val="52"/>
        </w:numPr>
        <w:spacing w:before="100" w:beforeAutospacing="1" w:after="100" w:afterAutospacing="1"/>
        <w:jc w:val="both"/>
        <w:rPr>
          <w:sz w:val="22"/>
          <w:szCs w:val="22"/>
          <w:lang w:eastAsia="en-IN"/>
        </w:rPr>
      </w:pPr>
      <w:r w:rsidRPr="007313E3">
        <w:rPr>
          <w:b/>
          <w:bCs/>
          <w:sz w:val="22"/>
          <w:szCs w:val="22"/>
          <w:lang w:eastAsia="en-IN"/>
        </w:rPr>
        <w:t>Monitor and Evaluate</w:t>
      </w:r>
      <w:r w:rsidRPr="007313E3">
        <w:rPr>
          <w:sz w:val="22"/>
          <w:szCs w:val="22"/>
          <w:lang w:eastAsia="en-IN"/>
        </w:rPr>
        <w:t>: Implement continuous monitoring and evaluation mechanisms to assess the effectiveness of tobacco control measures and adapt strategies as needed.</w:t>
      </w:r>
    </w:p>
    <w:p w14:paraId="28E0C0D6" w14:textId="77777777" w:rsidR="007313E3" w:rsidRPr="007313E3" w:rsidRDefault="007313E3" w:rsidP="007313E3">
      <w:pPr>
        <w:spacing w:before="100" w:beforeAutospacing="1" w:after="100" w:afterAutospacing="1"/>
        <w:jc w:val="both"/>
        <w:outlineLvl w:val="2"/>
        <w:rPr>
          <w:b/>
          <w:bCs/>
          <w:sz w:val="22"/>
          <w:szCs w:val="22"/>
          <w:lang w:eastAsia="en-IN"/>
        </w:rPr>
      </w:pPr>
      <w:r w:rsidRPr="007313E3">
        <w:rPr>
          <w:b/>
          <w:bCs/>
          <w:sz w:val="22"/>
          <w:szCs w:val="22"/>
          <w:lang w:eastAsia="en-IN"/>
        </w:rPr>
        <w:t>References</w:t>
      </w:r>
    </w:p>
    <w:p w14:paraId="5152933B" w14:textId="77777777" w:rsidR="007313E3" w:rsidRPr="007313E3" w:rsidRDefault="007313E3" w:rsidP="007313E3">
      <w:pPr>
        <w:numPr>
          <w:ilvl w:val="0"/>
          <w:numId w:val="53"/>
        </w:numPr>
        <w:spacing w:before="100" w:beforeAutospacing="1" w:after="100" w:afterAutospacing="1"/>
        <w:jc w:val="both"/>
        <w:rPr>
          <w:sz w:val="22"/>
          <w:szCs w:val="22"/>
          <w:lang w:eastAsia="en-IN"/>
        </w:rPr>
      </w:pPr>
      <w:r w:rsidRPr="007313E3">
        <w:rPr>
          <w:sz w:val="22"/>
          <w:szCs w:val="22"/>
          <w:lang w:eastAsia="en-IN"/>
        </w:rPr>
        <w:t>World Health Organization. (2003). WHO Framework Convention on Tobacco Control. WHO.</w:t>
      </w:r>
    </w:p>
    <w:p w14:paraId="2630D766" w14:textId="77777777" w:rsidR="007313E3" w:rsidRPr="007313E3" w:rsidRDefault="007313E3" w:rsidP="007313E3">
      <w:pPr>
        <w:spacing w:before="100" w:beforeAutospacing="1" w:after="100" w:afterAutospacing="1"/>
        <w:jc w:val="both"/>
        <w:outlineLvl w:val="2"/>
        <w:rPr>
          <w:b/>
          <w:bCs/>
          <w:sz w:val="22"/>
          <w:szCs w:val="22"/>
          <w:lang w:eastAsia="en-IN"/>
        </w:rPr>
      </w:pPr>
      <w:r w:rsidRPr="007313E3">
        <w:rPr>
          <w:b/>
          <w:bCs/>
          <w:sz w:val="22"/>
          <w:szCs w:val="22"/>
          <w:lang w:eastAsia="en-IN"/>
        </w:rPr>
        <w:t>Appendices</w:t>
      </w:r>
    </w:p>
    <w:p w14:paraId="3AC42B9D" w14:textId="77777777" w:rsidR="007313E3" w:rsidRPr="007313E3" w:rsidRDefault="007313E3" w:rsidP="007313E3">
      <w:pPr>
        <w:spacing w:before="100" w:beforeAutospacing="1" w:after="100" w:afterAutospacing="1"/>
        <w:jc w:val="both"/>
        <w:outlineLvl w:val="3"/>
        <w:rPr>
          <w:b/>
          <w:bCs/>
          <w:sz w:val="22"/>
          <w:szCs w:val="22"/>
          <w:lang w:eastAsia="en-IN"/>
        </w:rPr>
      </w:pPr>
      <w:r w:rsidRPr="007313E3">
        <w:rPr>
          <w:b/>
          <w:bCs/>
          <w:sz w:val="22"/>
          <w:szCs w:val="22"/>
          <w:lang w:eastAsia="en-IN"/>
        </w:rPr>
        <w:t>Appendix A: Data Pre-Processing Steps</w:t>
      </w:r>
    </w:p>
    <w:p w14:paraId="12C9EB6C" w14:textId="77777777" w:rsidR="007313E3" w:rsidRPr="007313E3" w:rsidRDefault="007313E3" w:rsidP="007313E3">
      <w:pPr>
        <w:spacing w:before="100" w:beforeAutospacing="1" w:after="100" w:afterAutospacing="1"/>
        <w:jc w:val="both"/>
        <w:rPr>
          <w:sz w:val="22"/>
          <w:szCs w:val="22"/>
          <w:lang w:eastAsia="en-IN"/>
        </w:rPr>
      </w:pPr>
      <w:r w:rsidRPr="007313E3">
        <w:rPr>
          <w:sz w:val="22"/>
          <w:szCs w:val="22"/>
          <w:lang w:eastAsia="en-IN"/>
        </w:rPr>
        <w:t>The dataset required significant cleaning to ensure accuracy and reliability. Key steps included:</w:t>
      </w:r>
    </w:p>
    <w:p w14:paraId="6759495A" w14:textId="77777777" w:rsidR="007313E3" w:rsidRPr="007313E3" w:rsidRDefault="007313E3" w:rsidP="007313E3">
      <w:pPr>
        <w:numPr>
          <w:ilvl w:val="0"/>
          <w:numId w:val="54"/>
        </w:numPr>
        <w:spacing w:before="100" w:beforeAutospacing="1" w:after="100" w:afterAutospacing="1"/>
        <w:jc w:val="both"/>
        <w:rPr>
          <w:sz w:val="22"/>
          <w:szCs w:val="22"/>
          <w:lang w:eastAsia="en-IN"/>
        </w:rPr>
      </w:pPr>
      <w:r w:rsidRPr="007313E3">
        <w:rPr>
          <w:sz w:val="22"/>
          <w:szCs w:val="22"/>
          <w:lang w:eastAsia="en-IN"/>
        </w:rPr>
        <w:t>Identifying and replacing noisy data, such as "&lt;7--&lt;7.0" values, with median values.</w:t>
      </w:r>
    </w:p>
    <w:p w14:paraId="675FE799" w14:textId="77777777" w:rsidR="007313E3" w:rsidRPr="007313E3" w:rsidRDefault="007313E3" w:rsidP="007313E3">
      <w:pPr>
        <w:numPr>
          <w:ilvl w:val="0"/>
          <w:numId w:val="54"/>
        </w:numPr>
        <w:spacing w:before="100" w:beforeAutospacing="1" w:after="100" w:afterAutospacing="1"/>
        <w:jc w:val="both"/>
        <w:rPr>
          <w:sz w:val="22"/>
          <w:szCs w:val="22"/>
          <w:lang w:eastAsia="en-IN"/>
        </w:rPr>
      </w:pPr>
      <w:r w:rsidRPr="007313E3">
        <w:rPr>
          <w:sz w:val="22"/>
          <w:szCs w:val="22"/>
          <w:lang w:eastAsia="en-IN"/>
        </w:rPr>
        <w:t>Dropping rows with irrelevant or inconsistent data.</w:t>
      </w:r>
    </w:p>
    <w:p w14:paraId="6544B39E" w14:textId="77777777" w:rsidR="007313E3" w:rsidRPr="007313E3" w:rsidRDefault="007313E3" w:rsidP="007313E3">
      <w:pPr>
        <w:numPr>
          <w:ilvl w:val="0"/>
          <w:numId w:val="54"/>
        </w:numPr>
        <w:spacing w:before="100" w:beforeAutospacing="1" w:after="100" w:afterAutospacing="1"/>
        <w:jc w:val="both"/>
        <w:rPr>
          <w:sz w:val="22"/>
          <w:szCs w:val="22"/>
          <w:lang w:eastAsia="en-IN"/>
        </w:rPr>
      </w:pPr>
      <w:r w:rsidRPr="007313E3">
        <w:rPr>
          <w:sz w:val="22"/>
          <w:szCs w:val="22"/>
          <w:lang w:eastAsia="en-IN"/>
        </w:rPr>
        <w:t>Standardizing numerical and categorical data formats.</w:t>
      </w:r>
    </w:p>
    <w:p w14:paraId="17ABA8D7" w14:textId="77777777" w:rsidR="007313E3" w:rsidRPr="007313E3" w:rsidRDefault="007313E3" w:rsidP="007313E3">
      <w:pPr>
        <w:spacing w:before="100" w:beforeAutospacing="1" w:after="100" w:afterAutospacing="1"/>
        <w:jc w:val="both"/>
        <w:outlineLvl w:val="3"/>
        <w:rPr>
          <w:b/>
          <w:bCs/>
          <w:sz w:val="22"/>
          <w:szCs w:val="22"/>
          <w:lang w:eastAsia="en-IN"/>
        </w:rPr>
      </w:pPr>
      <w:r w:rsidRPr="007313E3">
        <w:rPr>
          <w:b/>
          <w:bCs/>
          <w:sz w:val="22"/>
          <w:szCs w:val="22"/>
          <w:lang w:eastAsia="en-IN"/>
        </w:rPr>
        <w:t>Appendix B: Detailed Statistical Analysis</w:t>
      </w:r>
    </w:p>
    <w:p w14:paraId="2F78FDEC" w14:textId="77777777" w:rsidR="007313E3" w:rsidRPr="007313E3" w:rsidRDefault="007313E3" w:rsidP="007313E3">
      <w:pPr>
        <w:spacing w:before="100" w:beforeAutospacing="1" w:after="100" w:afterAutospacing="1"/>
        <w:jc w:val="both"/>
        <w:rPr>
          <w:sz w:val="22"/>
          <w:szCs w:val="22"/>
          <w:lang w:eastAsia="en-IN"/>
        </w:rPr>
      </w:pPr>
      <w:r w:rsidRPr="007313E3">
        <w:rPr>
          <w:sz w:val="22"/>
          <w:szCs w:val="22"/>
          <w:lang w:eastAsia="en-IN"/>
        </w:rPr>
        <w:t>This appendix provides comprehensive details on the statistical tests performed, including correlation coefficients, p-values, and regression analysis results.</w:t>
      </w:r>
    </w:p>
    <w:p w14:paraId="53E8376A" w14:textId="0E3696BF" w:rsidR="007313E3" w:rsidRPr="007313E3" w:rsidRDefault="007313E3" w:rsidP="007313E3">
      <w:pPr>
        <w:spacing w:before="100" w:beforeAutospacing="1" w:after="100" w:afterAutospacing="1"/>
        <w:jc w:val="both"/>
        <w:rPr>
          <w:sz w:val="22"/>
          <w:szCs w:val="22"/>
          <w:lang w:eastAsia="en-IN"/>
        </w:rPr>
      </w:pPr>
    </w:p>
    <w:p w14:paraId="0EA2B2C8" w14:textId="30665FD6" w:rsidR="007313E3" w:rsidRPr="007313E3" w:rsidRDefault="007313E3" w:rsidP="007313E3">
      <w:pPr>
        <w:spacing w:before="100" w:beforeAutospacing="1" w:after="100" w:afterAutospacing="1"/>
        <w:jc w:val="both"/>
        <w:rPr>
          <w:i/>
          <w:iCs/>
          <w:sz w:val="22"/>
          <w:szCs w:val="22"/>
          <w:lang w:eastAsia="en-IN"/>
        </w:rPr>
      </w:pPr>
      <w:r w:rsidRPr="007313E3">
        <w:rPr>
          <w:noProof/>
          <w:sz w:val="22"/>
          <w:szCs w:val="22"/>
        </w:rPr>
        <mc:AlternateContent>
          <mc:Choice Requires="wps">
            <w:drawing>
              <wp:inline distT="0" distB="0" distL="0" distR="0" wp14:anchorId="0494CA65" wp14:editId="5BCFDAAB">
                <wp:extent cx="304800" cy="304800"/>
                <wp:effectExtent l="0" t="0" r="0" b="0"/>
                <wp:docPr id="1370386421"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14:paraId="0E8A26D9" w14:textId="77777777" w:rsidR="007313E3" w:rsidRDefault="007313E3" w:rsidP="007313E3"/>
                        </w:txbxContent>
                      </wps:txbx>
                      <wps:bodyPr rot="0" vert="horz" wrap="square" lIns="91440" tIns="45720" rIns="91440" bIns="45720" anchor="t" anchorCtr="0" upright="1">
                        <a:noAutofit/>
                      </wps:bodyPr>
                    </wps:wsp>
                  </a:graphicData>
                </a:graphic>
              </wp:inline>
            </w:drawing>
          </mc:Choice>
          <mc:Fallback>
            <w:pict>
              <v:rect w14:anchorId="0494CA65"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0E8A26D9" w14:textId="77777777" w:rsidR="007313E3" w:rsidRDefault="007313E3" w:rsidP="007313E3"/>
                  </w:txbxContent>
                </v:textbox>
                <w10:anchorlock/>
              </v:rect>
            </w:pict>
          </mc:Fallback>
        </mc:AlternateContent>
      </w:r>
    </w:p>
    <w:p w14:paraId="12B14AE5" w14:textId="2579BD17" w:rsidR="007313E3" w:rsidRPr="007313E3" w:rsidRDefault="007313E3" w:rsidP="007313E3">
      <w:pPr>
        <w:spacing w:before="100" w:beforeAutospacing="1" w:after="100" w:afterAutospacing="1"/>
        <w:jc w:val="both"/>
        <w:rPr>
          <w:sz w:val="22"/>
          <w:szCs w:val="22"/>
          <w:lang w:eastAsia="en-IN"/>
        </w:rPr>
      </w:pPr>
    </w:p>
    <w:p w14:paraId="19A1FA23" w14:textId="2BA24120" w:rsidR="007313E3" w:rsidRPr="00940BA2" w:rsidRDefault="007313E3" w:rsidP="007313E3">
      <w:pPr>
        <w:spacing w:before="100" w:beforeAutospacing="1" w:after="100" w:afterAutospacing="1"/>
        <w:jc w:val="both"/>
        <w:rPr>
          <w:i/>
          <w:iCs/>
          <w:sz w:val="22"/>
          <w:szCs w:val="22"/>
          <w:lang w:eastAsia="en-IN"/>
        </w:rPr>
      </w:pPr>
      <w:r w:rsidRPr="007313E3">
        <w:rPr>
          <w:noProof/>
          <w:sz w:val="22"/>
          <w:szCs w:val="22"/>
        </w:rPr>
        <mc:AlternateContent>
          <mc:Choice Requires="wps">
            <w:drawing>
              <wp:inline distT="0" distB="0" distL="0" distR="0" wp14:anchorId="3BF7F98B" wp14:editId="15694A7B">
                <wp:extent cx="304800" cy="304800"/>
                <wp:effectExtent l="0" t="0" r="0" b="0"/>
                <wp:docPr id="403096528"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14:paraId="740B2E7B" w14:textId="77777777" w:rsidR="007313E3" w:rsidRDefault="007313E3" w:rsidP="007313E3"/>
                        </w:txbxContent>
                      </wps:txbx>
                      <wps:bodyPr rot="0" vert="horz" wrap="square" lIns="91440" tIns="45720" rIns="91440" bIns="45720" anchor="t" anchorCtr="0" upright="1">
                        <a:noAutofit/>
                      </wps:bodyPr>
                    </wps:wsp>
                  </a:graphicData>
                </a:graphic>
              </wp:inline>
            </w:drawing>
          </mc:Choice>
          <mc:Fallback>
            <w:pict>
              <v:rect w14:anchorId="3BF7F98B" id="Rectangle 7" o:spid="_x0000_s102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xFNEXc&#10;AQAAsAMAAA4AAAAAAAAAAAAAAAAALgIAAGRycy9lMm9Eb2MueG1sUEsBAi0AFAAGAAgAAAAhAEyg&#10;6SzYAAAAAwEAAA8AAAAAAAAAAAAAAAAANgQAAGRycy9kb3ducmV2LnhtbFBLBQYAAAAABAAEAPMA&#10;AAA7BQAAAAA=&#10;" filled="f" stroked="f">
                <o:lock v:ext="edit" aspectratio="t"/>
                <v:textbox>
                  <w:txbxContent>
                    <w:p w14:paraId="740B2E7B" w14:textId="77777777" w:rsidR="007313E3" w:rsidRDefault="007313E3" w:rsidP="007313E3"/>
                  </w:txbxContent>
                </v:textbox>
                <w10:anchorlock/>
              </v:rect>
            </w:pict>
          </mc:Fallback>
        </mc:AlternateContent>
      </w:r>
    </w:p>
    <w:p w14:paraId="7605C3F6" w14:textId="120E0DBB" w:rsidR="007313E3" w:rsidRDefault="007313E3" w:rsidP="007313E3">
      <w:pPr>
        <w:spacing w:before="100" w:beforeAutospacing="1" w:after="100" w:afterAutospacing="1"/>
        <w:jc w:val="both"/>
        <w:rPr>
          <w:i/>
          <w:iCs/>
          <w:sz w:val="24"/>
          <w:szCs w:val="24"/>
          <w:lang w:eastAsia="en-IN"/>
        </w:rPr>
      </w:pPr>
    </w:p>
    <w:p w14:paraId="4CEF86C0" w14:textId="77777777" w:rsidR="007313E3" w:rsidRDefault="007313E3" w:rsidP="007313E3">
      <w:pPr>
        <w:spacing w:before="100" w:beforeAutospacing="1" w:after="100" w:afterAutospacing="1"/>
        <w:jc w:val="both"/>
        <w:rPr>
          <w:i/>
          <w:iCs/>
          <w:sz w:val="24"/>
          <w:szCs w:val="24"/>
          <w:lang w:eastAsia="en-IN"/>
        </w:rPr>
      </w:pPr>
    </w:p>
    <w:p w14:paraId="3C4A399D" w14:textId="36F5C1FB" w:rsidR="00E96A3A" w:rsidRPr="00844F16" w:rsidRDefault="00E96A3A" w:rsidP="007313E3">
      <w:pPr>
        <w:pStyle w:val="Abstract"/>
      </w:pPr>
    </w:p>
    <w:sectPr w:rsidR="00E96A3A" w:rsidRPr="00844F16" w:rsidSect="0063701A">
      <w:headerReference w:type="default" r:id="rId18"/>
      <w:footerReference w:type="default" r:id="rId19"/>
      <w:headerReference w:type="first" r:id="rId20"/>
      <w:footerReference w:type="first" r:id="rId21"/>
      <w:pgSz w:w="12240" w:h="15840" w:code="1"/>
      <w:pgMar w:top="1008" w:right="936" w:bottom="1008" w:left="936" w:header="432" w:footer="946"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23EF1" w14:textId="77777777" w:rsidR="00561E75" w:rsidRDefault="00561E75">
      <w:r>
        <w:separator/>
      </w:r>
    </w:p>
  </w:endnote>
  <w:endnote w:type="continuationSeparator" w:id="0">
    <w:p w14:paraId="195B4262" w14:textId="77777777" w:rsidR="00561E75" w:rsidRDefault="00561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69643" w14:textId="61E9BDDE" w:rsidR="002664DE" w:rsidRPr="00A37EC6" w:rsidRDefault="002664DE" w:rsidP="00F2375D">
    <w:pPr>
      <w:pStyle w:val="Footer"/>
      <w:rPr>
        <w:rStyle w:val="PageNumber"/>
        <w:color w:val="FF0000"/>
        <w:lang w:val="en-AU"/>
      </w:rPr>
    </w:pPr>
    <w:r w:rsidRPr="00A37EC6">
      <w:rPr>
        <w:color w:val="FF0000"/>
        <w:lang w:val="en-NZ"/>
      </w:rPr>
      <w:t>KLE Technological University, Hubballi</w:t>
    </w:r>
    <w:r w:rsidRPr="00A37EC6">
      <w:rPr>
        <w:color w:val="FF0000"/>
        <w:lang w:val="en-AU"/>
      </w:rPr>
      <w:t>, India</w:t>
    </w:r>
  </w:p>
  <w:p w14:paraId="4CBF513F" w14:textId="77777777" w:rsidR="002664DE" w:rsidRPr="00A37EC6" w:rsidRDefault="002664DE">
    <w:pPr>
      <w:pStyle w:val="Footer"/>
      <w:rPr>
        <w:color w:val="FF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D5BD5" w14:textId="2FA8C766" w:rsidR="002664DE" w:rsidRPr="00A37EC6" w:rsidRDefault="002664DE" w:rsidP="00F2375D">
    <w:pPr>
      <w:pStyle w:val="Footer"/>
      <w:rPr>
        <w:rStyle w:val="PageNumber"/>
        <w:color w:val="FF0000"/>
        <w:lang w:val="en-AU"/>
      </w:rPr>
    </w:pPr>
    <w:bookmarkStart w:id="0" w:name="_Hlk139221167"/>
    <w:r w:rsidRPr="00A37EC6">
      <w:rPr>
        <w:color w:val="FF0000"/>
        <w:lang w:val="en-NZ"/>
      </w:rPr>
      <w:t>KLE Technological University, Hubli</w:t>
    </w:r>
    <w:r w:rsidRPr="00A37EC6">
      <w:rPr>
        <w:color w:val="FF0000"/>
        <w:lang w:val="en-AU"/>
      </w:rPr>
      <w:t>, India</w:t>
    </w:r>
    <w:bookmarkEnd w:id="0"/>
  </w:p>
  <w:p w14:paraId="6618C4A1" w14:textId="77777777" w:rsidR="002664DE" w:rsidRPr="00A37EC6" w:rsidRDefault="002664DE" w:rsidP="00325819">
    <w:pPr>
      <w:pStyle w:val="Footer"/>
      <w:jc w:val="right"/>
      <w:rPr>
        <w:color w:val="FF0000"/>
      </w:rPr>
    </w:pPr>
  </w:p>
  <w:p w14:paraId="5F3C54EA" w14:textId="77777777" w:rsidR="002664DE" w:rsidRPr="00A37EC6" w:rsidRDefault="002664DE">
    <w:pPr>
      <w:pStyle w:val="Footer"/>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9BAC0" w14:textId="77777777" w:rsidR="00561E75" w:rsidRDefault="00561E75"/>
  </w:footnote>
  <w:footnote w:type="continuationSeparator" w:id="0">
    <w:p w14:paraId="18C8DBFB" w14:textId="77777777" w:rsidR="00561E75" w:rsidRDefault="00561E75">
      <w:r>
        <w:continuationSeparator/>
      </w:r>
    </w:p>
  </w:footnote>
  <w:footnote w:id="1">
    <w:p w14:paraId="7151A865" w14:textId="77777777" w:rsidR="002664DE" w:rsidRPr="0063701A" w:rsidRDefault="002664DE" w:rsidP="0063701A">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F7E90" w14:textId="77777777" w:rsidR="002664DE" w:rsidRDefault="002664DE" w:rsidP="00254683">
    <w:pPr>
      <w:jc w:val="center"/>
      <w:rPr>
        <w:b/>
      </w:rPr>
    </w:pPr>
  </w:p>
  <w:p w14:paraId="21071BBA" w14:textId="423B7769" w:rsidR="002664DE" w:rsidRPr="00254683" w:rsidRDefault="007313E3" w:rsidP="00254683">
    <w:pPr>
      <w:jc w:val="center"/>
    </w:pPr>
    <w:r>
      <w:rPr>
        <w:noProof/>
      </w:rPr>
      <mc:AlternateContent>
        <mc:Choice Requires="wps">
          <w:drawing>
            <wp:anchor distT="0" distB="0" distL="114298" distR="114298" simplePos="0" relativeHeight="251667456" behindDoc="0" locked="0" layoutInCell="1" allowOverlap="1" wp14:anchorId="784D1BAA" wp14:editId="13ABD5F3">
              <wp:simplePos x="0" y="0"/>
              <wp:positionH relativeFrom="column">
                <wp:posOffset>-25401</wp:posOffset>
              </wp:positionH>
              <wp:positionV relativeFrom="paragraph">
                <wp:posOffset>25400</wp:posOffset>
              </wp:positionV>
              <wp:extent cx="0" cy="12700"/>
              <wp:effectExtent l="0" t="0" r="19050" b="6350"/>
              <wp:wrapNone/>
              <wp:docPr id="1106157706"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0B781C28" id="_x0000_t32" coordsize="21600,21600" o:spt="32" o:oned="t" path="m,l21600,21600e" filled="f">
              <v:path arrowok="t" fillok="f" o:connecttype="none"/>
              <o:lock v:ext="edit" shapetype="t"/>
            </v:shapetype>
            <v:shape id="Straight Arrow Connector 3" o:spid="_x0000_s1026" type="#_x0000_t32" style="position:absolute;margin-left:-2pt;margin-top:2pt;width:0;height:1pt;z-index:2516674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" strokecolor="black [3200]">
              <v:stroke startarrowwidth="narrow" startarrowlength="short" endarrowwidth="narrow" endarrowlength="short"/>
              <o:lock v:ext="edit" shapetype="f"/>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948AD" w14:textId="68F6812D" w:rsidR="002664DE" w:rsidRDefault="002664DE" w:rsidP="007D1CDC">
    <w:pPr>
      <w:jc w:val="center"/>
    </w:pPr>
    <w:r>
      <w:rPr>
        <w:noProof/>
      </w:rPr>
      <w:drawing>
        <wp:anchor distT="0" distB="0" distL="0" distR="0" simplePos="0" relativeHeight="251669504" behindDoc="1" locked="0" layoutInCell="1" allowOverlap="1" wp14:anchorId="412B304F" wp14:editId="42B6CC55">
          <wp:simplePos x="0" y="0"/>
          <wp:positionH relativeFrom="rightMargin">
            <wp:align>left</wp:align>
          </wp:positionH>
          <wp:positionV relativeFrom="paragraph">
            <wp:posOffset>-180340</wp:posOffset>
          </wp:positionV>
          <wp:extent cx="464113" cy="542925"/>
          <wp:effectExtent l="0" t="0" r="0" b="0"/>
          <wp:wrapNone/>
          <wp:docPr id="1089314677" name="Picture 1089314677"/>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l="1792" t="2" r="85085" b="9837"/>
                  <a:stretch>
                    <a:fillRect/>
                  </a:stretch>
                </pic:blipFill>
                <pic:spPr>
                  <a:xfrm>
                    <a:off x="0" y="0"/>
                    <a:ext cx="464113" cy="542925"/>
                  </a:xfrm>
                  <a:prstGeom prst="rect">
                    <a:avLst/>
                  </a:prstGeom>
                  <a:ln/>
                </pic:spPr>
              </pic:pic>
            </a:graphicData>
          </a:graphic>
        </wp:anchor>
      </w:drawing>
    </w:r>
    <w:r w:rsidR="007313E3">
      <w:rPr>
        <w:noProof/>
      </w:rPr>
      <mc:AlternateContent>
        <mc:Choice Requires="wps">
          <w:drawing>
            <wp:anchor distT="0" distB="0" distL="114298" distR="114298" simplePos="0" relativeHeight="251672576" behindDoc="0" locked="0" layoutInCell="1" allowOverlap="1" wp14:anchorId="758B0527" wp14:editId="35FD157A">
              <wp:simplePos x="0" y="0"/>
              <wp:positionH relativeFrom="column">
                <wp:posOffset>-25401</wp:posOffset>
              </wp:positionH>
              <wp:positionV relativeFrom="paragraph">
                <wp:posOffset>25400</wp:posOffset>
              </wp:positionV>
              <wp:extent cx="0" cy="12700"/>
              <wp:effectExtent l="0" t="0" r="19050" b="6350"/>
              <wp:wrapNone/>
              <wp:docPr id="45436125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1DAC8836" id="_x0000_t32" coordsize="21600,21600" o:spt="32" o:oned="t" path="m,l21600,21600e" filled="f">
              <v:path arrowok="t" fillok="f" o:connecttype="none"/>
              <o:lock v:ext="edit" shapetype="t"/>
            </v:shapetype>
            <v:shape id="Straight Arrow Connector 1" o:spid="_x0000_s1026" type="#_x0000_t32" style="position:absolute;margin-left:-2pt;margin-top:2pt;width:0;height:1pt;z-index:2516725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" strokecolor="black [3200]">
              <v:stroke startarrowwidth="narrow" startarrowlength="short" endarrowwidth="narrow" endarrowlength="short"/>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B2C53E"/>
    <w:lvl w:ilvl="0">
      <w:start w:val="1"/>
      <w:numFmt w:val="bullet"/>
      <w:lvlText w:val=""/>
      <w:lvlJc w:val="left"/>
      <w:pPr>
        <w:tabs>
          <w:tab w:val="num" w:pos="1358"/>
        </w:tabs>
        <w:ind w:left="1358" w:firstLine="0"/>
      </w:pPr>
      <w:rPr>
        <w:rFonts w:ascii="Symbol" w:hAnsi="Symbol" w:hint="default"/>
      </w:rPr>
    </w:lvl>
    <w:lvl w:ilvl="1">
      <w:start w:val="1"/>
      <w:numFmt w:val="bullet"/>
      <w:lvlText w:val=""/>
      <w:lvlJc w:val="left"/>
      <w:pPr>
        <w:tabs>
          <w:tab w:val="num" w:pos="2078"/>
        </w:tabs>
        <w:ind w:left="2438" w:hanging="360"/>
      </w:pPr>
      <w:rPr>
        <w:rFonts w:ascii="Symbol" w:hAnsi="Symbol" w:hint="default"/>
      </w:rPr>
    </w:lvl>
    <w:lvl w:ilvl="2">
      <w:start w:val="1"/>
      <w:numFmt w:val="bullet"/>
      <w:lvlText w:val="o"/>
      <w:lvlJc w:val="left"/>
      <w:pPr>
        <w:tabs>
          <w:tab w:val="num" w:pos="2798"/>
        </w:tabs>
        <w:ind w:left="3158" w:hanging="360"/>
      </w:pPr>
      <w:rPr>
        <w:rFonts w:ascii="Courier New" w:hAnsi="Courier New" w:cs="Courier New" w:hint="default"/>
      </w:rPr>
    </w:lvl>
    <w:lvl w:ilvl="3">
      <w:start w:val="1"/>
      <w:numFmt w:val="bullet"/>
      <w:lvlText w:val=""/>
      <w:lvlJc w:val="left"/>
      <w:pPr>
        <w:tabs>
          <w:tab w:val="num" w:pos="3518"/>
        </w:tabs>
        <w:ind w:left="3878" w:hanging="360"/>
      </w:pPr>
      <w:rPr>
        <w:rFonts w:ascii="Wingdings" w:hAnsi="Wingdings" w:hint="default"/>
      </w:rPr>
    </w:lvl>
    <w:lvl w:ilvl="4">
      <w:start w:val="1"/>
      <w:numFmt w:val="bullet"/>
      <w:lvlText w:val=""/>
      <w:lvlJc w:val="left"/>
      <w:pPr>
        <w:tabs>
          <w:tab w:val="num" w:pos="4238"/>
        </w:tabs>
        <w:ind w:left="4598" w:hanging="360"/>
      </w:pPr>
      <w:rPr>
        <w:rFonts w:ascii="Wingdings" w:hAnsi="Wingdings" w:hint="default"/>
      </w:rPr>
    </w:lvl>
    <w:lvl w:ilvl="5">
      <w:start w:val="1"/>
      <w:numFmt w:val="bullet"/>
      <w:lvlText w:val=""/>
      <w:lvlJc w:val="left"/>
      <w:pPr>
        <w:tabs>
          <w:tab w:val="num" w:pos="4958"/>
        </w:tabs>
        <w:ind w:left="5318" w:hanging="360"/>
      </w:pPr>
      <w:rPr>
        <w:rFonts w:ascii="Symbol" w:hAnsi="Symbol" w:hint="default"/>
      </w:rPr>
    </w:lvl>
    <w:lvl w:ilvl="6">
      <w:start w:val="1"/>
      <w:numFmt w:val="bullet"/>
      <w:lvlText w:val="o"/>
      <w:lvlJc w:val="left"/>
      <w:pPr>
        <w:tabs>
          <w:tab w:val="num" w:pos="5678"/>
        </w:tabs>
        <w:ind w:left="6038" w:hanging="360"/>
      </w:pPr>
      <w:rPr>
        <w:rFonts w:ascii="Courier New" w:hAnsi="Courier New" w:cs="Courier New" w:hint="default"/>
      </w:rPr>
    </w:lvl>
    <w:lvl w:ilvl="7">
      <w:start w:val="1"/>
      <w:numFmt w:val="bullet"/>
      <w:lvlText w:val=""/>
      <w:lvlJc w:val="left"/>
      <w:pPr>
        <w:tabs>
          <w:tab w:val="num" w:pos="6398"/>
        </w:tabs>
        <w:ind w:left="6758" w:hanging="360"/>
      </w:pPr>
      <w:rPr>
        <w:rFonts w:ascii="Wingdings" w:hAnsi="Wingdings" w:hint="default"/>
      </w:rPr>
    </w:lvl>
    <w:lvl w:ilvl="8">
      <w:start w:val="1"/>
      <w:numFmt w:val="bullet"/>
      <w:lvlText w:val=""/>
      <w:lvlJc w:val="left"/>
      <w:pPr>
        <w:tabs>
          <w:tab w:val="num" w:pos="7118"/>
        </w:tabs>
        <w:ind w:left="7478" w:hanging="360"/>
      </w:pPr>
      <w:rPr>
        <w:rFonts w:ascii="Wingdings" w:hAnsi="Wingdings" w:hint="default"/>
      </w:rPr>
    </w:lvl>
  </w:abstractNum>
  <w:abstractNum w:abstractNumId="1" w15:restartNumberingAfterBreak="0">
    <w:nsid w:val="FFFFFF7C"/>
    <w:multiLevelType w:val="singleLevel"/>
    <w:tmpl w:val="00BC881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25269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ACA5F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75897A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4E742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E9C76D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BA0DC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8A23A8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24C80D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57AEF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D7B5092"/>
    <w:multiLevelType w:val="hybridMultilevel"/>
    <w:tmpl w:val="5B286A94"/>
    <w:lvl w:ilvl="0" w:tplc="5BE6177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4" w15:restartNumberingAfterBreak="0">
    <w:nsid w:val="11A0665F"/>
    <w:multiLevelType w:val="multilevel"/>
    <w:tmpl w:val="11A0665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14D03494"/>
    <w:multiLevelType w:val="multilevel"/>
    <w:tmpl w:val="14D034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35D3BC1"/>
    <w:multiLevelType w:val="hybridMultilevel"/>
    <w:tmpl w:val="9E26BBFA"/>
    <w:lvl w:ilvl="0" w:tplc="B2760A62">
      <w:start w:val="1"/>
      <w:numFmt w:val="decimal"/>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21"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77D64"/>
    <w:multiLevelType w:val="singleLevel"/>
    <w:tmpl w:val="37E4B88C"/>
    <w:lvl w:ilvl="0">
      <w:start w:val="1"/>
      <w:numFmt w:val="decimal"/>
      <w:lvlText w:val="[%1]"/>
      <w:lvlJc w:val="left"/>
      <w:pPr>
        <w:tabs>
          <w:tab w:val="num" w:pos="1170"/>
        </w:tabs>
        <w:ind w:left="1170" w:hanging="360"/>
      </w:pPr>
      <w:rPr>
        <w:i w:val="0"/>
      </w:r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3E101C1B"/>
    <w:multiLevelType w:val="hybridMultilevel"/>
    <w:tmpl w:val="A9DCF29A"/>
    <w:lvl w:ilvl="0" w:tplc="9EFA7CD6">
      <w:start w:val="1"/>
      <w:numFmt w:val="decimal"/>
      <w:lvlText w:val="%1."/>
      <w:lvlJc w:val="left"/>
      <w:pPr>
        <w:ind w:left="720" w:hanging="360"/>
      </w:pPr>
      <w:rPr>
        <w:rFonts w:ascii="Times New Roman" w:eastAsia="Times New Roman"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4DBC5F2E"/>
    <w:multiLevelType w:val="hybridMultilevel"/>
    <w:tmpl w:val="B58A0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D81567"/>
    <w:multiLevelType w:val="hybridMultilevel"/>
    <w:tmpl w:val="6B7257A6"/>
    <w:lvl w:ilvl="0" w:tplc="C806420E">
      <w:start w:val="1"/>
      <w:numFmt w:val="decimal"/>
      <w:lvlText w:val="%1."/>
      <w:lvlJc w:val="left"/>
      <w:pPr>
        <w:ind w:left="562" w:hanging="36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3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2" w15:restartNumberingAfterBreak="0">
    <w:nsid w:val="5AC20C28"/>
    <w:multiLevelType w:val="multilevel"/>
    <w:tmpl w:val="5AC20C2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5FF57CB7"/>
    <w:multiLevelType w:val="multilevel"/>
    <w:tmpl w:val="8620E4F4"/>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63F218EA"/>
    <w:multiLevelType w:val="hybridMultilevel"/>
    <w:tmpl w:val="0FBAD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C64B7C"/>
    <w:multiLevelType w:val="multilevel"/>
    <w:tmpl w:val="64C64B7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67AB67F9"/>
    <w:multiLevelType w:val="hybridMultilevel"/>
    <w:tmpl w:val="0D8277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0D1DB1"/>
    <w:multiLevelType w:val="hybridMultilevel"/>
    <w:tmpl w:val="F832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C33D3A"/>
    <w:multiLevelType w:val="hybridMultilevel"/>
    <w:tmpl w:val="1736D9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771656856">
    <w:abstractNumId w:val="11"/>
  </w:num>
  <w:num w:numId="2" w16cid:durableId="2051761663">
    <w:abstractNumId w:val="19"/>
  </w:num>
  <w:num w:numId="3" w16cid:durableId="112552659">
    <w:abstractNumId w:val="19"/>
    <w:lvlOverride w:ilvl="0">
      <w:lvl w:ilvl="0">
        <w:start w:val="1"/>
        <w:numFmt w:val="decimal"/>
        <w:lvlText w:val="%1."/>
        <w:legacy w:legacy="1" w:legacySpace="0" w:legacyIndent="360"/>
        <w:lvlJc w:val="left"/>
        <w:pPr>
          <w:ind w:left="360" w:hanging="360"/>
        </w:pPr>
      </w:lvl>
    </w:lvlOverride>
  </w:num>
  <w:num w:numId="4" w16cid:durableId="222108229">
    <w:abstractNumId w:val="19"/>
    <w:lvlOverride w:ilvl="0">
      <w:lvl w:ilvl="0">
        <w:start w:val="1"/>
        <w:numFmt w:val="decimal"/>
        <w:lvlText w:val="%1."/>
        <w:legacy w:legacy="1" w:legacySpace="0" w:legacyIndent="360"/>
        <w:lvlJc w:val="left"/>
        <w:pPr>
          <w:ind w:left="360" w:hanging="360"/>
        </w:pPr>
      </w:lvl>
    </w:lvlOverride>
  </w:num>
  <w:num w:numId="5" w16cid:durableId="197551870">
    <w:abstractNumId w:val="19"/>
    <w:lvlOverride w:ilvl="0">
      <w:lvl w:ilvl="0">
        <w:start w:val="1"/>
        <w:numFmt w:val="decimal"/>
        <w:lvlText w:val="%1."/>
        <w:legacy w:legacy="1" w:legacySpace="0" w:legacyIndent="360"/>
        <w:lvlJc w:val="left"/>
        <w:pPr>
          <w:ind w:left="360" w:hanging="360"/>
        </w:pPr>
      </w:lvl>
    </w:lvlOverride>
  </w:num>
  <w:num w:numId="6" w16cid:durableId="1619415175">
    <w:abstractNumId w:val="26"/>
  </w:num>
  <w:num w:numId="7" w16cid:durableId="144780824">
    <w:abstractNumId w:val="26"/>
    <w:lvlOverride w:ilvl="0">
      <w:lvl w:ilvl="0">
        <w:start w:val="1"/>
        <w:numFmt w:val="decimal"/>
        <w:lvlText w:val="%1."/>
        <w:legacy w:legacy="1" w:legacySpace="0" w:legacyIndent="360"/>
        <w:lvlJc w:val="left"/>
        <w:pPr>
          <w:ind w:left="360" w:hanging="360"/>
        </w:pPr>
      </w:lvl>
    </w:lvlOverride>
  </w:num>
  <w:num w:numId="8" w16cid:durableId="1818720787">
    <w:abstractNumId w:val="26"/>
    <w:lvlOverride w:ilvl="0">
      <w:lvl w:ilvl="0">
        <w:start w:val="1"/>
        <w:numFmt w:val="decimal"/>
        <w:lvlText w:val="%1."/>
        <w:legacy w:legacy="1" w:legacySpace="0" w:legacyIndent="360"/>
        <w:lvlJc w:val="left"/>
        <w:pPr>
          <w:ind w:left="360" w:hanging="360"/>
        </w:pPr>
      </w:lvl>
    </w:lvlOverride>
  </w:num>
  <w:num w:numId="9" w16cid:durableId="1655797047">
    <w:abstractNumId w:val="26"/>
    <w:lvlOverride w:ilvl="0">
      <w:lvl w:ilvl="0">
        <w:start w:val="1"/>
        <w:numFmt w:val="decimal"/>
        <w:lvlText w:val="%1."/>
        <w:legacy w:legacy="1" w:legacySpace="0" w:legacyIndent="360"/>
        <w:lvlJc w:val="left"/>
        <w:pPr>
          <w:ind w:left="360" w:hanging="360"/>
        </w:pPr>
      </w:lvl>
    </w:lvlOverride>
  </w:num>
  <w:num w:numId="10" w16cid:durableId="415172739">
    <w:abstractNumId w:val="26"/>
    <w:lvlOverride w:ilvl="0">
      <w:lvl w:ilvl="0">
        <w:start w:val="1"/>
        <w:numFmt w:val="decimal"/>
        <w:lvlText w:val="%1."/>
        <w:legacy w:legacy="1" w:legacySpace="0" w:legacyIndent="360"/>
        <w:lvlJc w:val="left"/>
        <w:pPr>
          <w:ind w:left="360" w:hanging="360"/>
        </w:pPr>
      </w:lvl>
    </w:lvlOverride>
  </w:num>
  <w:num w:numId="11" w16cid:durableId="1444766752">
    <w:abstractNumId w:val="26"/>
    <w:lvlOverride w:ilvl="0">
      <w:lvl w:ilvl="0">
        <w:start w:val="1"/>
        <w:numFmt w:val="decimal"/>
        <w:lvlText w:val="%1."/>
        <w:legacy w:legacy="1" w:legacySpace="0" w:legacyIndent="360"/>
        <w:lvlJc w:val="left"/>
        <w:pPr>
          <w:ind w:left="360" w:hanging="360"/>
        </w:pPr>
      </w:lvl>
    </w:lvlOverride>
  </w:num>
  <w:num w:numId="12" w16cid:durableId="1667635783">
    <w:abstractNumId w:val="22"/>
  </w:num>
  <w:num w:numId="13" w16cid:durableId="1107965113">
    <w:abstractNumId w:val="16"/>
  </w:num>
  <w:num w:numId="14" w16cid:durableId="315031991">
    <w:abstractNumId w:val="31"/>
  </w:num>
  <w:num w:numId="15" w16cid:durableId="1213737596">
    <w:abstractNumId w:val="28"/>
  </w:num>
  <w:num w:numId="16" w16cid:durableId="1575578929">
    <w:abstractNumId w:val="44"/>
  </w:num>
  <w:num w:numId="17" w16cid:durableId="716273549">
    <w:abstractNumId w:val="18"/>
  </w:num>
  <w:num w:numId="18" w16cid:durableId="1574856522">
    <w:abstractNumId w:val="17"/>
  </w:num>
  <w:num w:numId="19" w16cid:durableId="1454009990">
    <w:abstractNumId w:val="38"/>
  </w:num>
  <w:num w:numId="20" w16cid:durableId="533886096">
    <w:abstractNumId w:val="23"/>
  </w:num>
  <w:num w:numId="21" w16cid:durableId="2706238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72544688">
    <w:abstractNumId w:val="42"/>
  </w:num>
  <w:num w:numId="23" w16cid:durableId="661130286">
    <w:abstractNumId w:val="41"/>
  </w:num>
  <w:num w:numId="24" w16cid:durableId="1775902286">
    <w:abstractNumId w:val="27"/>
  </w:num>
  <w:num w:numId="25" w16cid:durableId="2070568547">
    <w:abstractNumId w:val="40"/>
  </w:num>
  <w:num w:numId="26" w16cid:durableId="431053837">
    <w:abstractNumId w:val="12"/>
  </w:num>
  <w:num w:numId="27" w16cid:durableId="2098279969">
    <w:abstractNumId w:val="39"/>
  </w:num>
  <w:num w:numId="28" w16cid:durableId="628821021">
    <w:abstractNumId w:val="21"/>
  </w:num>
  <w:num w:numId="29" w16cid:durableId="189536123">
    <w:abstractNumId w:val="25"/>
  </w:num>
  <w:num w:numId="30" w16cid:durableId="338428862">
    <w:abstractNumId w:val="10"/>
  </w:num>
  <w:num w:numId="31" w16cid:durableId="2130469294">
    <w:abstractNumId w:val="8"/>
  </w:num>
  <w:num w:numId="32" w16cid:durableId="473063996">
    <w:abstractNumId w:val="7"/>
  </w:num>
  <w:num w:numId="33" w16cid:durableId="571738639">
    <w:abstractNumId w:val="6"/>
  </w:num>
  <w:num w:numId="34" w16cid:durableId="1276713913">
    <w:abstractNumId w:val="5"/>
  </w:num>
  <w:num w:numId="35" w16cid:durableId="1374573549">
    <w:abstractNumId w:val="9"/>
  </w:num>
  <w:num w:numId="36" w16cid:durableId="2135177382">
    <w:abstractNumId w:val="4"/>
  </w:num>
  <w:num w:numId="37" w16cid:durableId="1764760756">
    <w:abstractNumId w:val="3"/>
  </w:num>
  <w:num w:numId="38" w16cid:durableId="1288972095">
    <w:abstractNumId w:val="2"/>
  </w:num>
  <w:num w:numId="39" w16cid:durableId="1367412439">
    <w:abstractNumId w:val="1"/>
  </w:num>
  <w:num w:numId="40" w16cid:durableId="533932661">
    <w:abstractNumId w:val="0"/>
  </w:num>
  <w:num w:numId="41" w16cid:durableId="360936042">
    <w:abstractNumId w:val="37"/>
  </w:num>
  <w:num w:numId="42" w16cid:durableId="1092319587">
    <w:abstractNumId w:val="43"/>
  </w:num>
  <w:num w:numId="43" w16cid:durableId="67382309">
    <w:abstractNumId w:val="29"/>
  </w:num>
  <w:num w:numId="44" w16cid:durableId="197744253">
    <w:abstractNumId w:val="34"/>
  </w:num>
  <w:num w:numId="45" w16cid:durableId="527646651">
    <w:abstractNumId w:val="13"/>
  </w:num>
  <w:num w:numId="46" w16cid:durableId="464155435">
    <w:abstractNumId w:val="33"/>
  </w:num>
  <w:num w:numId="47" w16cid:durableId="95252822">
    <w:abstractNumId w:val="20"/>
  </w:num>
  <w:num w:numId="48" w16cid:durableId="430976359">
    <w:abstractNumId w:val="30"/>
  </w:num>
  <w:num w:numId="49" w16cid:durableId="1052508596">
    <w:abstractNumId w:val="36"/>
  </w:num>
  <w:num w:numId="50" w16cid:durableId="656619148">
    <w:abstractNumId w:val="24"/>
  </w:num>
  <w:num w:numId="51" w16cid:durableId="213665775">
    <w:abstractNumId w:val="15"/>
  </w:num>
  <w:num w:numId="52" w16cid:durableId="1915815683">
    <w:abstractNumId w:val="32"/>
  </w:num>
  <w:num w:numId="53" w16cid:durableId="937643457">
    <w:abstractNumId w:val="35"/>
  </w:num>
  <w:num w:numId="54" w16cid:durableId="20276351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K3NDAyNrAwNDK0MDRR0lEKTi0uzszPAykwrQUAsXYO6CwAAAA="/>
  </w:docVars>
  <w:rsids>
    <w:rsidRoot w:val="009F4B45"/>
    <w:rsid w:val="00004C30"/>
    <w:rsid w:val="00015DC7"/>
    <w:rsid w:val="00017CEE"/>
    <w:rsid w:val="00022DD8"/>
    <w:rsid w:val="0003647F"/>
    <w:rsid w:val="00042E13"/>
    <w:rsid w:val="0005421B"/>
    <w:rsid w:val="00071473"/>
    <w:rsid w:val="00085BAB"/>
    <w:rsid w:val="000A0C2F"/>
    <w:rsid w:val="000A1015"/>
    <w:rsid w:val="000A168B"/>
    <w:rsid w:val="000C5211"/>
    <w:rsid w:val="000D2BDE"/>
    <w:rsid w:val="000E1EE3"/>
    <w:rsid w:val="000E6B0D"/>
    <w:rsid w:val="00100AB7"/>
    <w:rsid w:val="00104BB0"/>
    <w:rsid w:val="0010794E"/>
    <w:rsid w:val="00113F26"/>
    <w:rsid w:val="001201C0"/>
    <w:rsid w:val="00131DA4"/>
    <w:rsid w:val="0013354F"/>
    <w:rsid w:val="00143869"/>
    <w:rsid w:val="00143F2E"/>
    <w:rsid w:val="00144E72"/>
    <w:rsid w:val="00150488"/>
    <w:rsid w:val="00152876"/>
    <w:rsid w:val="00153E42"/>
    <w:rsid w:val="001542C6"/>
    <w:rsid w:val="001768FF"/>
    <w:rsid w:val="00176DE7"/>
    <w:rsid w:val="001863C4"/>
    <w:rsid w:val="001905F7"/>
    <w:rsid w:val="001A60B1"/>
    <w:rsid w:val="001B2686"/>
    <w:rsid w:val="001B36B1"/>
    <w:rsid w:val="001B4914"/>
    <w:rsid w:val="001E7B7A"/>
    <w:rsid w:val="001F4C5C"/>
    <w:rsid w:val="00200D0F"/>
    <w:rsid w:val="00202197"/>
    <w:rsid w:val="00204478"/>
    <w:rsid w:val="00204EFA"/>
    <w:rsid w:val="00214E2E"/>
    <w:rsid w:val="00216141"/>
    <w:rsid w:val="00217186"/>
    <w:rsid w:val="002222B3"/>
    <w:rsid w:val="00222D5E"/>
    <w:rsid w:val="0023714E"/>
    <w:rsid w:val="002434A1"/>
    <w:rsid w:val="00244C58"/>
    <w:rsid w:val="00247D09"/>
    <w:rsid w:val="00254683"/>
    <w:rsid w:val="00263943"/>
    <w:rsid w:val="002664DE"/>
    <w:rsid w:val="00267B35"/>
    <w:rsid w:val="002A1658"/>
    <w:rsid w:val="002B6FBC"/>
    <w:rsid w:val="002C7363"/>
    <w:rsid w:val="002C75C0"/>
    <w:rsid w:val="002E1F95"/>
    <w:rsid w:val="002E3925"/>
    <w:rsid w:val="002F1A23"/>
    <w:rsid w:val="002F7910"/>
    <w:rsid w:val="00304470"/>
    <w:rsid w:val="00312E5E"/>
    <w:rsid w:val="00314F82"/>
    <w:rsid w:val="00325819"/>
    <w:rsid w:val="0032684C"/>
    <w:rsid w:val="0034099F"/>
    <w:rsid w:val="0034258F"/>
    <w:rsid w:val="003427CE"/>
    <w:rsid w:val="00342BE1"/>
    <w:rsid w:val="003461E8"/>
    <w:rsid w:val="00360269"/>
    <w:rsid w:val="00361966"/>
    <w:rsid w:val="0037551B"/>
    <w:rsid w:val="00392DBA"/>
    <w:rsid w:val="003A35BC"/>
    <w:rsid w:val="003A57E0"/>
    <w:rsid w:val="003A7AB5"/>
    <w:rsid w:val="003B3EF8"/>
    <w:rsid w:val="003C3322"/>
    <w:rsid w:val="003C68C2"/>
    <w:rsid w:val="003D1EBF"/>
    <w:rsid w:val="003D4CAE"/>
    <w:rsid w:val="003D7CE8"/>
    <w:rsid w:val="003F26BD"/>
    <w:rsid w:val="003F52AD"/>
    <w:rsid w:val="004057AB"/>
    <w:rsid w:val="004207E4"/>
    <w:rsid w:val="00420BFA"/>
    <w:rsid w:val="00424C3A"/>
    <w:rsid w:val="0043144F"/>
    <w:rsid w:val="00431BFA"/>
    <w:rsid w:val="004353CF"/>
    <w:rsid w:val="00445426"/>
    <w:rsid w:val="00445EA6"/>
    <w:rsid w:val="004476AA"/>
    <w:rsid w:val="004575D1"/>
    <w:rsid w:val="004631BC"/>
    <w:rsid w:val="00470EF9"/>
    <w:rsid w:val="00471696"/>
    <w:rsid w:val="00477B92"/>
    <w:rsid w:val="00484761"/>
    <w:rsid w:val="00484DD5"/>
    <w:rsid w:val="004B301A"/>
    <w:rsid w:val="004B558A"/>
    <w:rsid w:val="004C1E16"/>
    <w:rsid w:val="004C2543"/>
    <w:rsid w:val="004D15CA"/>
    <w:rsid w:val="004D3FD0"/>
    <w:rsid w:val="004D5246"/>
    <w:rsid w:val="004E3E4C"/>
    <w:rsid w:val="004E66A9"/>
    <w:rsid w:val="004F23A0"/>
    <w:rsid w:val="005003E3"/>
    <w:rsid w:val="005052CD"/>
    <w:rsid w:val="00512715"/>
    <w:rsid w:val="00535307"/>
    <w:rsid w:val="0054041D"/>
    <w:rsid w:val="00550A26"/>
    <w:rsid w:val="00550BF5"/>
    <w:rsid w:val="00561E75"/>
    <w:rsid w:val="00566685"/>
    <w:rsid w:val="00567A70"/>
    <w:rsid w:val="0057149F"/>
    <w:rsid w:val="005A2A15"/>
    <w:rsid w:val="005C1451"/>
    <w:rsid w:val="005C6EA6"/>
    <w:rsid w:val="005D1B15"/>
    <w:rsid w:val="005D2824"/>
    <w:rsid w:val="005D4F1A"/>
    <w:rsid w:val="005D72BB"/>
    <w:rsid w:val="005E692F"/>
    <w:rsid w:val="005F2536"/>
    <w:rsid w:val="005F58EF"/>
    <w:rsid w:val="005F7B4F"/>
    <w:rsid w:val="00601B43"/>
    <w:rsid w:val="00603869"/>
    <w:rsid w:val="0060656D"/>
    <w:rsid w:val="00611B3B"/>
    <w:rsid w:val="00617DB1"/>
    <w:rsid w:val="00620B0F"/>
    <w:rsid w:val="0062114B"/>
    <w:rsid w:val="00623698"/>
    <w:rsid w:val="00625E96"/>
    <w:rsid w:val="00625F05"/>
    <w:rsid w:val="006270E4"/>
    <w:rsid w:val="00636AB5"/>
    <w:rsid w:val="0063701A"/>
    <w:rsid w:val="00647C09"/>
    <w:rsid w:val="00651F2C"/>
    <w:rsid w:val="00652307"/>
    <w:rsid w:val="00657B5F"/>
    <w:rsid w:val="00677C22"/>
    <w:rsid w:val="00685D0E"/>
    <w:rsid w:val="00691C45"/>
    <w:rsid w:val="00693D5D"/>
    <w:rsid w:val="0069775C"/>
    <w:rsid w:val="006B7F03"/>
    <w:rsid w:val="006C2C76"/>
    <w:rsid w:val="006C7307"/>
    <w:rsid w:val="006E33B2"/>
    <w:rsid w:val="007060BE"/>
    <w:rsid w:val="00725B45"/>
    <w:rsid w:val="00730D96"/>
    <w:rsid w:val="007313E3"/>
    <w:rsid w:val="00735879"/>
    <w:rsid w:val="00745A16"/>
    <w:rsid w:val="007530A3"/>
    <w:rsid w:val="0076355A"/>
    <w:rsid w:val="00764CE8"/>
    <w:rsid w:val="007707AB"/>
    <w:rsid w:val="00785101"/>
    <w:rsid w:val="00795810"/>
    <w:rsid w:val="00797F4C"/>
    <w:rsid w:val="007A7D60"/>
    <w:rsid w:val="007B6690"/>
    <w:rsid w:val="007C4336"/>
    <w:rsid w:val="007D1140"/>
    <w:rsid w:val="007D1CDC"/>
    <w:rsid w:val="007D45E0"/>
    <w:rsid w:val="007E212E"/>
    <w:rsid w:val="007F1D79"/>
    <w:rsid w:val="007F7AA6"/>
    <w:rsid w:val="007F7B8A"/>
    <w:rsid w:val="0080018C"/>
    <w:rsid w:val="00806407"/>
    <w:rsid w:val="00815025"/>
    <w:rsid w:val="0081663F"/>
    <w:rsid w:val="00823624"/>
    <w:rsid w:val="008237EF"/>
    <w:rsid w:val="00837E47"/>
    <w:rsid w:val="00844F16"/>
    <w:rsid w:val="008518FE"/>
    <w:rsid w:val="00853BD2"/>
    <w:rsid w:val="00854EE4"/>
    <w:rsid w:val="00856498"/>
    <w:rsid w:val="0085659C"/>
    <w:rsid w:val="00864212"/>
    <w:rsid w:val="008677A6"/>
    <w:rsid w:val="00871217"/>
    <w:rsid w:val="00872026"/>
    <w:rsid w:val="0087792E"/>
    <w:rsid w:val="00883423"/>
    <w:rsid w:val="00883EAF"/>
    <w:rsid w:val="00885258"/>
    <w:rsid w:val="008A30C3"/>
    <w:rsid w:val="008A3C23"/>
    <w:rsid w:val="008B038F"/>
    <w:rsid w:val="008C49CC"/>
    <w:rsid w:val="008D5239"/>
    <w:rsid w:val="008D5AB5"/>
    <w:rsid w:val="008D69E9"/>
    <w:rsid w:val="008E0645"/>
    <w:rsid w:val="008F594A"/>
    <w:rsid w:val="009031D0"/>
    <w:rsid w:val="00904C7E"/>
    <w:rsid w:val="00905587"/>
    <w:rsid w:val="0091035B"/>
    <w:rsid w:val="0093096B"/>
    <w:rsid w:val="00933E11"/>
    <w:rsid w:val="00940BA2"/>
    <w:rsid w:val="0094444D"/>
    <w:rsid w:val="009466F7"/>
    <w:rsid w:val="00962551"/>
    <w:rsid w:val="009663E4"/>
    <w:rsid w:val="00986181"/>
    <w:rsid w:val="009A1F6E"/>
    <w:rsid w:val="009C7D17"/>
    <w:rsid w:val="009D5274"/>
    <w:rsid w:val="009E484E"/>
    <w:rsid w:val="009E4906"/>
    <w:rsid w:val="009E52D0"/>
    <w:rsid w:val="009F021A"/>
    <w:rsid w:val="009F40FB"/>
    <w:rsid w:val="009F4347"/>
    <w:rsid w:val="009F4B45"/>
    <w:rsid w:val="00A069B0"/>
    <w:rsid w:val="00A148B7"/>
    <w:rsid w:val="00A20517"/>
    <w:rsid w:val="00A22B2C"/>
    <w:rsid w:val="00A22FCB"/>
    <w:rsid w:val="00A24400"/>
    <w:rsid w:val="00A24840"/>
    <w:rsid w:val="00A259B7"/>
    <w:rsid w:val="00A25B3B"/>
    <w:rsid w:val="00A31B57"/>
    <w:rsid w:val="00A37EC6"/>
    <w:rsid w:val="00A40127"/>
    <w:rsid w:val="00A4027C"/>
    <w:rsid w:val="00A472F1"/>
    <w:rsid w:val="00A5237D"/>
    <w:rsid w:val="00A554A3"/>
    <w:rsid w:val="00A73276"/>
    <w:rsid w:val="00A758EA"/>
    <w:rsid w:val="00A769D4"/>
    <w:rsid w:val="00A82818"/>
    <w:rsid w:val="00A91937"/>
    <w:rsid w:val="00A9434E"/>
    <w:rsid w:val="00A95C50"/>
    <w:rsid w:val="00AA6A82"/>
    <w:rsid w:val="00AB79A6"/>
    <w:rsid w:val="00AC4850"/>
    <w:rsid w:val="00AD2B56"/>
    <w:rsid w:val="00AF23F7"/>
    <w:rsid w:val="00AF268E"/>
    <w:rsid w:val="00B01168"/>
    <w:rsid w:val="00B0157D"/>
    <w:rsid w:val="00B037E5"/>
    <w:rsid w:val="00B16DB5"/>
    <w:rsid w:val="00B1743F"/>
    <w:rsid w:val="00B40295"/>
    <w:rsid w:val="00B433FF"/>
    <w:rsid w:val="00B43727"/>
    <w:rsid w:val="00B45AA7"/>
    <w:rsid w:val="00B46F4C"/>
    <w:rsid w:val="00B47B59"/>
    <w:rsid w:val="00B53F81"/>
    <w:rsid w:val="00B56C2B"/>
    <w:rsid w:val="00B65BD3"/>
    <w:rsid w:val="00B70469"/>
    <w:rsid w:val="00B72DD8"/>
    <w:rsid w:val="00B72E09"/>
    <w:rsid w:val="00B84D3A"/>
    <w:rsid w:val="00BB03C2"/>
    <w:rsid w:val="00BB5BF2"/>
    <w:rsid w:val="00BE0246"/>
    <w:rsid w:val="00BE6A17"/>
    <w:rsid w:val="00BE7076"/>
    <w:rsid w:val="00BE72F4"/>
    <w:rsid w:val="00BF0C69"/>
    <w:rsid w:val="00BF3E02"/>
    <w:rsid w:val="00BF3E3D"/>
    <w:rsid w:val="00BF629B"/>
    <w:rsid w:val="00BF655C"/>
    <w:rsid w:val="00C0257F"/>
    <w:rsid w:val="00C04A43"/>
    <w:rsid w:val="00C05D9D"/>
    <w:rsid w:val="00C075EF"/>
    <w:rsid w:val="00C11E83"/>
    <w:rsid w:val="00C144AB"/>
    <w:rsid w:val="00C2378A"/>
    <w:rsid w:val="00C378A1"/>
    <w:rsid w:val="00C40BEA"/>
    <w:rsid w:val="00C50B53"/>
    <w:rsid w:val="00C520FF"/>
    <w:rsid w:val="00C61B11"/>
    <w:rsid w:val="00C621D6"/>
    <w:rsid w:val="00C66F6D"/>
    <w:rsid w:val="00C75907"/>
    <w:rsid w:val="00C82D86"/>
    <w:rsid w:val="00C907C9"/>
    <w:rsid w:val="00CA1508"/>
    <w:rsid w:val="00CB17B1"/>
    <w:rsid w:val="00CB285E"/>
    <w:rsid w:val="00CB4B8D"/>
    <w:rsid w:val="00CC0DDA"/>
    <w:rsid w:val="00CC461F"/>
    <w:rsid w:val="00CD29F9"/>
    <w:rsid w:val="00CD684F"/>
    <w:rsid w:val="00D06623"/>
    <w:rsid w:val="00D14C6B"/>
    <w:rsid w:val="00D22802"/>
    <w:rsid w:val="00D5536F"/>
    <w:rsid w:val="00D56935"/>
    <w:rsid w:val="00D65E4B"/>
    <w:rsid w:val="00D716BA"/>
    <w:rsid w:val="00D758C6"/>
    <w:rsid w:val="00D7612F"/>
    <w:rsid w:val="00D762DA"/>
    <w:rsid w:val="00D8467A"/>
    <w:rsid w:val="00D90C10"/>
    <w:rsid w:val="00D924F9"/>
    <w:rsid w:val="00D92E96"/>
    <w:rsid w:val="00DA258C"/>
    <w:rsid w:val="00DA4345"/>
    <w:rsid w:val="00DB343D"/>
    <w:rsid w:val="00DB388C"/>
    <w:rsid w:val="00DB4294"/>
    <w:rsid w:val="00DD4AA1"/>
    <w:rsid w:val="00DD545B"/>
    <w:rsid w:val="00DE07FA"/>
    <w:rsid w:val="00DE20DB"/>
    <w:rsid w:val="00DE61FB"/>
    <w:rsid w:val="00DF2DDE"/>
    <w:rsid w:val="00DF3C08"/>
    <w:rsid w:val="00DF77C8"/>
    <w:rsid w:val="00E01667"/>
    <w:rsid w:val="00E13305"/>
    <w:rsid w:val="00E16634"/>
    <w:rsid w:val="00E26765"/>
    <w:rsid w:val="00E26BDE"/>
    <w:rsid w:val="00E31061"/>
    <w:rsid w:val="00E36209"/>
    <w:rsid w:val="00E37AF9"/>
    <w:rsid w:val="00E420BB"/>
    <w:rsid w:val="00E50DF6"/>
    <w:rsid w:val="00E54C29"/>
    <w:rsid w:val="00E6336D"/>
    <w:rsid w:val="00E6366C"/>
    <w:rsid w:val="00E643F1"/>
    <w:rsid w:val="00E67015"/>
    <w:rsid w:val="00E94C62"/>
    <w:rsid w:val="00E965C5"/>
    <w:rsid w:val="00E96A3A"/>
    <w:rsid w:val="00E97402"/>
    <w:rsid w:val="00E97B99"/>
    <w:rsid w:val="00EA0E5A"/>
    <w:rsid w:val="00EB295C"/>
    <w:rsid w:val="00EB2E9D"/>
    <w:rsid w:val="00ED1E14"/>
    <w:rsid w:val="00ED5F5C"/>
    <w:rsid w:val="00EE6FFC"/>
    <w:rsid w:val="00EF10AC"/>
    <w:rsid w:val="00EF4701"/>
    <w:rsid w:val="00EF564E"/>
    <w:rsid w:val="00EF6278"/>
    <w:rsid w:val="00F00853"/>
    <w:rsid w:val="00F2163B"/>
    <w:rsid w:val="00F22198"/>
    <w:rsid w:val="00F2375D"/>
    <w:rsid w:val="00F240F2"/>
    <w:rsid w:val="00F33907"/>
    <w:rsid w:val="00F33D49"/>
    <w:rsid w:val="00F3481E"/>
    <w:rsid w:val="00F36C40"/>
    <w:rsid w:val="00F44FE4"/>
    <w:rsid w:val="00F577F6"/>
    <w:rsid w:val="00F65266"/>
    <w:rsid w:val="00F73135"/>
    <w:rsid w:val="00F7458D"/>
    <w:rsid w:val="00F751E1"/>
    <w:rsid w:val="00F84F73"/>
    <w:rsid w:val="00F86F48"/>
    <w:rsid w:val="00F932B6"/>
    <w:rsid w:val="00F95F4C"/>
    <w:rsid w:val="00FA4157"/>
    <w:rsid w:val="00FC0B7B"/>
    <w:rsid w:val="00FC320D"/>
    <w:rsid w:val="00FC63E1"/>
    <w:rsid w:val="00FC7B8A"/>
    <w:rsid w:val="00FD347F"/>
    <w:rsid w:val="00FE15EA"/>
    <w:rsid w:val="00FF1646"/>
    <w:rsid w:val="00FF6C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8146379"/>
  <w15:docId w15:val="{6A56050D-CEBB-4A50-9B84-38391D73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2197"/>
  </w:style>
  <w:style w:type="paragraph" w:styleId="Heading1">
    <w:name w:val="heading 1"/>
    <w:basedOn w:val="Normal"/>
    <w:next w:val="Normal"/>
    <w:link w:val="Heading1Char"/>
    <w:uiPriority w:val="9"/>
    <w:qFormat/>
    <w:rsid w:val="00202197"/>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02197"/>
    <w:pPr>
      <w:keepNext/>
      <w:numPr>
        <w:ilvl w:val="1"/>
        <w:numId w:val="1"/>
      </w:numPr>
      <w:spacing w:before="120" w:after="60"/>
      <w:outlineLvl w:val="1"/>
    </w:pPr>
    <w:rPr>
      <w:i/>
      <w:iCs/>
    </w:rPr>
  </w:style>
  <w:style w:type="paragraph" w:styleId="Heading3">
    <w:name w:val="heading 3"/>
    <w:basedOn w:val="Normal"/>
    <w:next w:val="Normal"/>
    <w:uiPriority w:val="9"/>
    <w:qFormat/>
    <w:rsid w:val="00202197"/>
    <w:pPr>
      <w:keepNext/>
      <w:numPr>
        <w:ilvl w:val="2"/>
        <w:numId w:val="1"/>
      </w:numPr>
      <w:outlineLvl w:val="2"/>
    </w:pPr>
    <w:rPr>
      <w:i/>
      <w:iCs/>
    </w:rPr>
  </w:style>
  <w:style w:type="paragraph" w:styleId="Heading4">
    <w:name w:val="heading 4"/>
    <w:basedOn w:val="Normal"/>
    <w:next w:val="Normal"/>
    <w:uiPriority w:val="9"/>
    <w:qFormat/>
    <w:rsid w:val="00202197"/>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02197"/>
    <w:pPr>
      <w:numPr>
        <w:ilvl w:val="4"/>
        <w:numId w:val="1"/>
      </w:numPr>
      <w:spacing w:before="240" w:after="60"/>
      <w:outlineLvl w:val="4"/>
    </w:pPr>
    <w:rPr>
      <w:sz w:val="18"/>
      <w:szCs w:val="18"/>
    </w:rPr>
  </w:style>
  <w:style w:type="paragraph" w:styleId="Heading6">
    <w:name w:val="heading 6"/>
    <w:basedOn w:val="Normal"/>
    <w:next w:val="Normal"/>
    <w:uiPriority w:val="9"/>
    <w:qFormat/>
    <w:rsid w:val="00202197"/>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02197"/>
    <w:pPr>
      <w:numPr>
        <w:ilvl w:val="6"/>
        <w:numId w:val="1"/>
      </w:numPr>
      <w:spacing w:before="240" w:after="60"/>
      <w:outlineLvl w:val="6"/>
    </w:pPr>
    <w:rPr>
      <w:sz w:val="16"/>
      <w:szCs w:val="16"/>
    </w:rPr>
  </w:style>
  <w:style w:type="paragraph" w:styleId="Heading8">
    <w:name w:val="heading 8"/>
    <w:basedOn w:val="Normal"/>
    <w:next w:val="Normal"/>
    <w:uiPriority w:val="9"/>
    <w:qFormat/>
    <w:rsid w:val="00202197"/>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02197"/>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02197"/>
    <w:pPr>
      <w:spacing w:before="20"/>
      <w:ind w:firstLine="202"/>
      <w:jc w:val="both"/>
    </w:pPr>
    <w:rPr>
      <w:b/>
      <w:bCs/>
      <w:sz w:val="18"/>
      <w:szCs w:val="18"/>
    </w:rPr>
  </w:style>
  <w:style w:type="paragraph" w:customStyle="1" w:styleId="Authors">
    <w:name w:val="Authors"/>
    <w:basedOn w:val="Normal"/>
    <w:next w:val="Normal"/>
    <w:rsid w:val="00202197"/>
    <w:pPr>
      <w:framePr w:w="9072" w:hSpace="187" w:vSpace="187" w:wrap="notBeside" w:vAnchor="text" w:hAnchor="page" w:xAlign="center" w:y="1"/>
      <w:spacing w:after="320"/>
      <w:jc w:val="center"/>
    </w:pPr>
    <w:rPr>
      <w:sz w:val="22"/>
      <w:szCs w:val="22"/>
    </w:rPr>
  </w:style>
  <w:style w:type="paragraph" w:styleId="Title">
    <w:name w:val="Title"/>
    <w:basedOn w:val="Normal"/>
    <w:next w:val="Normal"/>
    <w:qFormat/>
    <w:rsid w:val="00202197"/>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02197"/>
    <w:pPr>
      <w:ind w:firstLine="202"/>
      <w:jc w:val="both"/>
    </w:pPr>
    <w:rPr>
      <w:sz w:val="16"/>
      <w:szCs w:val="16"/>
    </w:rPr>
  </w:style>
  <w:style w:type="character" w:styleId="FootnoteReference">
    <w:name w:val="footnote reference"/>
    <w:semiHidden/>
    <w:rsid w:val="00202197"/>
    <w:rPr>
      <w:vertAlign w:val="superscript"/>
    </w:rPr>
  </w:style>
  <w:style w:type="paragraph" w:styleId="Footer">
    <w:name w:val="footer"/>
    <w:basedOn w:val="Normal"/>
    <w:link w:val="FooterChar"/>
    <w:rsid w:val="00202197"/>
    <w:pPr>
      <w:tabs>
        <w:tab w:val="center" w:pos="4320"/>
        <w:tab w:val="right" w:pos="8640"/>
      </w:tabs>
    </w:pPr>
  </w:style>
  <w:style w:type="paragraph" w:customStyle="1" w:styleId="Text">
    <w:name w:val="Text"/>
    <w:basedOn w:val="Normal"/>
    <w:rsid w:val="00202197"/>
    <w:pPr>
      <w:widowControl w:val="0"/>
      <w:spacing w:line="252" w:lineRule="auto"/>
      <w:ind w:firstLine="202"/>
      <w:jc w:val="both"/>
    </w:pPr>
  </w:style>
  <w:style w:type="paragraph" w:customStyle="1" w:styleId="FigureCaption">
    <w:name w:val="Figure Caption"/>
    <w:basedOn w:val="Normal"/>
    <w:rsid w:val="00202197"/>
    <w:pPr>
      <w:jc w:val="both"/>
    </w:pPr>
    <w:rPr>
      <w:sz w:val="16"/>
      <w:szCs w:val="16"/>
    </w:rPr>
  </w:style>
  <w:style w:type="paragraph" w:customStyle="1" w:styleId="TableTitle">
    <w:name w:val="Table Title"/>
    <w:basedOn w:val="Normal"/>
    <w:rsid w:val="00202197"/>
    <w:pPr>
      <w:jc w:val="center"/>
    </w:pPr>
    <w:rPr>
      <w:smallCaps/>
      <w:sz w:val="16"/>
      <w:szCs w:val="16"/>
    </w:rPr>
  </w:style>
  <w:style w:type="paragraph" w:styleId="Header">
    <w:name w:val="header"/>
    <w:basedOn w:val="Normal"/>
    <w:link w:val="HeaderChar"/>
    <w:uiPriority w:val="99"/>
    <w:rsid w:val="00C144AB"/>
    <w:pPr>
      <w:tabs>
        <w:tab w:val="center" w:pos="4320"/>
        <w:tab w:val="right" w:pos="8640"/>
      </w:tabs>
    </w:pPr>
    <w:rPr>
      <w:i/>
      <w:sz w:val="18"/>
    </w:rPr>
  </w:style>
  <w:style w:type="paragraph" w:customStyle="1" w:styleId="Equation">
    <w:name w:val="Equation"/>
    <w:basedOn w:val="Normal"/>
    <w:next w:val="Normal"/>
    <w:rsid w:val="00202197"/>
    <w:pPr>
      <w:widowControl w:val="0"/>
      <w:tabs>
        <w:tab w:val="right" w:pos="5040"/>
      </w:tabs>
      <w:spacing w:line="252" w:lineRule="auto"/>
      <w:jc w:val="both"/>
    </w:pPr>
  </w:style>
  <w:style w:type="character" w:styleId="Hyperlink">
    <w:name w:val="Hyperlink"/>
    <w:rsid w:val="00202197"/>
    <w:rPr>
      <w:color w:val="0000FF"/>
      <w:u w:val="single"/>
    </w:rPr>
  </w:style>
  <w:style w:type="character" w:styleId="FollowedHyperlink">
    <w:name w:val="FollowedHyperlink"/>
    <w:rsid w:val="00202197"/>
    <w:rPr>
      <w:color w:val="800080"/>
      <w:u w:val="single"/>
    </w:rPr>
  </w:style>
  <w:style w:type="paragraph" w:styleId="DocumentMap">
    <w:name w:val="Document Map"/>
    <w:basedOn w:val="Normal"/>
    <w:semiHidden/>
    <w:rsid w:val="00DC5FC7"/>
    <w:pPr>
      <w:shd w:val="clear" w:color="auto" w:fill="000080"/>
    </w:pPr>
    <w:rPr>
      <w:rFonts w:ascii="Tahoma" w:hAnsi="Tahoma" w:cs="Tahoma"/>
    </w:rPr>
  </w:style>
  <w:style w:type="character" w:customStyle="1" w:styleId="MediumGrid11">
    <w:name w:val="Medium Grid 11"/>
    <w:uiPriority w:val="99"/>
    <w:semiHidden/>
    <w:rsid w:val="009A1F6E"/>
    <w:rPr>
      <w:color w:val="808080"/>
    </w:rPr>
  </w:style>
  <w:style w:type="paragraph" w:customStyle="1" w:styleId="UnnumberedSection">
    <w:name w:val="Unnumbered Section"/>
    <w:basedOn w:val="Normal"/>
    <w:next w:val="Text"/>
    <w:link w:val="UnnumberedSectionChar"/>
    <w:qFormat/>
    <w:rsid w:val="00BB03C2"/>
    <w:pPr>
      <w:keepNext/>
      <w:spacing w:before="240" w:after="80"/>
      <w:jc w:val="center"/>
      <w:outlineLvl w:val="0"/>
    </w:pPr>
    <w:rPr>
      <w:smallCaps/>
      <w:kern w:val="28"/>
    </w:rPr>
  </w:style>
  <w:style w:type="character" w:customStyle="1" w:styleId="Heading1Char">
    <w:name w:val="Heading 1 Char"/>
    <w:link w:val="Heading1"/>
    <w:uiPriority w:val="9"/>
    <w:rsid w:val="003F52AD"/>
    <w:rPr>
      <w:smallCaps/>
      <w:kern w:val="28"/>
    </w:rPr>
  </w:style>
  <w:style w:type="character" w:customStyle="1" w:styleId="UnnumberedSectionChar">
    <w:name w:val="Unnumbered Section Char"/>
    <w:link w:val="UnnumberedSection"/>
    <w:rsid w:val="003F52AD"/>
    <w:rPr>
      <w:smallCaps/>
      <w:kern w:val="28"/>
    </w:rPr>
  </w:style>
  <w:style w:type="paragraph" w:customStyle="1" w:styleId="ColorfulShading-Accent11">
    <w:name w:val="Colorful Shading - Accent 11"/>
    <w:hidden/>
    <w:uiPriority w:val="99"/>
    <w:semiHidden/>
    <w:rsid w:val="001B36B1"/>
  </w:style>
  <w:style w:type="character" w:customStyle="1" w:styleId="Heading2Char">
    <w:name w:val="Heading 2 Char"/>
    <w:link w:val="Heading2"/>
    <w:uiPriority w:val="9"/>
    <w:rsid w:val="001B36B1"/>
    <w:rPr>
      <w:i/>
      <w:iCs/>
    </w:rPr>
  </w:style>
  <w:style w:type="character" w:customStyle="1" w:styleId="FooterChar">
    <w:name w:val="Footer Char"/>
    <w:basedOn w:val="DefaultParagraphFont"/>
    <w:link w:val="Footer"/>
    <w:rsid w:val="00D90C10"/>
  </w:style>
  <w:style w:type="character" w:customStyle="1" w:styleId="FootnoteTextChar">
    <w:name w:val="Footnote Text Char"/>
    <w:link w:val="FootnoteText"/>
    <w:semiHidden/>
    <w:rsid w:val="00C075EF"/>
    <w:rPr>
      <w:sz w:val="16"/>
      <w:szCs w:val="16"/>
    </w:rPr>
  </w:style>
  <w:style w:type="character" w:customStyle="1" w:styleId="HeaderChar">
    <w:name w:val="Header Char"/>
    <w:link w:val="Header"/>
    <w:uiPriority w:val="99"/>
    <w:rsid w:val="00C144AB"/>
    <w:rPr>
      <w:i/>
      <w:sz w:val="18"/>
    </w:rPr>
  </w:style>
  <w:style w:type="character" w:styleId="PageNumber">
    <w:name w:val="page number"/>
    <w:basedOn w:val="DefaultParagraphFont"/>
    <w:rsid w:val="0060656D"/>
  </w:style>
  <w:style w:type="character" w:customStyle="1" w:styleId="UnresolvedMention1">
    <w:name w:val="Unresolved Mention1"/>
    <w:basedOn w:val="DefaultParagraphFont"/>
    <w:uiPriority w:val="99"/>
    <w:semiHidden/>
    <w:unhideWhenUsed/>
    <w:rsid w:val="00C66F6D"/>
    <w:rPr>
      <w:color w:val="605E5C"/>
      <w:shd w:val="clear" w:color="auto" w:fill="E1DFDD"/>
    </w:rPr>
  </w:style>
  <w:style w:type="paragraph" w:styleId="Bibliography">
    <w:name w:val="Bibliography"/>
    <w:basedOn w:val="Normal"/>
    <w:next w:val="Normal"/>
    <w:uiPriority w:val="70"/>
    <w:unhideWhenUsed/>
    <w:rsid w:val="008D5239"/>
    <w:pPr>
      <w:ind w:left="720" w:hanging="720"/>
    </w:pPr>
  </w:style>
  <w:style w:type="character" w:styleId="CommentReference">
    <w:name w:val="annotation reference"/>
    <w:basedOn w:val="DefaultParagraphFont"/>
    <w:rsid w:val="009466F7"/>
    <w:rPr>
      <w:sz w:val="16"/>
      <w:szCs w:val="16"/>
    </w:rPr>
  </w:style>
  <w:style w:type="paragraph" w:styleId="CommentText">
    <w:name w:val="annotation text"/>
    <w:basedOn w:val="Normal"/>
    <w:link w:val="CommentTextChar"/>
    <w:rsid w:val="009466F7"/>
  </w:style>
  <w:style w:type="character" w:customStyle="1" w:styleId="CommentTextChar">
    <w:name w:val="Comment Text Char"/>
    <w:basedOn w:val="DefaultParagraphFont"/>
    <w:link w:val="CommentText"/>
    <w:rsid w:val="009466F7"/>
  </w:style>
  <w:style w:type="paragraph" w:styleId="CommentSubject">
    <w:name w:val="annotation subject"/>
    <w:basedOn w:val="CommentText"/>
    <w:next w:val="CommentText"/>
    <w:link w:val="CommentSubjectChar"/>
    <w:semiHidden/>
    <w:unhideWhenUsed/>
    <w:rsid w:val="009466F7"/>
    <w:rPr>
      <w:b/>
      <w:bCs/>
    </w:rPr>
  </w:style>
  <w:style w:type="character" w:customStyle="1" w:styleId="CommentSubjectChar">
    <w:name w:val="Comment Subject Char"/>
    <w:basedOn w:val="CommentTextChar"/>
    <w:link w:val="CommentSubject"/>
    <w:semiHidden/>
    <w:rsid w:val="009466F7"/>
    <w:rPr>
      <w:b/>
      <w:bCs/>
    </w:rPr>
  </w:style>
  <w:style w:type="paragraph" w:styleId="BalloonText">
    <w:name w:val="Balloon Text"/>
    <w:basedOn w:val="Normal"/>
    <w:link w:val="BalloonTextChar"/>
    <w:semiHidden/>
    <w:unhideWhenUsed/>
    <w:rsid w:val="009466F7"/>
    <w:rPr>
      <w:rFonts w:ascii="Segoe UI" w:hAnsi="Segoe UI" w:cs="Segoe UI"/>
      <w:sz w:val="18"/>
      <w:szCs w:val="18"/>
    </w:rPr>
  </w:style>
  <w:style w:type="character" w:customStyle="1" w:styleId="BalloonTextChar">
    <w:name w:val="Balloon Text Char"/>
    <w:basedOn w:val="DefaultParagraphFont"/>
    <w:link w:val="BalloonText"/>
    <w:semiHidden/>
    <w:rsid w:val="009466F7"/>
    <w:rPr>
      <w:rFonts w:ascii="Segoe UI" w:hAnsi="Segoe UI" w:cs="Segoe UI"/>
      <w:sz w:val="18"/>
      <w:szCs w:val="18"/>
    </w:rPr>
  </w:style>
  <w:style w:type="character" w:customStyle="1" w:styleId="UnresolvedMention2">
    <w:name w:val="Unresolved Mention2"/>
    <w:basedOn w:val="DefaultParagraphFont"/>
    <w:uiPriority w:val="99"/>
    <w:semiHidden/>
    <w:unhideWhenUsed/>
    <w:rsid w:val="0093096B"/>
    <w:rPr>
      <w:color w:val="605E5C"/>
      <w:shd w:val="clear" w:color="auto" w:fill="E1DFDD"/>
    </w:rPr>
  </w:style>
  <w:style w:type="character" w:customStyle="1" w:styleId="UnresolvedMention3">
    <w:name w:val="Unresolved Mention3"/>
    <w:basedOn w:val="DefaultParagraphFont"/>
    <w:uiPriority w:val="99"/>
    <w:semiHidden/>
    <w:unhideWhenUsed/>
    <w:rsid w:val="005F2536"/>
    <w:rPr>
      <w:color w:val="605E5C"/>
      <w:shd w:val="clear" w:color="auto" w:fill="E1DFDD"/>
    </w:rPr>
  </w:style>
  <w:style w:type="paragraph" w:styleId="Revision">
    <w:name w:val="Revision"/>
    <w:hidden/>
    <w:uiPriority w:val="71"/>
    <w:semiHidden/>
    <w:rsid w:val="00B1743F"/>
  </w:style>
  <w:style w:type="paragraph" w:styleId="ListBullet">
    <w:name w:val="List Bullet"/>
    <w:basedOn w:val="Normal"/>
    <w:rsid w:val="00C0257F"/>
    <w:pPr>
      <w:numPr>
        <w:numId w:val="46"/>
      </w:numPr>
      <w:ind w:left="357" w:hanging="357"/>
    </w:pPr>
    <w:rPr>
      <w:rFonts w:ascii="Arial" w:hAnsi="Arial" w:cs="Arial"/>
      <w:sz w:val="22"/>
      <w:szCs w:val="24"/>
      <w:lang w:val="en-AU"/>
    </w:rPr>
  </w:style>
  <w:style w:type="paragraph" w:styleId="ListParagraph">
    <w:name w:val="List Paragraph"/>
    <w:basedOn w:val="Normal"/>
    <w:uiPriority w:val="72"/>
    <w:qFormat/>
    <w:rsid w:val="003A57E0"/>
    <w:pPr>
      <w:ind w:left="720"/>
      <w:contextualSpacing/>
    </w:pPr>
  </w:style>
  <w:style w:type="paragraph" w:customStyle="1" w:styleId="Normal1">
    <w:name w:val="Normal1"/>
    <w:rsid w:val="00A82818"/>
  </w:style>
  <w:style w:type="paragraph" w:styleId="NormalWeb">
    <w:name w:val="Normal (Web)"/>
    <w:basedOn w:val="Normal"/>
    <w:uiPriority w:val="99"/>
    <w:unhideWhenUsed/>
    <w:qFormat/>
    <w:rsid w:val="00150488"/>
    <w:pPr>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7313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54814">
      <w:bodyDiv w:val="1"/>
      <w:marLeft w:val="0"/>
      <w:marRight w:val="0"/>
      <w:marTop w:val="0"/>
      <w:marBottom w:val="0"/>
      <w:divBdr>
        <w:top w:val="none" w:sz="0" w:space="0" w:color="auto"/>
        <w:left w:val="none" w:sz="0" w:space="0" w:color="auto"/>
        <w:bottom w:val="none" w:sz="0" w:space="0" w:color="auto"/>
        <w:right w:val="none" w:sz="0" w:space="0" w:color="auto"/>
      </w:divBdr>
    </w:div>
    <w:div w:id="84767379">
      <w:bodyDiv w:val="1"/>
      <w:marLeft w:val="0"/>
      <w:marRight w:val="0"/>
      <w:marTop w:val="0"/>
      <w:marBottom w:val="0"/>
      <w:divBdr>
        <w:top w:val="none" w:sz="0" w:space="0" w:color="auto"/>
        <w:left w:val="none" w:sz="0" w:space="0" w:color="auto"/>
        <w:bottom w:val="none" w:sz="0" w:space="0" w:color="auto"/>
        <w:right w:val="none" w:sz="0" w:space="0" w:color="auto"/>
      </w:divBdr>
    </w:div>
    <w:div w:id="116291761">
      <w:bodyDiv w:val="1"/>
      <w:marLeft w:val="0"/>
      <w:marRight w:val="0"/>
      <w:marTop w:val="0"/>
      <w:marBottom w:val="0"/>
      <w:divBdr>
        <w:top w:val="none" w:sz="0" w:space="0" w:color="auto"/>
        <w:left w:val="none" w:sz="0" w:space="0" w:color="auto"/>
        <w:bottom w:val="none" w:sz="0" w:space="0" w:color="auto"/>
        <w:right w:val="none" w:sz="0" w:space="0" w:color="auto"/>
      </w:divBdr>
    </w:div>
    <w:div w:id="26977840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5389125">
      <w:bodyDiv w:val="1"/>
      <w:marLeft w:val="0"/>
      <w:marRight w:val="0"/>
      <w:marTop w:val="0"/>
      <w:marBottom w:val="0"/>
      <w:divBdr>
        <w:top w:val="none" w:sz="0" w:space="0" w:color="auto"/>
        <w:left w:val="none" w:sz="0" w:space="0" w:color="auto"/>
        <w:bottom w:val="none" w:sz="0" w:space="0" w:color="auto"/>
        <w:right w:val="none" w:sz="0" w:space="0" w:color="auto"/>
      </w:divBdr>
    </w:div>
    <w:div w:id="563611968">
      <w:bodyDiv w:val="1"/>
      <w:marLeft w:val="0"/>
      <w:marRight w:val="0"/>
      <w:marTop w:val="0"/>
      <w:marBottom w:val="0"/>
      <w:divBdr>
        <w:top w:val="none" w:sz="0" w:space="0" w:color="auto"/>
        <w:left w:val="none" w:sz="0" w:space="0" w:color="auto"/>
        <w:bottom w:val="none" w:sz="0" w:space="0" w:color="auto"/>
        <w:right w:val="none" w:sz="0" w:space="0" w:color="auto"/>
      </w:divBdr>
    </w:div>
    <w:div w:id="608240354">
      <w:bodyDiv w:val="1"/>
      <w:marLeft w:val="0"/>
      <w:marRight w:val="0"/>
      <w:marTop w:val="0"/>
      <w:marBottom w:val="0"/>
      <w:divBdr>
        <w:top w:val="none" w:sz="0" w:space="0" w:color="auto"/>
        <w:left w:val="none" w:sz="0" w:space="0" w:color="auto"/>
        <w:bottom w:val="none" w:sz="0" w:space="0" w:color="auto"/>
        <w:right w:val="none" w:sz="0" w:space="0" w:color="auto"/>
      </w:divBdr>
    </w:div>
    <w:div w:id="765885673">
      <w:bodyDiv w:val="1"/>
      <w:marLeft w:val="0"/>
      <w:marRight w:val="0"/>
      <w:marTop w:val="0"/>
      <w:marBottom w:val="0"/>
      <w:divBdr>
        <w:top w:val="none" w:sz="0" w:space="0" w:color="auto"/>
        <w:left w:val="none" w:sz="0" w:space="0" w:color="auto"/>
        <w:bottom w:val="none" w:sz="0" w:space="0" w:color="auto"/>
        <w:right w:val="none" w:sz="0" w:space="0" w:color="auto"/>
      </w:divBdr>
    </w:div>
    <w:div w:id="839808149">
      <w:bodyDiv w:val="1"/>
      <w:marLeft w:val="0"/>
      <w:marRight w:val="0"/>
      <w:marTop w:val="0"/>
      <w:marBottom w:val="0"/>
      <w:divBdr>
        <w:top w:val="none" w:sz="0" w:space="0" w:color="auto"/>
        <w:left w:val="none" w:sz="0" w:space="0" w:color="auto"/>
        <w:bottom w:val="none" w:sz="0" w:space="0" w:color="auto"/>
        <w:right w:val="none" w:sz="0" w:space="0" w:color="auto"/>
      </w:divBdr>
    </w:div>
    <w:div w:id="1065908146">
      <w:bodyDiv w:val="1"/>
      <w:marLeft w:val="0"/>
      <w:marRight w:val="0"/>
      <w:marTop w:val="0"/>
      <w:marBottom w:val="0"/>
      <w:divBdr>
        <w:top w:val="none" w:sz="0" w:space="0" w:color="auto"/>
        <w:left w:val="none" w:sz="0" w:space="0" w:color="auto"/>
        <w:bottom w:val="none" w:sz="0" w:space="0" w:color="auto"/>
        <w:right w:val="none" w:sz="0" w:space="0" w:color="auto"/>
      </w:divBdr>
    </w:div>
    <w:div w:id="1137524492">
      <w:bodyDiv w:val="1"/>
      <w:marLeft w:val="0"/>
      <w:marRight w:val="0"/>
      <w:marTop w:val="0"/>
      <w:marBottom w:val="0"/>
      <w:divBdr>
        <w:top w:val="none" w:sz="0" w:space="0" w:color="auto"/>
        <w:left w:val="none" w:sz="0" w:space="0" w:color="auto"/>
        <w:bottom w:val="none" w:sz="0" w:space="0" w:color="auto"/>
        <w:right w:val="none" w:sz="0" w:space="0" w:color="auto"/>
      </w:divBdr>
    </w:div>
    <w:div w:id="1168447400">
      <w:bodyDiv w:val="1"/>
      <w:marLeft w:val="0"/>
      <w:marRight w:val="0"/>
      <w:marTop w:val="0"/>
      <w:marBottom w:val="0"/>
      <w:divBdr>
        <w:top w:val="none" w:sz="0" w:space="0" w:color="auto"/>
        <w:left w:val="none" w:sz="0" w:space="0" w:color="auto"/>
        <w:bottom w:val="none" w:sz="0" w:space="0" w:color="auto"/>
        <w:right w:val="none" w:sz="0" w:space="0" w:color="auto"/>
      </w:divBdr>
      <w:divsChild>
        <w:div w:id="1745374829">
          <w:marLeft w:val="0"/>
          <w:marRight w:val="0"/>
          <w:marTop w:val="0"/>
          <w:marBottom w:val="0"/>
          <w:divBdr>
            <w:top w:val="none" w:sz="0" w:space="0" w:color="auto"/>
            <w:left w:val="none" w:sz="0" w:space="0" w:color="auto"/>
            <w:bottom w:val="none" w:sz="0" w:space="0" w:color="auto"/>
            <w:right w:val="none" w:sz="0" w:space="0" w:color="auto"/>
          </w:divBdr>
          <w:divsChild>
            <w:div w:id="18983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2245">
      <w:bodyDiv w:val="1"/>
      <w:marLeft w:val="0"/>
      <w:marRight w:val="0"/>
      <w:marTop w:val="0"/>
      <w:marBottom w:val="0"/>
      <w:divBdr>
        <w:top w:val="none" w:sz="0" w:space="0" w:color="auto"/>
        <w:left w:val="none" w:sz="0" w:space="0" w:color="auto"/>
        <w:bottom w:val="none" w:sz="0" w:space="0" w:color="auto"/>
        <w:right w:val="none" w:sz="0" w:space="0" w:color="auto"/>
      </w:divBdr>
    </w:div>
    <w:div w:id="1387339076">
      <w:bodyDiv w:val="1"/>
      <w:marLeft w:val="0"/>
      <w:marRight w:val="0"/>
      <w:marTop w:val="0"/>
      <w:marBottom w:val="0"/>
      <w:divBdr>
        <w:top w:val="none" w:sz="0" w:space="0" w:color="auto"/>
        <w:left w:val="none" w:sz="0" w:space="0" w:color="auto"/>
        <w:bottom w:val="none" w:sz="0" w:space="0" w:color="auto"/>
        <w:right w:val="none" w:sz="0" w:space="0" w:color="auto"/>
      </w:divBdr>
      <w:divsChild>
        <w:div w:id="662973568">
          <w:marLeft w:val="0"/>
          <w:marRight w:val="0"/>
          <w:marTop w:val="0"/>
          <w:marBottom w:val="0"/>
          <w:divBdr>
            <w:top w:val="none" w:sz="0" w:space="0" w:color="auto"/>
            <w:left w:val="none" w:sz="0" w:space="0" w:color="auto"/>
            <w:bottom w:val="none" w:sz="0" w:space="0" w:color="auto"/>
            <w:right w:val="none" w:sz="0" w:space="0" w:color="auto"/>
          </w:divBdr>
          <w:divsChild>
            <w:div w:id="7369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00484">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91105050">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01fe22bcs063@kletech.ac.in"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01fe22bcs076@kletech.ac.in"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mailto:01fe22bcs074@kletech.ac.i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01fe22bcs065@kletech.ac.in" TargetMode="Externa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7D4E8-A905-4E2A-9E7D-8E0EDD704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11</TotalTime>
  <Pages>4</Pages>
  <Words>1368</Words>
  <Characters>8359</Characters>
  <Application>Microsoft Office Word</Application>
  <DocSecurity>0</DocSecurity>
  <Lines>232</Lines>
  <Paragraphs>70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9657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SAI SATYA B V</cp:lastModifiedBy>
  <cp:revision>9</cp:revision>
  <cp:lastPrinted>2023-07-02T16:51:00Z</cp:lastPrinted>
  <dcterms:created xsi:type="dcterms:W3CDTF">2024-06-18T09:19:00Z</dcterms:created>
  <dcterms:modified xsi:type="dcterms:W3CDTF">2024-06-18T09:30:00Z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documentId_332</vt:lpwstr>
  </property>
  <property fmtid="{D5CDD505-2E9C-101B-9397-08002B2CF9AE}" pid="3" name="ZOTERO_PREF_1">
    <vt:lpwstr>&lt;data data-version="3" zotero-version="5.0.89"&gt;&lt;session id="nhIMj5SU"/&gt;&lt;style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y fmtid="{D5CDD505-2E9C-101B-9397-08002B2CF9AE}" pid="5" name="grammarly_documentContext">
    <vt:lpwstr>{"goals":[],"domain":"general","emotions":[],"dialect":"american"}</vt:lpwstr>
  </property>
  <property fmtid="{D5CDD505-2E9C-101B-9397-08002B2CF9AE}" pid="6" name="GrammarlyDocumentId">
    <vt:lpwstr>f0f1da57285ce5d265c9ed2aba11c9c1e788d694c8d934a95930c66fd64cb077</vt:lpwstr>
  </property>
</Properties>
</file>