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864"/>
          <w:sz w:val="80"/>
        </w:rPr>
        <w:t>DevAssist AI</w:t>
      </w:r>
    </w:p>
    <w:p>
      <w:pPr>
        <w:spacing w:before="200"/>
        <w:jc w:val="center"/>
      </w:pPr>
      <w:r>
        <w:rPr>
          <w:b/>
          <w:color w:val="2E74B5"/>
          <w:sz w:val="36"/>
        </w:rPr>
        <w:t>Complex Problems Knowledge Base</w:t>
      </w:r>
    </w:p>
    <w:p>
      <w:pPr>
        <w:jc w:val="center"/>
      </w:pPr>
      <w:r>
        <w:rPr>
          <w:i/>
          <w:color w:val="595959"/>
          <w:sz w:val="24"/>
        </w:rPr>
        <w:t>Advanced Troubleshooting Guides — Ambiguous or Multi-Cause Issues</w:t>
      </w:r>
    </w:p>
    <w:p>
      <w:pPr>
        <w:spacing w:before="480"/>
        <w:jc w:val="center"/>
      </w:pPr>
      <w:r>
        <w:rPr>
          <w:color w:val="595959"/>
          <w:sz w:val="22"/>
        </w:rPr>
        <w:t>This document covers complex, cross-cutting support issues where the same symptom can have several different underlying causes, or where the issue affects some users/requests but not others.</w:t>
      </w:r>
    </w:p>
    <w:p>
      <w:pPr>
        <w:spacing w:before="120"/>
        <w:jc w:val="center"/>
      </w:pPr>
      <w:r>
        <w:rPr>
          <w:color w:val="595959"/>
          <w:sz w:val="20"/>
        </w:rPr>
        <w:t>Document Count: 15 guides</w:t>
      </w:r>
    </w:p>
    <w:p>
      <w:pPr>
        <w:spacing w:before="120"/>
        <w:jc w:val="center"/>
      </w:pPr>
      <w:r>
        <w:rPr>
          <w:color w:val="595959"/>
          <w:sz w:val="20"/>
        </w:rPr>
        <w:t>Classification: Internal Use — Approved Knowledge Source</w:t>
      </w:r>
    </w:p>
    <w:p>
      <w:pPr>
        <w:spacing w:before="120"/>
        <w:jc w:val="center"/>
      </w:pPr>
      <w:r>
        <w:rPr>
          <w:color w:val="595959"/>
          <w:sz w:val="20"/>
        </w:rPr>
        <w:t>Category: Complex Troubleshooting</w:t>
      </w:r>
    </w:p>
    <w:p>
      <w:pPr>
        <w:spacing w:before="120"/>
        <w:jc w:val="center"/>
      </w:pPr>
      <w:r>
        <w:rPr>
          <w:color w:val="595959"/>
          <w:sz w:val="20"/>
        </w:rPr>
        <w:t>Version 3.0 — Rewritten for RAG training/testing with image-based error matching</w:t>
      </w:r>
    </w:p>
    <w:p>
      <w:r>
        <w:br w:type="page"/>
      </w:r>
    </w:p>
    <w:p>
      <w:pPr>
        <w:spacing w:before="0" w:after="160"/>
      </w:pPr>
      <w:r>
        <w:rPr>
          <w:b/>
          <w:color w:val="1F3864"/>
          <w:sz w:val="34"/>
        </w:rPr>
        <w:t>How This Knowledge Base Is Used</w:t>
      </w:r>
    </w:p>
    <w:p>
      <w:pPr>
        <w:spacing w:after="120"/>
      </w:pPr>
      <w:r>
        <w:rPr>
          <w:b w:val="0"/>
          <w:i w:val="0"/>
          <w:sz w:val="21"/>
        </w:rPr>
        <w:t>DevAssist AI helps a junior developer resolve a customer-reported technical issue when a senior developer is not immediately available. The junior developer can describe the problem in text, or upload a screenshot of the error the customer is seeing. The system uses this input to search the knowledge base below and retrieve the single most relevant guide, then walks the junior developer through that guide's troubleshooting steps.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Text-Based Ticket Workflow</w:t>
            </w:r>
          </w:p>
        </w:tc>
      </w:tr>
    </w:tbl>
    <w:p>
      <w:pPr>
        <w:spacing w:after="60"/>
        <w:ind w:left="360"/>
      </w:pPr>
      <w:r>
        <w:rPr>
          <w:sz w:val="21"/>
        </w:rPr>
        <w:t>1. Junior developer enters the customer's problem description.</w:t>
      </w:r>
    </w:p>
    <w:p>
      <w:pPr>
        <w:spacing w:after="60"/>
        <w:ind w:left="360"/>
      </w:pPr>
      <w:r>
        <w:rPr>
          <w:sz w:val="21"/>
        </w:rPr>
        <w:t>2. The system identifies the likely problem area, error type, and affected feature.</w:t>
      </w:r>
    </w:p>
    <w:p>
      <w:pPr>
        <w:spacing w:after="60"/>
        <w:ind w:left="360"/>
      </w:pPr>
      <w:r>
        <w:rPr>
          <w:sz w:val="21"/>
        </w:rPr>
        <w:t>3. The system searches this knowledge base for the closest matching guide.</w:t>
      </w:r>
    </w:p>
    <w:p>
      <w:pPr>
        <w:spacing w:after="60"/>
        <w:ind w:left="360"/>
      </w:pPr>
      <w:r>
        <w:rPr>
          <w:sz w:val="21"/>
        </w:rPr>
        <w:t>4. The matching guide's Problem, Symptoms, Causes, and Steps are retrieved.</w:t>
      </w:r>
    </w:p>
    <w:p>
      <w:pPr>
        <w:spacing w:after="60"/>
        <w:ind w:left="360"/>
      </w:pPr>
      <w:r>
        <w:rPr>
          <w:sz w:val="21"/>
        </w:rPr>
        <w:t>5. The system presents a step-by-step recommendation, generated only from the retrieved guide.</w:t>
      </w:r>
    </w:p>
    <w:p>
      <w:pPr>
        <w:spacing w:after="60"/>
        <w:ind w:left="360"/>
      </w:pPr>
      <w:r>
        <w:rPr>
          <w:sz w:val="21"/>
        </w:rPr>
        <w:t>6. The system states the responsible team and the escalation condition from that guide.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Image / Screenshot-Based Workflow</w:t>
            </w:r>
          </w:p>
        </w:tc>
      </w:tr>
    </w:tbl>
    <w:p>
      <w:pPr>
        <w:spacing w:after="120"/>
      </w:pPr>
      <w:r>
        <w:rPr>
          <w:b w:val="0"/>
          <w:i w:val="0"/>
          <w:sz w:val="21"/>
        </w:rPr>
        <w:t>When the junior developer uploads a screenshot instead of (or alongside) a text description, the system reads the visible error text, error code, and layout of the screenshot, then compares it against the "Visual / Screenshot Indicators" section of each guide below. This section exists in every guide specifically to support this matching step.</w:t>
      </w:r>
    </w:p>
    <w:p>
      <w:pPr>
        <w:spacing w:after="60"/>
        <w:ind w:left="360"/>
      </w:pPr>
      <w:r>
        <w:rPr>
          <w:sz w:val="21"/>
        </w:rPr>
        <w:t>1. Junior developer uploads a screenshot of the customer's error.</w:t>
      </w:r>
    </w:p>
    <w:p>
      <w:pPr>
        <w:spacing w:after="60"/>
        <w:ind w:left="360"/>
      </w:pPr>
      <w:r>
        <w:rPr>
          <w:sz w:val="21"/>
        </w:rPr>
        <w:t>2. The system extracts visible text, error codes, and UI context from the image.</w:t>
      </w:r>
    </w:p>
    <w:p>
      <w:pPr>
        <w:spacing w:after="60"/>
        <w:ind w:left="360"/>
      </w:pPr>
      <w:r>
        <w:rPr>
          <w:sz w:val="21"/>
        </w:rPr>
        <w:t>3. The system compares these visual cues against the Visual / Screenshot Indicators section of each guide.</w:t>
      </w:r>
    </w:p>
    <w:p>
      <w:pPr>
        <w:spacing w:after="60"/>
        <w:ind w:left="360"/>
      </w:pPr>
      <w:r>
        <w:rPr>
          <w:sz w:val="21"/>
        </w:rPr>
        <w:t>4. The system retrieves the best-matching guide, the same way it would from a text ticket.</w:t>
      </w:r>
    </w:p>
    <w:p>
      <w:pPr>
        <w:spacing w:after="60"/>
        <w:ind w:left="360"/>
      </w:pPr>
      <w:r>
        <w:rPr>
          <w:sz w:val="21"/>
        </w:rPr>
        <w:t>5. The remaining steps (troubleshooting, solution, escalation, team) proceed identically to the text workflow.</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Document Structure Used Throughout</w:t>
            </w:r>
          </w:p>
        </w:tc>
      </w:tr>
    </w:tbl>
    <w:p>
      <w:pPr>
        <w:spacing w:after="120"/>
      </w:pPr>
      <w:r>
        <w:rPr>
          <w:b w:val="0"/>
          <w:i/>
          <w:color w:val="595959"/>
          <w:sz w:val="19"/>
        </w:rPr>
        <w:t>Every guide in this knowledge base follows the same 11-section structure so retrieval and generation remain consistent:</w:t>
      </w:r>
    </w:p>
    <w:p>
      <w:pPr>
        <w:pStyle w:val="ListBullet"/>
        <w:spacing w:after="60"/>
      </w:pPr>
      <w:r>
        <w:rPr>
          <w:sz w:val="21"/>
        </w:rPr>
        <w:t>1. Problem Statement</w:t>
      </w:r>
    </w:p>
    <w:p>
      <w:pPr>
        <w:pStyle w:val="ListBullet"/>
        <w:spacing w:after="60"/>
      </w:pPr>
      <w:r>
        <w:rPr>
          <w:sz w:val="21"/>
        </w:rPr>
        <w:t>2. Visual / Screenshot Indicators</w:t>
      </w:r>
    </w:p>
    <w:p>
      <w:pPr>
        <w:pStyle w:val="ListBullet"/>
        <w:spacing w:after="60"/>
      </w:pPr>
      <w:r>
        <w:rPr>
          <w:sz w:val="21"/>
        </w:rPr>
        <w:t>3. Symptoms / Indicators</w:t>
      </w:r>
    </w:p>
    <w:p>
      <w:pPr>
        <w:pStyle w:val="ListBullet"/>
        <w:spacing w:after="60"/>
      </w:pPr>
      <w:r>
        <w:rPr>
          <w:sz w:val="21"/>
        </w:rPr>
        <w:t>4. Possible Causes</w:t>
      </w:r>
    </w:p>
    <w:p>
      <w:pPr>
        <w:pStyle w:val="ListBullet"/>
        <w:spacing w:after="60"/>
      </w:pPr>
      <w:r>
        <w:rPr>
          <w:sz w:val="21"/>
        </w:rPr>
        <w:t>5. Troubleshooting Steps</w:t>
      </w:r>
    </w:p>
    <w:p>
      <w:pPr>
        <w:pStyle w:val="ListBullet"/>
        <w:spacing w:after="60"/>
      </w:pPr>
      <w:r>
        <w:rPr>
          <w:sz w:val="21"/>
        </w:rPr>
        <w:t>6. Decision Guidance</w:t>
      </w:r>
    </w:p>
    <w:p>
      <w:pPr>
        <w:pStyle w:val="ListBullet"/>
        <w:spacing w:after="60"/>
      </w:pPr>
      <w:r>
        <w:rPr>
          <w:sz w:val="21"/>
        </w:rPr>
        <w:t>7. Solution / Resolution</w:t>
      </w:r>
    </w:p>
    <w:p>
      <w:pPr>
        <w:pStyle w:val="ListBullet"/>
        <w:spacing w:after="60"/>
      </w:pPr>
      <w:r>
        <w:rPr>
          <w:sz w:val="21"/>
        </w:rPr>
        <w:t>8. Verification</w:t>
      </w:r>
    </w:p>
    <w:p>
      <w:pPr>
        <w:pStyle w:val="ListBullet"/>
        <w:spacing w:after="60"/>
      </w:pPr>
      <w:r>
        <w:rPr>
          <w:sz w:val="21"/>
        </w:rPr>
        <w:t>9. Escalation Criteria</w:t>
      </w:r>
    </w:p>
    <w:p>
      <w:pPr>
        <w:pStyle w:val="ListBullet"/>
        <w:spacing w:after="60"/>
      </w:pPr>
      <w:r>
        <w:rPr>
          <w:sz w:val="21"/>
        </w:rPr>
        <w:t>10. Responsible Support Team</w:t>
      </w:r>
    </w:p>
    <w:p>
      <w:pPr>
        <w:pStyle w:val="ListBullet"/>
        <w:spacing w:after="60"/>
      </w:pPr>
      <w:r>
        <w:rPr>
          <w:sz w:val="21"/>
        </w:rPr>
        <w:t>11. Related Guides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What Is Deliberately Excluded</w:t>
            </w:r>
          </w:p>
        </w:tc>
      </w:tr>
    </w:tbl>
    <w:p>
      <w:pPr>
        <w:pStyle w:val="ListBullet"/>
        <w:spacing w:after="60"/>
      </w:pPr>
      <w:r>
        <w:rPr>
          <w:sz w:val="21"/>
        </w:rPr>
        <w:t>Customer names, phone numbers, or personal information</w:t>
      </w:r>
    </w:p>
    <w:p>
      <w:pPr>
        <w:pStyle w:val="ListBullet"/>
        <w:spacing w:after="60"/>
      </w:pPr>
      <w:r>
        <w:rPr>
          <w:sz w:val="21"/>
        </w:rPr>
        <w:t>Ticket IDs or account-specific identifiers</w:t>
      </w:r>
    </w:p>
    <w:p>
      <w:pPr>
        <w:pStyle w:val="ListBullet"/>
        <w:spacing w:after="60"/>
      </w:pPr>
      <w:r>
        <w:rPr>
          <w:sz w:val="21"/>
        </w:rPr>
        <w:t>Unrelated company information</w:t>
      </w:r>
    </w:p>
    <w:p>
      <w:pPr>
        <w:pStyle w:val="ListBullet"/>
        <w:spacing w:after="60"/>
      </w:pPr>
      <w:r>
        <w:rPr>
          <w:sz w:val="21"/>
        </w:rPr>
        <w:t>Unsupported guesses or speculative fixes</w:t>
      </w:r>
    </w:p>
    <w:p>
      <w:pPr>
        <w:pStyle w:val="ListBullet"/>
        <w:spacing w:after="60"/>
      </w:pPr>
      <w:r>
        <w:rPr>
          <w:sz w:val="21"/>
        </w:rPr>
        <w:t>Duplicate solutions across guides</w:t>
      </w:r>
    </w:p>
    <w:p>
      <w:r>
        <w:br w:type="page"/>
      </w:r>
    </w:p>
    <w:p>
      <w:pPr>
        <w:spacing w:before="0" w:after="160"/>
      </w:pPr>
      <w:r>
        <w:rPr>
          <w:b/>
          <w:color w:val="1F3864"/>
          <w:sz w:val="34"/>
        </w:rPr>
        <w:t>Table of Contents</w:t>
      </w:r>
    </w:p>
    <w:p>
      <w:pPr>
        <w:spacing w:before="200" w:after="60"/>
      </w:pPr>
      <w:r>
        <w:rPr>
          <w:b/>
          <w:color w:val="2E74B5"/>
          <w:sz w:val="24"/>
        </w:rPr>
        <w:t>Complex Troubleshooting</w:t>
      </w:r>
    </w:p>
    <w:p>
      <w:pPr>
        <w:tabs>
          <w:tab w:pos="9072" w:val="decimal" w:leader="hyphen"/>
        </w:tabs>
        <w:spacing w:after="40"/>
        <w:ind w:left="360"/>
      </w:pPr>
      <w:r>
        <w:rPr>
          <w:sz w:val="21"/>
        </w:rPr>
        <w:t>COMP-001  Feature Works for One User but Not Another</w:t>
        <w:tab/>
      </w:r>
    </w:p>
    <w:p>
      <w:pPr>
        <w:tabs>
          <w:tab w:pos="9072" w:val="decimal" w:leader="hyphen"/>
        </w:tabs>
        <w:spacing w:after="40"/>
        <w:ind w:left="360"/>
      </w:pPr>
      <w:r>
        <w:rPr>
          <w:sz w:val="21"/>
        </w:rPr>
        <w:t>COMP-002  API Works for Some Requests but Fails for Others</w:t>
        <w:tab/>
      </w:r>
    </w:p>
    <w:p>
      <w:pPr>
        <w:tabs>
          <w:tab w:pos="9072" w:val="decimal" w:leader="hyphen"/>
        </w:tabs>
        <w:spacing w:after="40"/>
        <w:ind w:left="360"/>
      </w:pPr>
      <w:r>
        <w:rPr>
          <w:sz w:val="21"/>
        </w:rPr>
        <w:t>COMP-003  Integration Stops After Credential Rotation</w:t>
        <w:tab/>
      </w:r>
    </w:p>
    <w:p>
      <w:pPr>
        <w:tabs>
          <w:tab w:pos="9072" w:val="decimal" w:leader="hyphen"/>
        </w:tabs>
        <w:spacing w:after="40"/>
        <w:ind w:left="360"/>
      </w:pPr>
      <w:r>
        <w:rPr>
          <w:sz w:val="21"/>
        </w:rPr>
        <w:t>COMP-004  Data Synchronization Partially Fails</w:t>
        <w:tab/>
      </w:r>
    </w:p>
    <w:p>
      <w:pPr>
        <w:tabs>
          <w:tab w:pos="9072" w:val="decimal" w:leader="hyphen"/>
        </w:tabs>
        <w:spacing w:after="40"/>
        <w:ind w:left="360"/>
      </w:pPr>
      <w:r>
        <w:rPr>
          <w:sz w:val="21"/>
        </w:rPr>
        <w:t>COMP-005  Dashboard Fails for Multiple Users</w:t>
        <w:tab/>
      </w:r>
    </w:p>
    <w:p>
      <w:pPr>
        <w:tabs>
          <w:tab w:pos="9072" w:val="decimal" w:leader="hyphen"/>
        </w:tabs>
        <w:spacing w:after="40"/>
        <w:ind w:left="360"/>
      </w:pPr>
      <w:r>
        <w:rPr>
          <w:sz w:val="21"/>
        </w:rPr>
        <w:t>COMP-006  Application Becomes Slow for Multiple Users</w:t>
        <w:tab/>
      </w:r>
    </w:p>
    <w:p>
      <w:pPr>
        <w:tabs>
          <w:tab w:pos="9072" w:val="decimal" w:leader="hyphen"/>
        </w:tabs>
        <w:spacing w:after="40"/>
        <w:ind w:left="360"/>
      </w:pPr>
      <w:r>
        <w:rPr>
          <w:sz w:val="21"/>
        </w:rPr>
        <w:t>COMP-007  SSO Works for Some Users but Not Others</w:t>
        <w:tab/>
      </w:r>
    </w:p>
    <w:p>
      <w:pPr>
        <w:tabs>
          <w:tab w:pos="9072" w:val="decimal" w:leader="hyphen"/>
        </w:tabs>
        <w:spacing w:after="40"/>
        <w:ind w:left="360"/>
      </w:pPr>
      <w:r>
        <w:rPr>
          <w:sz w:val="21"/>
        </w:rPr>
        <w:t>COMP-008  Webhook Received but Business Action Does Not Occur</w:t>
        <w:tab/>
      </w:r>
    </w:p>
    <w:p>
      <w:pPr>
        <w:tabs>
          <w:tab w:pos="9072" w:val="decimal" w:leader="hyphen"/>
        </w:tabs>
        <w:spacing w:after="40"/>
        <w:ind w:left="360"/>
      </w:pPr>
      <w:r>
        <w:rPr>
          <w:sz w:val="21"/>
        </w:rPr>
        <w:t>COMP-009  Integration Works in Test but Fails in Production</w:t>
        <w:tab/>
      </w:r>
    </w:p>
    <w:p>
      <w:pPr>
        <w:tabs>
          <w:tab w:pos="9072" w:val="decimal" w:leader="hyphen"/>
        </w:tabs>
        <w:spacing w:after="40"/>
        <w:ind w:left="360"/>
      </w:pPr>
      <w:r>
        <w:rPr>
          <w:sz w:val="21"/>
        </w:rPr>
        <w:t>COMP-010  Same Problem Returns After Resolution</w:t>
        <w:tab/>
      </w:r>
    </w:p>
    <w:p>
      <w:pPr>
        <w:tabs>
          <w:tab w:pos="9072" w:val="decimal" w:leader="hyphen"/>
        </w:tabs>
        <w:spacing w:after="40"/>
        <w:ind w:left="360"/>
      </w:pPr>
      <w:r>
        <w:rPr>
          <w:sz w:val="21"/>
        </w:rPr>
        <w:t>COMP-011  Payment Successful but Subscription Webhook Fails</w:t>
        <w:tab/>
      </w:r>
    </w:p>
    <w:p>
      <w:pPr>
        <w:tabs>
          <w:tab w:pos="9072" w:val="decimal" w:leader="hyphen"/>
        </w:tabs>
        <w:spacing w:after="40"/>
        <w:ind w:left="360"/>
      </w:pPr>
      <w:r>
        <w:rPr>
          <w:sz w:val="21"/>
        </w:rPr>
        <w:t>COMP-012  Report Data Differs From Source System</w:t>
        <w:tab/>
      </w:r>
    </w:p>
    <w:p>
      <w:pPr>
        <w:tabs>
          <w:tab w:pos="9072" w:val="decimal" w:leader="hyphen"/>
        </w:tabs>
        <w:spacing w:after="40"/>
        <w:ind w:left="360"/>
      </w:pPr>
      <w:r>
        <w:rPr>
          <w:sz w:val="21"/>
        </w:rPr>
        <w:t>COMP-013  Notifications Work for Some Users but Not Others</w:t>
        <w:tab/>
      </w:r>
    </w:p>
    <w:p>
      <w:pPr>
        <w:tabs>
          <w:tab w:pos="9072" w:val="decimal" w:leader="hyphen"/>
        </w:tabs>
        <w:spacing w:after="40"/>
        <w:ind w:left="360"/>
      </w:pPr>
      <w:r>
        <w:rPr>
          <w:sz w:val="21"/>
        </w:rPr>
        <w:t>COMP-014  Feature Stops Working After Product Update</w:t>
        <w:tab/>
      </w:r>
    </w:p>
    <w:p>
      <w:pPr>
        <w:tabs>
          <w:tab w:pos="9072" w:val="decimal" w:leader="hyphen"/>
        </w:tabs>
        <w:spacing w:after="40"/>
        <w:ind w:left="360"/>
      </w:pPr>
      <w:r>
        <w:rPr>
          <w:sz w:val="21"/>
        </w:rPr>
        <w:t>COMP-015  No Known Solution in Knowledge Base</w:t>
        <w:tab/>
      </w:r>
    </w:p>
    <w:p>
      <w:r>
        <w:br w:type="page"/>
      </w:r>
    </w:p>
    <w:p>
      <w:pPr>
        <w:spacing w:before="0" w:after="160"/>
      </w:pPr>
      <w:r>
        <w:rPr>
          <w:b/>
          <w:color w:val="1F3864"/>
          <w:sz w:val="34"/>
        </w:rPr>
        <w:t>COMP-001  |  Feature Works for One User but Not Another</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COMP-001</w:t>
            </w:r>
          </w:p>
        </w:tc>
      </w:tr>
      <w:tr>
        <w:tc>
          <w:tcPr>
            <w:tcW w:type="dxa" w:w="4680"/>
            <w:shd w:val="clear" w:color="auto" w:fill="DCE6F1"/>
          </w:tcPr>
          <w:p>
            <w:r>
              <w:rPr>
                <w:b/>
                <w:color w:val="1F3864"/>
                <w:sz w:val="20"/>
              </w:rPr>
              <w:t>Category</w:t>
            </w:r>
          </w:p>
        </w:tc>
        <w:tc>
          <w:tcPr>
            <w:tcW w:type="dxa" w:w="4680"/>
          </w:tcPr>
          <w:p>
            <w:r>
              <w:rPr>
                <w:sz w:val="20"/>
              </w:rPr>
              <w:t>Complex Troubleshooting</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Identical feature works for User A but fails for User B on the same account</w:t>
      </w:r>
    </w:p>
    <w:p>
      <w:pPr>
        <w:spacing w:after="120"/>
      </w:pPr>
      <w:r>
        <w:rPr>
          <w:b w:val="0"/>
          <w:i w:val="0"/>
          <w:sz w:val="21"/>
        </w:rPr>
        <w:t>The exact same feature functions correctly for one user in an organization but fails or behaves differently for another user in the same account.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Identical feature works for User A but fails for User B on the same account</w:t>
      </w:r>
    </w:p>
    <w:p>
      <w:pPr>
        <w:pStyle w:val="ListBullet"/>
        <w:spacing w:after="60"/>
      </w:pPr>
      <w:r>
        <w:rPr>
          <w:sz w:val="21"/>
        </w:rPr>
        <w:t>Two screenshots side-by-side: same feature, same account, different users, different results</w:t>
      </w:r>
    </w:p>
    <w:p>
      <w:pPr>
        <w:pStyle w:val="ListBullet"/>
        <w:spacing w:after="60"/>
      </w:pPr>
      <w:r>
        <w:rPr>
          <w:sz w:val="21"/>
        </w:rPr>
        <w:t>Role/permission comparison screenshot for both users</w:t>
      </w:r>
    </w:p>
    <w:p>
      <w:pPr>
        <w:pStyle w:val="ListBullet"/>
        <w:spacing w:after="60"/>
      </w:pPr>
      <w:r>
        <w:rPr>
          <w:sz w:val="21"/>
        </w:rPr>
        <w:t>Browser console showing an error only under one user's session</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One user reports the feature works; another on the same account reports it fails.</w:t>
      </w:r>
    </w:p>
    <w:p>
      <w:pPr>
        <w:pStyle w:val="ListBullet"/>
        <w:spacing w:after="60"/>
      </w:pPr>
      <w:r>
        <w:rPr>
          <w:sz w:val="21"/>
        </w:rPr>
        <w:t>Both users are on the same account/organization and plan.</w:t>
      </w:r>
    </w:p>
    <w:p>
      <w:pPr>
        <w:pStyle w:val="ListBullet"/>
        <w:spacing w:after="60"/>
      </w:pPr>
      <w:r>
        <w:rPr>
          <w:sz w:val="21"/>
        </w:rPr>
        <w:t>No account-wide outage is occurring since other users are unaffected.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The two users have different roles or permission sets.</w:t>
      </w:r>
    </w:p>
    <w:p>
      <w:pPr>
        <w:pStyle w:val="ListBullet"/>
        <w:spacing w:after="60"/>
      </w:pPr>
      <w:r>
        <w:rPr>
          <w:sz w:val="21"/>
        </w:rPr>
        <w:t>Individual user-level settings or preferences differ.</w:t>
      </w:r>
    </w:p>
    <w:p>
      <w:pPr>
        <w:pStyle w:val="ListBullet"/>
        <w:spacing w:after="60"/>
      </w:pPr>
      <w:r>
        <w:rPr>
          <w:sz w:val="21"/>
        </w:rPr>
        <w:t>One user's session/cache is in a different state than the other's.</w:t>
      </w:r>
    </w:p>
    <w:p>
      <w:pPr>
        <w:pStyle w:val="ListBullet"/>
        <w:spacing w:after="60"/>
      </w:pPr>
      <w:r>
        <w:rPr>
          <w:sz w:val="21"/>
        </w:rPr>
        <w:t>A user-specific data condition (e.g., missing profile field) affects only one of them.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Compare both users' roles and permissions side-by-side.</w:t>
      </w:r>
    </w:p>
    <w:p>
      <w:pPr>
        <w:spacing w:after="60"/>
        <w:ind w:left="360"/>
      </w:pPr>
      <w:r>
        <w:rPr>
          <w:sz w:val="21"/>
        </w:rPr>
        <w:t>2. Compare individual account settings and preferences between the two users.</w:t>
      </w:r>
    </w:p>
    <w:p>
      <w:pPr>
        <w:spacing w:after="60"/>
        <w:ind w:left="360"/>
      </w:pPr>
      <w:r>
        <w:rPr>
          <w:sz w:val="21"/>
        </w:rPr>
        <w:t>3. Ask the affected user to clear cache/cookies and retry in a fresh session.</w:t>
      </w:r>
    </w:p>
    <w:p>
      <w:pPr>
        <w:spacing w:after="60"/>
        <w:ind w:left="360"/>
      </w:pPr>
      <w:r>
        <w:rPr>
          <w:sz w:val="21"/>
        </w:rPr>
        <w:t>4. Check for any user-specific data condition unique to the failing user.</w:t>
      </w:r>
    </w:p>
    <w:p>
      <w:pPr>
        <w:spacing w:after="60"/>
        <w:ind w:left="360"/>
      </w:pPr>
      <w:r>
        <w:rPr>
          <w:sz w:val="21"/>
        </w:rPr>
        <w:t>5. Attempt to reproduce the failure using a test account configured identically to the affected user.</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If a role, permission, or setting difference is found, correct it directly. If both users are configured identically and one still fails, escalate for application-level investigation.</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Align the failing user's role, settings, or data condition to match the working user, and confirm the feature now works for both.</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both users are confirmed to have identical configurations yet one consistently fails.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Application Support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AUTH-004 (Permission Denied)</w:t>
      </w:r>
    </w:p>
    <w:p>
      <w:pPr>
        <w:pStyle w:val="ListBullet"/>
        <w:spacing w:after="60"/>
      </w:pPr>
      <w:r>
        <w:rPr>
          <w:sz w:val="21"/>
        </w:rPr>
        <w:t>CONFIG-003 (User Permission Configuration)</w:t>
      </w:r>
    </w:p>
    <w:p>
      <w:r>
        <w:br w:type="page"/>
      </w:r>
    </w:p>
    <w:p>
      <w:pPr>
        <w:spacing w:before="0" w:after="160"/>
      </w:pPr>
      <w:r>
        <w:rPr>
          <w:b/>
          <w:color w:val="1F3864"/>
          <w:sz w:val="34"/>
        </w:rPr>
        <w:t>COMP-002  |  API Works for Some Requests but Fails for Others</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COMP-002</w:t>
            </w:r>
          </w:p>
        </w:tc>
      </w:tr>
      <w:tr>
        <w:tc>
          <w:tcPr>
            <w:tcW w:type="dxa" w:w="4680"/>
            <w:shd w:val="clear" w:color="auto" w:fill="DCE6F1"/>
          </w:tcPr>
          <w:p>
            <w:r>
              <w:rPr>
                <w:b/>
                <w:color w:val="1F3864"/>
                <w:sz w:val="20"/>
              </w:rPr>
              <w:t>Category</w:t>
            </w:r>
          </w:p>
        </w:tc>
        <w:tc>
          <w:tcPr>
            <w:tcW w:type="dxa" w:w="4680"/>
          </w:tcPr>
          <w:p>
            <w:r>
              <w:rPr>
                <w:sz w:val="20"/>
              </w:rPr>
              <w:t>Complex Troubleshooting</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Some API requests to the same endpoint succeed while others fail</w:t>
      </w:r>
    </w:p>
    <w:p>
      <w:pPr>
        <w:spacing w:after="120"/>
      </w:pPr>
      <w:r>
        <w:rPr>
          <w:b w:val="0"/>
          <w:i w:val="0"/>
          <w:sz w:val="21"/>
        </w:rPr>
        <w:t>A customer's integration sees some API requests succeed while functionally similar requests to the same endpoint fail.</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Some API requests to the same endpoint succeed while others fail</w:t>
      </w:r>
    </w:p>
    <w:p>
      <w:pPr>
        <w:pStyle w:val="ListBullet"/>
        <w:spacing w:after="60"/>
      </w:pPr>
      <w:r>
        <w:rPr>
          <w:sz w:val="21"/>
        </w:rPr>
        <w:t>Two API logs side-by-side: identical endpoint, different payloads, different results</w:t>
      </w:r>
    </w:p>
    <w:p>
      <w:pPr>
        <w:pStyle w:val="ListBullet"/>
        <w:spacing w:after="60"/>
      </w:pPr>
      <w:r>
        <w:rPr>
          <w:sz w:val="21"/>
        </w:rPr>
        <w:t>Response comparison showing success (200) vs. failure (4xx/5xx) for similar calls</w:t>
      </w:r>
    </w:p>
    <w:p>
      <w:pPr>
        <w:pStyle w:val="ListBullet"/>
        <w:spacing w:after="60"/>
      </w:pPr>
      <w:r>
        <w:rPr>
          <w:sz w:val="21"/>
        </w:rPr>
        <w:t>Highlighted diff between a working and failing request payload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Some requests to an endpoint succeed while others of the same type fail.</w:t>
      </w:r>
    </w:p>
    <w:p>
      <w:pPr>
        <w:pStyle w:val="ListBullet"/>
        <w:spacing w:after="60"/>
      </w:pPr>
      <w:r>
        <w:rPr>
          <w:sz w:val="21"/>
        </w:rPr>
        <w:t>The failure isn't tied to a full outage, since most requests work.</w:t>
      </w:r>
    </w:p>
    <w:p>
      <w:pPr>
        <w:pStyle w:val="ListBullet"/>
        <w:spacing w:after="60"/>
      </w:pPr>
      <w:r>
        <w:rPr>
          <w:sz w:val="21"/>
        </w:rPr>
        <w:t>Failing requests may share a specific characteristic (payload size, field value, timing).</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A specific field value or payload structure in the failing requests triggers an edge case.</w:t>
      </w:r>
    </w:p>
    <w:p>
      <w:pPr>
        <w:pStyle w:val="ListBullet"/>
        <w:spacing w:after="60"/>
      </w:pPr>
      <w:r>
        <w:rPr>
          <w:sz w:val="21"/>
        </w:rPr>
        <w:t>Rate limiting is affecting only requests that exceed a threshold.</w:t>
      </w:r>
    </w:p>
    <w:p>
      <w:pPr>
        <w:pStyle w:val="ListBullet"/>
        <w:spacing w:after="60"/>
      </w:pPr>
      <w:r>
        <w:rPr>
          <w:sz w:val="21"/>
        </w:rPr>
        <w:t>The failing requests target a specific resource with a data-level issue.</w:t>
      </w:r>
    </w:p>
    <w:p>
      <w:pPr>
        <w:pStyle w:val="ListBullet"/>
        <w:spacing w:after="60"/>
      </w:pPr>
      <w:r>
        <w:rPr>
          <w:sz w:val="21"/>
        </w:rPr>
        <w:t>Timing-related race conditions affect only certain request sequences.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Collect several examples of both successful and failing requests.</w:t>
      </w:r>
    </w:p>
    <w:p>
      <w:pPr>
        <w:spacing w:after="60"/>
        <w:ind w:left="360"/>
      </w:pPr>
      <w:r>
        <w:rPr>
          <w:sz w:val="21"/>
        </w:rPr>
        <w:t>2. Diff the payloads to identify what's different about the failing ones.</w:t>
      </w:r>
    </w:p>
    <w:p>
      <w:pPr>
        <w:spacing w:after="60"/>
        <w:ind w:left="360"/>
      </w:pPr>
      <w:r>
        <w:rPr>
          <w:sz w:val="21"/>
        </w:rPr>
        <w:t>3. Check whether failing requests are hitting a specific resource ID or rate limit.</w:t>
      </w:r>
    </w:p>
    <w:p>
      <w:pPr>
        <w:spacing w:after="60"/>
        <w:ind w:left="360"/>
      </w:pPr>
      <w:r>
        <w:rPr>
          <w:sz w:val="21"/>
        </w:rPr>
        <w:t>4. Check timing/sequence: are failing requests submitted in rapid succession?</w:t>
      </w:r>
    </w:p>
    <w:p>
      <w:pPr>
        <w:spacing w:after="60"/>
        <w:ind w:left="360"/>
      </w:pPr>
      <w:r>
        <w:rPr>
          <w:sz w:val="21"/>
        </w:rPr>
        <w:t>5. Test the exact failing payload in isolation to confirm it reproduces the failure.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Once a specific differentiating factor is identified (a field value, a resource, a rate threshold), the fix is targeted; if no pattern emerges, escalate for deeper log analysis.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Fix the edge case in the differentiating factor (e.g., handle the specific field value correctly, adjust rate limit awareness), then confirm all request variants succeed.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no consistent pattern can be identified between successful and failing requests after payload comparison.</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API &amp; Integration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API-001 (API 401 Unauthorized)</w:t>
      </w:r>
    </w:p>
    <w:p>
      <w:pPr>
        <w:pStyle w:val="ListBullet"/>
        <w:spacing w:after="60"/>
      </w:pPr>
      <w:r>
        <w:rPr>
          <w:sz w:val="21"/>
        </w:rPr>
        <w:t>API-003 (API 500 Internal Server Error)</w:t>
      </w:r>
    </w:p>
    <w:p>
      <w:r>
        <w:br w:type="page"/>
      </w:r>
    </w:p>
    <w:p>
      <w:pPr>
        <w:spacing w:before="0" w:after="160"/>
      </w:pPr>
      <w:r>
        <w:rPr>
          <w:b/>
          <w:color w:val="1F3864"/>
          <w:sz w:val="34"/>
        </w:rPr>
        <w:t>COMP-003  |  Integration Stops After Credential Rotation</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COMP-003</w:t>
            </w:r>
          </w:p>
        </w:tc>
      </w:tr>
      <w:tr>
        <w:tc>
          <w:tcPr>
            <w:tcW w:type="dxa" w:w="4680"/>
            <w:shd w:val="clear" w:color="auto" w:fill="DCE6F1"/>
          </w:tcPr>
          <w:p>
            <w:r>
              <w:rPr>
                <w:b/>
                <w:color w:val="1F3864"/>
                <w:sz w:val="20"/>
              </w:rPr>
              <w:t>Category</w:t>
            </w:r>
          </w:p>
        </w:tc>
        <w:tc>
          <w:tcPr>
            <w:tcW w:type="dxa" w:w="4680"/>
          </w:tcPr>
          <w:p>
            <w:r>
              <w:rPr>
                <w:sz w:val="20"/>
              </w:rPr>
              <w:t>Complex Troubleshooting</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Integration fails immediately after an API credential was rotated</w:t>
      </w:r>
    </w:p>
    <w:p>
      <w:pPr>
        <w:spacing w:after="120"/>
      </w:pPr>
      <w:r>
        <w:rPr>
          <w:b w:val="0"/>
          <w:i w:val="0"/>
          <w:sz w:val="21"/>
        </w:rPr>
        <w:t>A customer's integration was working normally but stopped functioning immediately after they rotated (regenerated) their API credentials.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Integration fails immediately after an API credential was rotated</w:t>
      </w:r>
    </w:p>
    <w:p>
      <w:pPr>
        <w:pStyle w:val="ListBullet"/>
        <w:spacing w:after="60"/>
      </w:pPr>
      <w:r>
        <w:rPr>
          <w:sz w:val="21"/>
        </w:rPr>
        <w:t>Old vs. new API key/token screenshot from the customer's integration settings</w:t>
      </w:r>
    </w:p>
    <w:p>
      <w:pPr>
        <w:pStyle w:val="ListBullet"/>
        <w:spacing w:after="60"/>
      </w:pPr>
      <w:r>
        <w:rPr>
          <w:sz w:val="21"/>
        </w:rPr>
        <w:t>Error log showing authentication failures starting exactly at the rotation timestamp</w:t>
      </w:r>
    </w:p>
    <w:p>
      <w:pPr>
        <w:pStyle w:val="ListBullet"/>
        <w:spacing w:after="60"/>
      </w:pPr>
      <w:r>
        <w:rPr>
          <w:sz w:val="21"/>
        </w:rPr>
        <w:t>Integration status showing "Disconnected" right after the customer's credential update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Integration failure begins at the exact time credentials were rotated.</w:t>
      </w:r>
    </w:p>
    <w:p>
      <w:pPr>
        <w:pStyle w:val="ListBullet"/>
        <w:spacing w:after="60"/>
      </w:pPr>
      <w:r>
        <w:rPr>
          <w:sz w:val="21"/>
        </w:rPr>
        <w:t>The customer confirms they updated the credential recently.</w:t>
      </w:r>
    </w:p>
    <w:p>
      <w:pPr>
        <w:pStyle w:val="ListBullet"/>
        <w:spacing w:after="60"/>
      </w:pPr>
      <w:r>
        <w:rPr>
          <w:sz w:val="21"/>
        </w:rPr>
        <w:t>The integration was functioning normally immediately before the rotation.</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The new credential was not fully propagated to all parts of the customer's integration.</w:t>
      </w:r>
    </w:p>
    <w:p>
      <w:pPr>
        <w:pStyle w:val="ListBullet"/>
        <w:spacing w:after="60"/>
      </w:pPr>
      <w:r>
        <w:rPr>
          <w:sz w:val="21"/>
        </w:rPr>
        <w:t>The new credential has different scopes/permissions than the old one.</w:t>
      </w:r>
    </w:p>
    <w:p>
      <w:pPr>
        <w:pStyle w:val="ListBullet"/>
        <w:spacing w:after="60"/>
      </w:pPr>
      <w:r>
        <w:rPr>
          <w:sz w:val="21"/>
        </w:rPr>
        <w:t>The customer updated the credential in one place but missed a secondary configuration.</w:t>
      </w:r>
    </w:p>
    <w:p>
      <w:pPr>
        <w:pStyle w:val="ListBullet"/>
        <w:spacing w:after="60"/>
      </w:pPr>
      <w:r>
        <w:rPr>
          <w:sz w:val="21"/>
        </w:rPr>
        <w:t>A caching layer is still using the old, now-invalid credential.</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Confirm the exact timestamp of the credential rotation versus when failures began.</w:t>
      </w:r>
    </w:p>
    <w:p>
      <w:pPr>
        <w:spacing w:after="60"/>
        <w:ind w:left="360"/>
      </w:pPr>
      <w:r>
        <w:rPr>
          <w:sz w:val="21"/>
        </w:rPr>
        <w:t>2. Check whether the new credential has the same scopes as the old one.</w:t>
      </w:r>
    </w:p>
    <w:p>
      <w:pPr>
        <w:spacing w:after="60"/>
        <w:ind w:left="360"/>
      </w:pPr>
      <w:r>
        <w:rPr>
          <w:sz w:val="21"/>
        </w:rPr>
        <w:t>3. Ask the customer to confirm the new credential was updated in all relevant places.</w:t>
      </w:r>
    </w:p>
    <w:p>
      <w:pPr>
        <w:spacing w:after="60"/>
        <w:ind w:left="360"/>
      </w:pPr>
      <w:r>
        <w:rPr>
          <w:sz w:val="21"/>
        </w:rPr>
        <w:t>4. Check for any caching layer that might still hold the old credential.</w:t>
      </w:r>
    </w:p>
    <w:p>
      <w:pPr>
        <w:spacing w:after="60"/>
        <w:ind w:left="360"/>
      </w:pPr>
      <w:r>
        <w:rPr>
          <w:sz w:val="21"/>
        </w:rPr>
        <w:t>5. Test the new credential directly to confirm it is valid and correctly scoped.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If the new credential is valid and correctly scoped but the integration still fails, look for a caching or propagation delay rather than a customer configuration mistake.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Update the credential everywhere it's referenced, clear any stale cache, and confirm the integration resumes normal operation.</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the new credential is confirmed valid and fully propagated but the integration still fails.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API &amp; Integration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API-005 (Third-Party Integration Failure)</w:t>
      </w:r>
    </w:p>
    <w:p>
      <w:pPr>
        <w:pStyle w:val="ListBullet"/>
        <w:spacing w:after="60"/>
      </w:pPr>
      <w:r>
        <w:rPr>
          <w:sz w:val="21"/>
        </w:rPr>
        <w:t>API-001 (API 401 Unauthorized)</w:t>
      </w:r>
    </w:p>
    <w:p>
      <w:r>
        <w:br w:type="page"/>
      </w:r>
    </w:p>
    <w:p>
      <w:pPr>
        <w:spacing w:before="0" w:after="160"/>
      </w:pPr>
      <w:r>
        <w:rPr>
          <w:b/>
          <w:color w:val="1F3864"/>
          <w:sz w:val="34"/>
        </w:rPr>
        <w:t>COMP-004  |  Data Synchronization Partially Fails</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COMP-004</w:t>
            </w:r>
          </w:p>
        </w:tc>
      </w:tr>
      <w:tr>
        <w:tc>
          <w:tcPr>
            <w:tcW w:type="dxa" w:w="4680"/>
            <w:shd w:val="clear" w:color="auto" w:fill="DCE6F1"/>
          </w:tcPr>
          <w:p>
            <w:r>
              <w:rPr>
                <w:b/>
                <w:color w:val="1F3864"/>
                <w:sz w:val="20"/>
              </w:rPr>
              <w:t>Category</w:t>
            </w:r>
          </w:p>
        </w:tc>
        <w:tc>
          <w:tcPr>
            <w:tcW w:type="dxa" w:w="4680"/>
          </w:tcPr>
          <w:p>
            <w:r>
              <w:rPr>
                <w:sz w:val="20"/>
              </w:rPr>
              <w:t>Complex Troubleshooting</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Sync job reports "completed" but record counts don't match between systems</w:t>
      </w:r>
    </w:p>
    <w:p>
      <w:pPr>
        <w:spacing w:after="120"/>
      </w:pPr>
      <w:r>
        <w:rPr>
          <w:b w:val="0"/>
          <w:i w:val="0"/>
          <w:sz w:val="21"/>
        </w:rPr>
        <w:t>A sync process between two systems completes, but only part of the expected data is transferred, with some records silently missing.</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Sync job reports "completed" but record counts don't match between systems</w:t>
      </w:r>
    </w:p>
    <w:p>
      <w:pPr>
        <w:pStyle w:val="ListBullet"/>
        <w:spacing w:after="60"/>
      </w:pPr>
      <w:r>
        <w:rPr>
          <w:sz w:val="21"/>
        </w:rPr>
        <w:t>Sync summary showing 'X of Y records synced' with a gap</w:t>
      </w:r>
    </w:p>
    <w:p>
      <w:pPr>
        <w:pStyle w:val="ListBullet"/>
        <w:spacing w:after="60"/>
      </w:pPr>
      <w:r>
        <w:rPr>
          <w:sz w:val="21"/>
        </w:rPr>
        <w:t>Side-by-side record count comparison between source and destination systems</w:t>
      </w:r>
    </w:p>
    <w:p>
      <w:pPr>
        <w:pStyle w:val="ListBullet"/>
        <w:spacing w:after="60"/>
      </w:pPr>
      <w:r>
        <w:rPr>
          <w:sz w:val="21"/>
        </w:rPr>
        <w:t>Sync log showing specific failed record entries rather than a total failure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The sync job reports as 'completed' but record counts don't match between systems.</w:t>
      </w:r>
    </w:p>
    <w:p>
      <w:pPr>
        <w:pStyle w:val="ListBullet"/>
        <w:spacing w:after="60"/>
      </w:pPr>
      <w:r>
        <w:rPr>
          <w:sz w:val="21"/>
        </w:rPr>
        <w:t>Some records transfer correctly while others are silently skipped.</w:t>
      </w:r>
    </w:p>
    <w:p>
      <w:pPr>
        <w:pStyle w:val="ListBullet"/>
        <w:spacing w:after="60"/>
      </w:pPr>
      <w:r>
        <w:rPr>
          <w:sz w:val="21"/>
        </w:rPr>
        <w:t>No obvious error is shown since the job technically 'succeeded'.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Specific records fail validation and are silently skipped rather than erroring out.</w:t>
      </w:r>
    </w:p>
    <w:p>
      <w:pPr>
        <w:pStyle w:val="ListBullet"/>
        <w:spacing w:after="60"/>
      </w:pPr>
      <w:r>
        <w:rPr>
          <w:sz w:val="21"/>
        </w:rPr>
        <w:t>A pagination or batching bug causes some pages of records to be missed.</w:t>
      </w:r>
    </w:p>
    <w:p>
      <w:pPr>
        <w:pStyle w:val="ListBullet"/>
        <w:spacing w:after="60"/>
      </w:pPr>
      <w:r>
        <w:rPr>
          <w:sz w:val="21"/>
        </w:rPr>
        <w:t>Certain records contain data that doesn't map cleanly between the two systems' schemas.</w:t>
      </w:r>
    </w:p>
    <w:p>
      <w:pPr>
        <w:pStyle w:val="ListBullet"/>
        <w:spacing w:after="60"/>
      </w:pPr>
      <w:r>
        <w:rPr>
          <w:sz w:val="21"/>
        </w:rPr>
        <w:t>A rate limit is causing some records to be dropped mid-sync without retry.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Compare total record counts between source and destination systems.</w:t>
      </w:r>
    </w:p>
    <w:p>
      <w:pPr>
        <w:spacing w:after="60"/>
        <w:ind w:left="360"/>
      </w:pPr>
      <w:r>
        <w:rPr>
          <w:sz w:val="21"/>
        </w:rPr>
        <w:t>2. Check the sync log specifically for skipped or silently failed record entries.</w:t>
      </w:r>
    </w:p>
    <w:p>
      <w:pPr>
        <w:spacing w:after="60"/>
        <w:ind w:left="360"/>
      </w:pPr>
      <w:r>
        <w:rPr>
          <w:sz w:val="21"/>
        </w:rPr>
        <w:t>3. Identify what's different about the missing records versus the successfully synced ones.</w:t>
      </w:r>
    </w:p>
    <w:p>
      <w:pPr>
        <w:spacing w:after="60"/>
        <w:ind w:left="360"/>
      </w:pPr>
      <w:r>
        <w:rPr>
          <w:sz w:val="21"/>
        </w:rPr>
        <w:t>4. Check for pagination/batching logic that could be dropping certain pages.</w:t>
      </w:r>
    </w:p>
    <w:p>
      <w:pPr>
        <w:spacing w:after="60"/>
        <w:ind w:left="360"/>
      </w:pPr>
      <w:r>
        <w:rPr>
          <w:sz w:val="21"/>
        </w:rPr>
        <w:t>5. Manually re-sync just the missing records as a targeted test.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A 'completed' status with a count mismatch is a bigger red flag than an outright failure — it means the sync process needs stronger validation and error reporting, not just a retry.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Fix the specific mapping, batching, or validation issue causing records to be silently dropped, then confirm a full sync produces matching record counts.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whenever a sync reports success but record counts don't match, since this indicates a silent data-integrity risk.</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Application Support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DATA-001 (Data Synchronization Failure)</w:t>
      </w:r>
    </w:p>
    <w:p>
      <w:pPr>
        <w:pStyle w:val="ListBullet"/>
        <w:spacing w:after="60"/>
      </w:pPr>
      <w:r>
        <w:rPr>
          <w:sz w:val="21"/>
        </w:rPr>
        <w:t>DATA-005 (Missing Records)</w:t>
      </w:r>
    </w:p>
    <w:p>
      <w:r>
        <w:br w:type="page"/>
      </w:r>
    </w:p>
    <w:p>
      <w:pPr>
        <w:spacing w:before="0" w:after="160"/>
      </w:pPr>
      <w:r>
        <w:rPr>
          <w:b/>
          <w:color w:val="1F3864"/>
          <w:sz w:val="34"/>
        </w:rPr>
        <w:t>COMP-005  |  Dashboard Fails for Multiple Users</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COMP-005</w:t>
            </w:r>
          </w:p>
        </w:tc>
      </w:tr>
      <w:tr>
        <w:tc>
          <w:tcPr>
            <w:tcW w:type="dxa" w:w="4680"/>
            <w:shd w:val="clear" w:color="auto" w:fill="DCE6F1"/>
          </w:tcPr>
          <w:p>
            <w:r>
              <w:rPr>
                <w:b/>
                <w:color w:val="1F3864"/>
                <w:sz w:val="20"/>
              </w:rPr>
              <w:t>Category</w:t>
            </w:r>
          </w:p>
        </w:tc>
        <w:tc>
          <w:tcPr>
            <w:tcW w:type="dxa" w:w="4680"/>
          </w:tcPr>
          <w:p>
            <w:r>
              <w:rPr>
                <w:sz w:val="20"/>
              </w:rPr>
              <w:t>Complex Troubleshooting</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Multiple unrelated customers report dashboard failures at the same time</w:t>
      </w:r>
    </w:p>
    <w:p>
      <w:pPr>
        <w:spacing w:after="120"/>
      </w:pPr>
      <w:r>
        <w:rPr>
          <w:b w:val="0"/>
          <w:i w:val="0"/>
          <w:sz w:val="21"/>
        </w:rPr>
        <w:t>Multiple customers, not just one, report their dashboards failing to load or displaying errors around the same time.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Multiple unrelated customers report dashboard failures at the same time</w:t>
      </w:r>
    </w:p>
    <w:p>
      <w:pPr>
        <w:pStyle w:val="ListBullet"/>
        <w:spacing w:after="60"/>
      </w:pPr>
      <w:r>
        <w:rPr>
          <w:sz w:val="21"/>
        </w:rPr>
        <w:t>Multiple customers' screenshots showing the same or similar dashboard error</w:t>
      </w:r>
    </w:p>
    <w:p>
      <w:pPr>
        <w:pStyle w:val="ListBullet"/>
        <w:spacing w:after="60"/>
      </w:pPr>
      <w:r>
        <w:rPr>
          <w:sz w:val="21"/>
        </w:rPr>
        <w:t>Service health monitoring dashboard showing degraded status for a dashboard-related service</w:t>
      </w:r>
    </w:p>
    <w:p>
      <w:pPr>
        <w:pStyle w:val="ListBullet"/>
        <w:spacing w:after="60"/>
      </w:pPr>
      <w:r>
        <w:rPr>
          <w:sz w:val="21"/>
        </w:rPr>
        <w:t>Support queue showing a cluster of similar tickets arriving in a short window</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Several unrelated customers report the same dashboard issue in a short time window.</w:t>
      </w:r>
    </w:p>
    <w:p>
      <w:pPr>
        <w:pStyle w:val="ListBullet"/>
        <w:spacing w:after="60"/>
      </w:pPr>
      <w:r>
        <w:rPr>
          <w:sz w:val="21"/>
        </w:rPr>
        <w:t>The issue is not isolated to one account's data or configuration.</w:t>
      </w:r>
    </w:p>
    <w:p>
      <w:pPr>
        <w:pStyle w:val="ListBullet"/>
        <w:spacing w:after="60"/>
      </w:pPr>
      <w:r>
        <w:rPr>
          <w:sz w:val="21"/>
        </w:rPr>
        <w:t>May correlate with a recent deployment or infrastructure event.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A backend service that powers dashboards for all customers is degraded.</w:t>
      </w:r>
    </w:p>
    <w:p>
      <w:pPr>
        <w:pStyle w:val="ListBullet"/>
        <w:spacing w:after="60"/>
      </w:pPr>
      <w:r>
        <w:rPr>
          <w:sz w:val="21"/>
        </w:rPr>
        <w:t>A recent deployment introduced a regression affecting a shared component.</w:t>
      </w:r>
    </w:p>
    <w:p>
      <w:pPr>
        <w:pStyle w:val="ListBullet"/>
        <w:spacing w:after="60"/>
      </w:pPr>
      <w:r>
        <w:rPr>
          <w:sz w:val="21"/>
        </w:rPr>
        <w:t>A shared dependency (database, cache layer) is experiencing issues.</w:t>
      </w:r>
    </w:p>
    <w:p>
      <w:pPr>
        <w:pStyle w:val="ListBullet"/>
        <w:spacing w:after="60"/>
      </w:pPr>
      <w:r>
        <w:rPr>
          <w:sz w:val="21"/>
        </w:rPr>
        <w:t>Increased load is causing dashboard queries to time out broadly.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Confirm whether this is affecting multiple customers simultaneously (check support queue volume).</w:t>
      </w:r>
    </w:p>
    <w:p>
      <w:pPr>
        <w:spacing w:after="60"/>
        <w:ind w:left="360"/>
      </w:pPr>
      <w:r>
        <w:rPr>
          <w:sz w:val="21"/>
        </w:rPr>
        <w:t>2. Check the health/status of shared backend services powering dashboards.</w:t>
      </w:r>
    </w:p>
    <w:p>
      <w:pPr>
        <w:spacing w:after="60"/>
        <w:ind w:left="360"/>
      </w:pPr>
      <w:r>
        <w:rPr>
          <w:sz w:val="21"/>
        </w:rPr>
        <w:t>3. Check whether a deployment occurred shortly before reports began.</w:t>
      </w:r>
    </w:p>
    <w:p>
      <w:pPr>
        <w:spacing w:after="60"/>
        <w:ind w:left="360"/>
      </w:pPr>
      <w:r>
        <w:rPr>
          <w:sz w:val="21"/>
        </w:rPr>
        <w:t>4. Check infrastructure metrics (load, database performance) for signs of strain.</w:t>
      </w:r>
    </w:p>
    <w:p>
      <w:pPr>
        <w:spacing w:after="60"/>
        <w:ind w:left="360"/>
      </w:pPr>
      <w:r>
        <w:rPr>
          <w:sz w:val="21"/>
        </w:rPr>
        <w:t>5. Communicate a known-issue status internally so other tickets can reference it.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Multiple simultaneous reports of the same symptom is itself the signal to treat this as an incident, not a series of individual tickets — escalate immediately rather than troubleshooting each ticket independently.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Resolve the underlying shared service, deployment regression, or infrastructure strain, then confirm dashboards recover for all affected customers.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immediately as a potential incident whenever multiple customers report the same dashboard symptom in a short window.</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Infrastructure / Engineering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APP-001 (Dashboard Error)</w:t>
      </w:r>
    </w:p>
    <w:p>
      <w:pPr>
        <w:pStyle w:val="ListBullet"/>
        <w:spacing w:after="60"/>
      </w:pPr>
      <w:r>
        <w:rPr>
          <w:sz w:val="21"/>
        </w:rPr>
        <w:t>COMP-006 (Application Becomes Slow for Multiple Users)</w:t>
      </w:r>
    </w:p>
    <w:p>
      <w:r>
        <w:br w:type="page"/>
      </w:r>
    </w:p>
    <w:p>
      <w:pPr>
        <w:spacing w:before="0" w:after="160"/>
      </w:pPr>
      <w:r>
        <w:rPr>
          <w:b/>
          <w:color w:val="1F3864"/>
          <w:sz w:val="34"/>
        </w:rPr>
        <w:t>COMP-006  |  Application Becomes Slow for Multiple Users</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COMP-006</w:t>
            </w:r>
          </w:p>
        </w:tc>
      </w:tr>
      <w:tr>
        <w:tc>
          <w:tcPr>
            <w:tcW w:type="dxa" w:w="4680"/>
            <w:shd w:val="clear" w:color="auto" w:fill="DCE6F1"/>
          </w:tcPr>
          <w:p>
            <w:r>
              <w:rPr>
                <w:b/>
                <w:color w:val="1F3864"/>
                <w:sz w:val="20"/>
              </w:rPr>
              <w:t>Category</w:t>
            </w:r>
          </w:p>
        </w:tc>
        <w:tc>
          <w:tcPr>
            <w:tcW w:type="dxa" w:w="4680"/>
          </w:tcPr>
          <w:p>
            <w:r>
              <w:rPr>
                <w:sz w:val="20"/>
              </w:rPr>
              <w:t>Complex Troubleshooting</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Multiple unrelated customers report general application slowness at the same time</w:t>
      </w:r>
    </w:p>
    <w:p>
      <w:pPr>
        <w:spacing w:after="120"/>
      </w:pPr>
      <w:r>
        <w:rPr>
          <w:b w:val="0"/>
          <w:i w:val="0"/>
          <w:sz w:val="21"/>
        </w:rPr>
        <w:t>Multiple customers report the application becoming noticeably slower than usual across various features, not tied to a single page or action.</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Multiple unrelated customers report general application slowness at the same time</w:t>
      </w:r>
    </w:p>
    <w:p>
      <w:pPr>
        <w:pStyle w:val="ListBullet"/>
        <w:spacing w:after="60"/>
      </w:pPr>
      <w:r>
        <w:rPr>
          <w:sz w:val="21"/>
        </w:rPr>
        <w:t>Multiple customers' screen recordings showing long load times across different pages</w:t>
      </w:r>
    </w:p>
    <w:p>
      <w:pPr>
        <w:pStyle w:val="ListBullet"/>
        <w:spacing w:after="60"/>
      </w:pPr>
      <w:r>
        <w:rPr>
          <w:sz w:val="21"/>
        </w:rPr>
        <w:t>Infrastructure monitoring graph showing elevated response times or resource usage</w:t>
      </w:r>
    </w:p>
    <w:p>
      <w:pPr>
        <w:pStyle w:val="ListBullet"/>
        <w:spacing w:after="60"/>
      </w:pPr>
      <w:r>
        <w:rPr>
          <w:sz w:val="21"/>
        </w:rPr>
        <w:t>Support queue showing a spike in 'slow' complaints across accounts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Several customers report general slowness rather than one specific error.</w:t>
      </w:r>
    </w:p>
    <w:p>
      <w:pPr>
        <w:pStyle w:val="ListBullet"/>
        <w:spacing w:after="60"/>
      </w:pPr>
      <w:r>
        <w:rPr>
          <w:sz w:val="21"/>
        </w:rPr>
        <w:t>Slowness may affect multiple unrelated features simultaneously.</w:t>
      </w:r>
    </w:p>
    <w:p>
      <w:pPr>
        <w:pStyle w:val="ListBullet"/>
        <w:spacing w:after="60"/>
      </w:pPr>
      <w:r>
        <w:rPr>
          <w:sz w:val="21"/>
        </w:rPr>
        <w:t>Often correlates with a specific time window or usage spike.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Increased overall traffic/load is straining shared infrastructure.</w:t>
      </w:r>
    </w:p>
    <w:p>
      <w:pPr>
        <w:pStyle w:val="ListBullet"/>
        <w:spacing w:after="60"/>
      </w:pPr>
      <w:r>
        <w:rPr>
          <w:sz w:val="21"/>
        </w:rPr>
        <w:t>A specific slow database query is affecting shared resources for all customers.</w:t>
      </w:r>
    </w:p>
    <w:p>
      <w:pPr>
        <w:pStyle w:val="ListBullet"/>
        <w:spacing w:after="60"/>
      </w:pPr>
      <w:r>
        <w:rPr>
          <w:sz w:val="21"/>
        </w:rPr>
        <w:t>A recent deployment introduced a performance regression.</w:t>
      </w:r>
    </w:p>
    <w:p>
      <w:pPr>
        <w:pStyle w:val="ListBullet"/>
        <w:spacing w:after="60"/>
      </w:pPr>
      <w:r>
        <w:rPr>
          <w:sz w:val="21"/>
        </w:rPr>
        <w:t>A shared dependency (cache, queue, third-party service) is degraded, causing cascading slowness.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Confirm whether slowness is broad (multiple features/customers) or narrow (one feature/customer).</w:t>
      </w:r>
    </w:p>
    <w:p>
      <w:pPr>
        <w:spacing w:after="60"/>
        <w:ind w:left="360"/>
      </w:pPr>
      <w:r>
        <w:rPr>
          <w:sz w:val="21"/>
        </w:rPr>
        <w:t>2. Check infrastructure metrics for elevated load, CPU, or database response time.</w:t>
      </w:r>
    </w:p>
    <w:p>
      <w:pPr>
        <w:spacing w:after="60"/>
        <w:ind w:left="360"/>
      </w:pPr>
      <w:r>
        <w:rPr>
          <w:sz w:val="21"/>
        </w:rPr>
        <w:t>3. Check whether a deployment occurred around when slowness began.</w:t>
      </w:r>
    </w:p>
    <w:p>
      <w:pPr>
        <w:spacing w:after="60"/>
        <w:ind w:left="360"/>
      </w:pPr>
      <w:r>
        <w:rPr>
          <w:sz w:val="21"/>
        </w:rPr>
        <w:t>4. Identify any specific slow database query or shared dependency causing strain.</w:t>
      </w:r>
    </w:p>
    <w:p>
      <w:pPr>
        <w:spacing w:after="60"/>
        <w:ind w:left="360"/>
      </w:pPr>
      <w:r>
        <w:rPr>
          <w:sz w:val="21"/>
        </w:rPr>
        <w:t>5. Communicate a known-issue status internally while root cause is investigated.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Broad, multi-customer slowness is an infrastructure/performance incident, not something resolvable through individual account troubleshooting — treat as an incident immediately.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Resolve the underlying infrastructure strain, slow query, or deployment regression, then confirm response times return to normal for affected customers.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immediately as a potential incident whenever slowness is reported by multiple unrelated customers.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Infrastructure / Engineering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API-004 (API Timeout)</w:t>
      </w:r>
    </w:p>
    <w:p>
      <w:pPr>
        <w:pStyle w:val="ListBullet"/>
        <w:spacing w:after="60"/>
      </w:pPr>
      <w:r>
        <w:rPr>
          <w:sz w:val="21"/>
        </w:rPr>
        <w:t>COMP-005 (Dashboard Fails for Multiple Users)</w:t>
      </w:r>
    </w:p>
    <w:p>
      <w:r>
        <w:br w:type="page"/>
      </w:r>
    </w:p>
    <w:p>
      <w:pPr>
        <w:spacing w:before="0" w:after="160"/>
      </w:pPr>
      <w:r>
        <w:rPr>
          <w:b/>
          <w:color w:val="1F3864"/>
          <w:sz w:val="34"/>
        </w:rPr>
        <w:t>COMP-007  |  SSO Works for Some Users but Not Others</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COMP-007</w:t>
            </w:r>
          </w:p>
        </w:tc>
      </w:tr>
      <w:tr>
        <w:tc>
          <w:tcPr>
            <w:tcW w:type="dxa" w:w="4680"/>
            <w:shd w:val="clear" w:color="auto" w:fill="DCE6F1"/>
          </w:tcPr>
          <w:p>
            <w:r>
              <w:rPr>
                <w:b/>
                <w:color w:val="1F3864"/>
                <w:sz w:val="20"/>
              </w:rPr>
              <w:t>Category</w:t>
            </w:r>
          </w:p>
        </w:tc>
        <w:tc>
          <w:tcPr>
            <w:tcW w:type="dxa" w:w="4680"/>
          </w:tcPr>
          <w:p>
            <w:r>
              <w:rPr>
                <w:sz w:val="20"/>
              </w:rPr>
              <w:t>Complex Troubleshooting</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SSO login succeeds for some users in an org but fails for others</w:t>
      </w:r>
    </w:p>
    <w:p>
      <w:pPr>
        <w:spacing w:after="120"/>
      </w:pPr>
      <w:r>
        <w:rPr>
          <w:b w:val="0"/>
          <w:i w:val="0"/>
          <w:sz w:val="21"/>
        </w:rPr>
        <w:t>Within a single organization using Single Sign-On, some users can authenticate successfully while others cannot, despite using the same SSO configuration.</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SSO login succeeds for some users in an org but fails for others</w:t>
      </w:r>
    </w:p>
    <w:p>
      <w:pPr>
        <w:pStyle w:val="ListBullet"/>
        <w:spacing w:after="60"/>
      </w:pPr>
      <w:r>
        <w:rPr>
          <w:sz w:val="21"/>
        </w:rPr>
        <w:t>Two users' SSO login attempts side-by-side: one succeeding, one failing</w:t>
      </w:r>
    </w:p>
    <w:p>
      <w:pPr>
        <w:pStyle w:val="ListBullet"/>
        <w:spacing w:after="60"/>
      </w:pPr>
      <w:r>
        <w:rPr>
          <w:sz w:val="21"/>
        </w:rPr>
        <w:t>Identity provider user-provisioning screen showing a difference between the two users</w:t>
      </w:r>
    </w:p>
    <w:p>
      <w:pPr>
        <w:pStyle w:val="ListBullet"/>
        <w:spacing w:after="60"/>
      </w:pPr>
      <w:r>
        <w:rPr>
          <w:sz w:val="21"/>
        </w:rPr>
        <w:t>SSO error code specific to the failing user only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Some users in the organization log in via SSO successfully.</w:t>
      </w:r>
    </w:p>
    <w:p>
      <w:pPr>
        <w:pStyle w:val="ListBullet"/>
        <w:spacing w:after="60"/>
      </w:pPr>
      <w:r>
        <w:rPr>
          <w:sz w:val="21"/>
        </w:rPr>
        <w:t>Other users in the same organization fail to authenticate via the same SSO setup.</w:t>
      </w:r>
    </w:p>
    <w:p>
      <w:pPr>
        <w:pStyle w:val="ListBullet"/>
        <w:spacing w:after="60"/>
      </w:pPr>
      <w:r>
        <w:rPr>
          <w:sz w:val="21"/>
        </w:rPr>
        <w:t>The SSO configuration itself is confirmed active and working for at least some users.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The failing users are not correctly provisioned in the identity provider.</w:t>
      </w:r>
    </w:p>
    <w:p>
      <w:pPr>
        <w:pStyle w:val="ListBullet"/>
        <w:spacing w:after="60"/>
      </w:pPr>
      <w:r>
        <w:rPr>
          <w:sz w:val="21"/>
        </w:rPr>
        <w:t>The failing users' email addresses don't match between the IdP and the platform.</w:t>
      </w:r>
    </w:p>
    <w:p>
      <w:pPr>
        <w:pStyle w:val="ListBullet"/>
        <w:spacing w:after="60"/>
      </w:pPr>
      <w:r>
        <w:rPr>
          <w:sz w:val="21"/>
        </w:rPr>
        <w:t>A group/role assignment in the IdP excludes the failing users from SSO access.</w:t>
      </w:r>
    </w:p>
    <w:p>
      <w:pPr>
        <w:pStyle w:val="ListBullet"/>
        <w:spacing w:after="60"/>
      </w:pPr>
      <w:r>
        <w:rPr>
          <w:sz w:val="21"/>
        </w:rPr>
        <w:t>The failing users have a stale or conflicting local account preventing SSO linkage.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Confirm which specific users are failing versus succeeding.</w:t>
      </w:r>
    </w:p>
    <w:p>
      <w:pPr>
        <w:spacing w:after="60"/>
        <w:ind w:left="360"/>
      </w:pPr>
      <w:r>
        <w:rPr>
          <w:sz w:val="21"/>
        </w:rPr>
        <w:t>2. Check the failing users' provisioning status and group assignment in the IdP.</w:t>
      </w:r>
    </w:p>
    <w:p>
      <w:pPr>
        <w:spacing w:after="60"/>
        <w:ind w:left="360"/>
      </w:pPr>
      <w:r>
        <w:rPr>
          <w:sz w:val="21"/>
        </w:rPr>
        <w:t>3. Compare the failing users' email address in the IdP against their platform account.</w:t>
      </w:r>
    </w:p>
    <w:p>
      <w:pPr>
        <w:spacing w:after="60"/>
        <w:ind w:left="360"/>
      </w:pPr>
      <w:r>
        <w:rPr>
          <w:sz w:val="21"/>
        </w:rPr>
        <w:t>4. Check for a pre-existing local account that might conflict with SSO linkage for the failing users.</w:t>
      </w:r>
    </w:p>
    <w:p>
      <w:pPr>
        <w:spacing w:after="60"/>
        <w:ind w:left="360"/>
      </w:pPr>
      <w:r>
        <w:rPr>
          <w:sz w:val="21"/>
        </w:rPr>
        <w:t>5. Correct provisioning/email mismatch and retest login for the failing users.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Since the SSO configuration itself clearly works (other users succeed), focus entirely on the failing users' individual provisioning rather than the SSO setup.</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Correct the failing users' provisioning, group assignment, or email mismatch in the IdP, then confirm they can log in successfully.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provisioning and email matching are confirmed correct for the failing users but SSO login still fails.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Identity &amp; Access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AUTH-005 (SSO Authentication Failure)</w:t>
      </w:r>
    </w:p>
    <w:p>
      <w:pPr>
        <w:pStyle w:val="ListBullet"/>
        <w:spacing w:after="60"/>
      </w:pPr>
      <w:r>
        <w:rPr>
          <w:sz w:val="21"/>
        </w:rPr>
        <w:t>COMP-001 (Feature Works for One User but Not Another)</w:t>
      </w:r>
    </w:p>
    <w:p>
      <w:r>
        <w:br w:type="page"/>
      </w:r>
    </w:p>
    <w:p>
      <w:pPr>
        <w:spacing w:before="0" w:after="160"/>
      </w:pPr>
      <w:r>
        <w:rPr>
          <w:b/>
          <w:color w:val="1F3864"/>
          <w:sz w:val="34"/>
        </w:rPr>
        <w:t>COMP-008  |  Webhook Received but Business Action Does Not Occur</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COMP-008</w:t>
            </w:r>
          </w:p>
        </w:tc>
      </w:tr>
      <w:tr>
        <w:tc>
          <w:tcPr>
            <w:tcW w:type="dxa" w:w="4680"/>
            <w:shd w:val="clear" w:color="auto" w:fill="DCE6F1"/>
          </w:tcPr>
          <w:p>
            <w:r>
              <w:rPr>
                <w:b/>
                <w:color w:val="1F3864"/>
                <w:sz w:val="20"/>
              </w:rPr>
              <w:t>Category</w:t>
            </w:r>
          </w:p>
        </w:tc>
        <w:tc>
          <w:tcPr>
            <w:tcW w:type="dxa" w:w="4680"/>
          </w:tcPr>
          <w:p>
            <w:r>
              <w:rPr>
                <w:sz w:val="20"/>
              </w:rPr>
              <w:t>Complex Troubleshooting</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Webhook delivery log shows "200 OK" received but no resulting action occurred</w:t>
      </w:r>
    </w:p>
    <w:p>
      <w:pPr>
        <w:spacing w:after="120"/>
      </w:pPr>
      <w:r>
        <w:rPr>
          <w:b w:val="0"/>
          <w:i w:val="0"/>
          <w:sz w:val="21"/>
        </w:rPr>
        <w:t>A webhook event is confirmed to have been received by the platform, but the expected downstream action (e.g., updating a record, sending a notification) never happens.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Webhook delivery log shows "200 OK" received but no resulting action occurred</w:t>
      </w:r>
    </w:p>
    <w:p>
      <w:pPr>
        <w:pStyle w:val="ListBullet"/>
        <w:spacing w:after="60"/>
      </w:pPr>
      <w:r>
        <w:rPr>
          <w:sz w:val="21"/>
        </w:rPr>
        <w:t>Webhook delivery log showing 'Received: 200 OK' but no corresponding action in the activity log</w:t>
      </w:r>
    </w:p>
    <w:p>
      <w:pPr>
        <w:pStyle w:val="ListBullet"/>
        <w:spacing w:after="60"/>
      </w:pPr>
      <w:r>
        <w:rPr>
          <w:sz w:val="21"/>
        </w:rPr>
        <w:t>Timeline comparison: webhook timestamp vs. missing action timestamp</w:t>
      </w:r>
    </w:p>
    <w:p>
      <w:pPr>
        <w:pStyle w:val="ListBullet"/>
        <w:spacing w:after="60"/>
      </w:pPr>
      <w:r>
        <w:rPr>
          <w:sz w:val="21"/>
        </w:rPr>
        <w:t>Processing queue screenshot showing the webhook event stuck or dropped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The webhook delivery log confirms the event was received successfully.</w:t>
      </w:r>
    </w:p>
    <w:p>
      <w:pPr>
        <w:pStyle w:val="ListBullet"/>
        <w:spacing w:after="60"/>
      </w:pPr>
      <w:r>
        <w:rPr>
          <w:sz w:val="21"/>
        </w:rPr>
        <w:t>The expected downstream business action (update, notification, record change) never occurs.</w:t>
      </w:r>
    </w:p>
    <w:p>
      <w:pPr>
        <w:pStyle w:val="ListBullet"/>
        <w:spacing w:after="60"/>
      </w:pPr>
      <w:r>
        <w:rPr>
          <w:sz w:val="21"/>
        </w:rPr>
        <w:t>No error is shown since the webhook receipt itself succeeded.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The webhook payload is received but fails silently during internal processing.</w:t>
      </w:r>
    </w:p>
    <w:p>
      <w:pPr>
        <w:pStyle w:val="ListBullet"/>
        <w:spacing w:after="60"/>
      </w:pPr>
      <w:r>
        <w:rPr>
          <w:sz w:val="21"/>
        </w:rPr>
        <w:t>A specific field in the payload doesn't match what the processing logic expects.</w:t>
      </w:r>
    </w:p>
    <w:p>
      <w:pPr>
        <w:pStyle w:val="ListBullet"/>
        <w:spacing w:after="60"/>
      </w:pPr>
      <w:r>
        <w:rPr>
          <w:sz w:val="21"/>
        </w:rPr>
        <w:t>The event is queued for processing but the processing worker is stuck or backlogged.</w:t>
      </w:r>
    </w:p>
    <w:p>
      <w:pPr>
        <w:pStyle w:val="ListBullet"/>
        <w:spacing w:after="60"/>
      </w:pPr>
      <w:r>
        <w:rPr>
          <w:sz w:val="21"/>
        </w:rPr>
        <w:t>A duplicate-event guard is incorrectly treating this as an already-processed event.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Confirm the webhook was received successfully (200 response) in the delivery log.</w:t>
      </w:r>
    </w:p>
    <w:p>
      <w:pPr>
        <w:spacing w:after="60"/>
        <w:ind w:left="360"/>
      </w:pPr>
      <w:r>
        <w:rPr>
          <w:sz w:val="21"/>
        </w:rPr>
        <w:t>2. Check the internal processing queue/log for what happened to the event after receipt.</w:t>
      </w:r>
    </w:p>
    <w:p>
      <w:pPr>
        <w:spacing w:after="60"/>
        <w:ind w:left="360"/>
      </w:pPr>
      <w:r>
        <w:rPr>
          <w:sz w:val="21"/>
        </w:rPr>
        <w:t>3. Compare the received payload structure against what the processing logic expects.</w:t>
      </w:r>
    </w:p>
    <w:p>
      <w:pPr>
        <w:spacing w:after="60"/>
        <w:ind w:left="360"/>
      </w:pPr>
      <w:r>
        <w:rPr>
          <w:sz w:val="21"/>
        </w:rPr>
        <w:t>4. Check for a duplicate-event guard that might be incorrectly suppressing this event.</w:t>
      </w:r>
    </w:p>
    <w:p>
      <w:pPr>
        <w:spacing w:after="60"/>
        <w:ind w:left="360"/>
      </w:pPr>
      <w:r>
        <w:rPr>
          <w:sz w:val="21"/>
        </w:rPr>
        <w:t>5. Manually reprocess the specific webhook event as a test.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A successfully received but silently unprocessed webhook is a processing-logic gap, not a delivery problem — do not focus troubleshooting on the webhook connection itself.</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Fix the payload-matching or duplicate-detection logic causing the silent failure, then confirm the business action completes for a fresh test event.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whenever a webhook is confirmed received but consistently produces no downstream action, since this requires an engineering-level processing fix.</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API &amp; Integration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BILL-002 (Payment Successful but Access Not Updated)</w:t>
      </w:r>
    </w:p>
    <w:p>
      <w:pPr>
        <w:pStyle w:val="ListBullet"/>
        <w:spacing w:after="60"/>
      </w:pPr>
      <w:r>
        <w:rPr>
          <w:sz w:val="21"/>
        </w:rPr>
        <w:t>WORK-001 (Workflow or Automation Not Triggering)</w:t>
      </w:r>
    </w:p>
    <w:p>
      <w:r>
        <w:br w:type="page"/>
      </w:r>
    </w:p>
    <w:p>
      <w:pPr>
        <w:spacing w:before="0" w:after="160"/>
      </w:pPr>
      <w:r>
        <w:rPr>
          <w:b/>
          <w:color w:val="1F3864"/>
          <w:sz w:val="34"/>
        </w:rPr>
        <w:t>COMP-009  |  Integration Works in Test but Fails in Production</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COMP-009</w:t>
            </w:r>
          </w:p>
        </w:tc>
      </w:tr>
      <w:tr>
        <w:tc>
          <w:tcPr>
            <w:tcW w:type="dxa" w:w="4680"/>
            <w:shd w:val="clear" w:color="auto" w:fill="DCE6F1"/>
          </w:tcPr>
          <w:p>
            <w:r>
              <w:rPr>
                <w:b/>
                <w:color w:val="1F3864"/>
                <w:sz w:val="20"/>
              </w:rPr>
              <w:t>Category</w:t>
            </w:r>
          </w:p>
        </w:tc>
        <w:tc>
          <w:tcPr>
            <w:tcW w:type="dxa" w:w="4680"/>
          </w:tcPr>
          <w:p>
            <w:r>
              <w:rPr>
                <w:sz w:val="20"/>
              </w:rPr>
              <w:t>Complex Troubleshooting</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Integration succeeds in sandbox/test but fails when pointed at production</w:t>
      </w:r>
    </w:p>
    <w:p>
      <w:pPr>
        <w:spacing w:after="120"/>
      </w:pPr>
      <w:r>
        <w:rPr>
          <w:b w:val="0"/>
          <w:i w:val="0"/>
          <w:sz w:val="21"/>
        </w:rPr>
        <w:t>A customer's integration functions correctly in a test/sandbox environment but fails when pointed at the production environment.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Integration succeeds in sandbox/test but fails when pointed at production</w:t>
      </w:r>
    </w:p>
    <w:p>
      <w:pPr>
        <w:pStyle w:val="ListBullet"/>
        <w:spacing w:after="60"/>
      </w:pPr>
      <w:r>
        <w:rPr>
          <w:sz w:val="21"/>
        </w:rPr>
        <w:t>Side-by-side configuration comparison: test environment vs. production environment settings</w:t>
      </w:r>
    </w:p>
    <w:p>
      <w:pPr>
        <w:pStyle w:val="ListBullet"/>
        <w:spacing w:after="60"/>
      </w:pPr>
      <w:r>
        <w:rPr>
          <w:sz w:val="21"/>
        </w:rPr>
        <w:t>Environment-specific error only appearing in the production request log</w:t>
      </w:r>
    </w:p>
    <w:p>
      <w:pPr>
        <w:pStyle w:val="ListBullet"/>
        <w:spacing w:after="60"/>
      </w:pPr>
      <w:r>
        <w:rPr>
          <w:sz w:val="21"/>
        </w:rPr>
        <w:t>URL/endpoint screenshot showing which environment is being targeted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The exact same integration logic succeeds in test/sandbox mode.</w:t>
      </w:r>
    </w:p>
    <w:p>
      <w:pPr>
        <w:pStyle w:val="ListBullet"/>
        <w:spacing w:after="60"/>
      </w:pPr>
      <w:r>
        <w:rPr>
          <w:sz w:val="21"/>
        </w:rPr>
        <w:t>The same logic fails when switched to point at production.</w:t>
      </w:r>
    </w:p>
    <w:p>
      <w:pPr>
        <w:pStyle w:val="ListBullet"/>
        <w:spacing w:after="60"/>
      </w:pPr>
      <w:r>
        <w:rPr>
          <w:sz w:val="21"/>
        </w:rPr>
        <w:t>The customer confirms no code changes were made between environments, only the target.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Production credentials differ from test credentials and were not updated correctly.</w:t>
      </w:r>
    </w:p>
    <w:p>
      <w:pPr>
        <w:pStyle w:val="ListBullet"/>
        <w:spacing w:after="60"/>
      </w:pPr>
      <w:r>
        <w:rPr>
          <w:sz w:val="21"/>
        </w:rPr>
        <w:t>Production has stricter rate limits or validation rules than the test environment.</w:t>
      </w:r>
    </w:p>
    <w:p>
      <w:pPr>
        <w:pStyle w:val="ListBullet"/>
        <w:spacing w:after="60"/>
      </w:pPr>
      <w:r>
        <w:rPr>
          <w:sz w:val="21"/>
        </w:rPr>
        <w:t>A production-only feature flag or permission is not enabled for the customer's account.</w:t>
      </w:r>
    </w:p>
    <w:p>
      <w:pPr>
        <w:pStyle w:val="ListBullet"/>
        <w:spacing w:after="60"/>
      </w:pPr>
      <w:r>
        <w:rPr>
          <w:sz w:val="21"/>
        </w:rPr>
        <w:t>The production endpoint URL differs from the test URL and wasn't updated.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Confirm the customer updated all environment-specific values (URL, credentials, IDs) for production.</w:t>
      </w:r>
    </w:p>
    <w:p>
      <w:pPr>
        <w:spacing w:after="60"/>
        <w:ind w:left="360"/>
      </w:pPr>
      <w:r>
        <w:rPr>
          <w:sz w:val="21"/>
        </w:rPr>
        <w:t>2. Compare rate limits and validation rules between test and production for this account.</w:t>
      </w:r>
    </w:p>
    <w:p>
      <w:pPr>
        <w:spacing w:after="60"/>
        <w:ind w:left="360"/>
      </w:pPr>
      <w:r>
        <w:rPr>
          <w:sz w:val="21"/>
        </w:rPr>
        <w:t>3. Check whether the required feature/permission is enabled on the production account.</w:t>
      </w:r>
    </w:p>
    <w:p>
      <w:pPr>
        <w:spacing w:after="60"/>
        <w:ind w:left="360"/>
      </w:pPr>
      <w:r>
        <w:rPr>
          <w:sz w:val="21"/>
        </w:rPr>
        <w:t>4. Test the exact same payload manually against the production endpoint to isolate the failure.</w:t>
      </w:r>
    </w:p>
    <w:p>
      <w:pPr>
        <w:spacing w:after="60"/>
        <w:ind w:left="360"/>
      </w:pPr>
      <w:r>
        <w:rPr>
          <w:sz w:val="21"/>
        </w:rPr>
        <w:t>5. Review production-specific logs for the exact error at the time of the customer's attempt.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Since test succeeds, the integration logic itself is sound — focus exclusively on what differs between the two environments rather than the customer's code.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Correct the environment-specific configuration difference (credentials, URL, feature flag, rate limit) and confirm production now behaves like test.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all environment-specific configuration is confirmed matching and production still fails while test succeeds.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API &amp; Integration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API-001 (API 401 Unauthorized)</w:t>
      </w:r>
    </w:p>
    <w:p>
      <w:pPr>
        <w:pStyle w:val="ListBullet"/>
        <w:spacing w:after="60"/>
      </w:pPr>
      <w:r>
        <w:rPr>
          <w:sz w:val="21"/>
        </w:rPr>
        <w:t>COMP-002 (API Works for Some Requests but Fails for Others)</w:t>
      </w:r>
    </w:p>
    <w:p>
      <w:r>
        <w:br w:type="page"/>
      </w:r>
    </w:p>
    <w:p>
      <w:pPr>
        <w:spacing w:before="0" w:after="160"/>
      </w:pPr>
      <w:r>
        <w:rPr>
          <w:b/>
          <w:color w:val="1F3864"/>
          <w:sz w:val="34"/>
        </w:rPr>
        <w:t>COMP-010  |  Same Problem Returns After Resolution</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COMP-010</w:t>
            </w:r>
          </w:p>
        </w:tc>
      </w:tr>
      <w:tr>
        <w:tc>
          <w:tcPr>
            <w:tcW w:type="dxa" w:w="4680"/>
            <w:shd w:val="clear" w:color="auto" w:fill="DCE6F1"/>
          </w:tcPr>
          <w:p>
            <w:r>
              <w:rPr>
                <w:b/>
                <w:color w:val="1F3864"/>
                <w:sz w:val="20"/>
              </w:rPr>
              <w:t>Category</w:t>
            </w:r>
          </w:p>
        </w:tc>
        <w:tc>
          <w:tcPr>
            <w:tcW w:type="dxa" w:w="4680"/>
          </w:tcPr>
          <w:p>
            <w:r>
              <w:rPr>
                <w:sz w:val="20"/>
              </w:rPr>
              <w:t>Complex Troubleshooting</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A previously closed/resolved ticket's exact symptom has reoccurred</w:t>
      </w:r>
    </w:p>
    <w:p>
      <w:pPr>
        <w:spacing w:after="120"/>
      </w:pPr>
      <w:r>
        <w:rPr>
          <w:b w:val="0"/>
          <w:i w:val="0"/>
          <w:sz w:val="21"/>
        </w:rPr>
        <w:t>An issue that was previously resolved and confirmed fixed for a customer has reoccurred, either immediately or after some time has passed.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A previously closed/resolved ticket's exact symptom has reoccurred</w:t>
      </w:r>
    </w:p>
    <w:p>
      <w:pPr>
        <w:pStyle w:val="ListBullet"/>
        <w:spacing w:after="60"/>
      </w:pPr>
      <w:r>
        <w:rPr>
          <w:sz w:val="21"/>
        </w:rPr>
        <w:t>Ticket history screenshot showing a previous resolved ticket for the identical symptom</w:t>
      </w:r>
    </w:p>
    <w:p>
      <w:pPr>
        <w:pStyle w:val="ListBullet"/>
        <w:spacing w:after="60"/>
      </w:pPr>
      <w:r>
        <w:rPr>
          <w:sz w:val="21"/>
        </w:rPr>
        <w:t>Timeline showing the gap between resolution and recurrence</w:t>
      </w:r>
    </w:p>
    <w:p>
      <w:pPr>
        <w:pStyle w:val="ListBullet"/>
        <w:spacing w:after="60"/>
      </w:pPr>
      <w:r>
        <w:rPr>
          <w:sz w:val="21"/>
        </w:rPr>
        <w:t>Comparison of the customer's current state versus what was configured at time of original fix</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The customer reports the exact same symptom as a previously closed ticket.</w:t>
      </w:r>
    </w:p>
    <w:p>
      <w:pPr>
        <w:pStyle w:val="ListBullet"/>
        <w:spacing w:after="60"/>
      </w:pPr>
      <w:r>
        <w:rPr>
          <w:sz w:val="21"/>
        </w:rPr>
        <w:t>The original fix was confirmed working at the time it was closed.</w:t>
      </w:r>
    </w:p>
    <w:p>
      <w:pPr>
        <w:pStyle w:val="ListBullet"/>
        <w:spacing w:after="60"/>
      </w:pPr>
      <w:r>
        <w:rPr>
          <w:sz w:val="21"/>
        </w:rPr>
        <w:t>Recurrence may be immediate or may happen after a delay.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The original fix addressed the symptom but not the true root cause.</w:t>
      </w:r>
    </w:p>
    <w:p>
      <w:pPr>
        <w:pStyle w:val="ListBullet"/>
        <w:spacing w:after="60"/>
      </w:pPr>
      <w:r>
        <w:rPr>
          <w:sz w:val="21"/>
        </w:rPr>
        <w:t>A subsequent change (deployment, configuration edit) undid the original fix.</w:t>
      </w:r>
    </w:p>
    <w:p>
      <w:pPr>
        <w:pStyle w:val="ListBullet"/>
        <w:spacing w:after="60"/>
      </w:pPr>
      <w:r>
        <w:rPr>
          <w:sz w:val="21"/>
        </w:rPr>
        <w:t>The underlying condition that caused the issue was temporary and has now recurred.</w:t>
      </w:r>
    </w:p>
    <w:p>
      <w:pPr>
        <w:pStyle w:val="ListBullet"/>
        <w:spacing w:after="60"/>
      </w:pPr>
      <w:r>
        <w:rPr>
          <w:sz w:val="21"/>
        </w:rPr>
        <w:t>A different, similar-looking issue is being mistaken for the same root cause.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Pull the original ticket and confirm exactly what fix was applied previously.</w:t>
      </w:r>
    </w:p>
    <w:p>
      <w:pPr>
        <w:spacing w:after="60"/>
        <w:ind w:left="360"/>
      </w:pPr>
      <w:r>
        <w:rPr>
          <w:sz w:val="21"/>
        </w:rPr>
        <w:t>2. Check whether anything has changed on the account or platform since the original fix.</w:t>
      </w:r>
    </w:p>
    <w:p>
      <w:pPr>
        <w:spacing w:after="60"/>
        <w:ind w:left="360"/>
      </w:pPr>
      <w:r>
        <w:rPr>
          <w:sz w:val="21"/>
        </w:rPr>
        <w:t>3. Confirm whether the current symptom is truly identical or only superficially similar.</w:t>
      </w:r>
    </w:p>
    <w:p>
      <w:pPr>
        <w:spacing w:after="60"/>
        <w:ind w:left="360"/>
      </w:pPr>
      <w:r>
        <w:rPr>
          <w:sz w:val="21"/>
        </w:rPr>
        <w:t>4. Determine whether the original fix treated a symptom rather than the root cause.</w:t>
      </w:r>
    </w:p>
    <w:p>
      <w:pPr>
        <w:spacing w:after="60"/>
        <w:ind w:left="360"/>
      </w:pPr>
      <w:r>
        <w:rPr>
          <w:sz w:val="21"/>
        </w:rPr>
        <w:t>5. If the root cause was never fixed, treat this ticket as an opportunity to fix it properly.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A recurrence is a strong signal that the original resolution was a workaround rather than a true fix — treat this as a priority for root-cause escalation rather than repeating the same workaround.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Apply a root-cause fix this time rather than repeating the previous workaround, and confirm the issue does not recur after a reasonable monitoring period.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any recurring issue directly to engineering with the full history of the original ticket and fix attached.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Engineering / Backend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COMP-001 (Feature Works for One User but Not Another)</w:t>
      </w:r>
    </w:p>
    <w:p>
      <w:pPr>
        <w:pStyle w:val="ListBullet"/>
        <w:spacing w:after="60"/>
      </w:pPr>
      <w:r>
        <w:rPr>
          <w:sz w:val="21"/>
        </w:rPr>
        <w:t>COMP-015 (No Known Solution in Knowledge Base)</w:t>
      </w:r>
    </w:p>
    <w:p>
      <w:r>
        <w:br w:type="page"/>
      </w:r>
    </w:p>
    <w:p>
      <w:pPr>
        <w:spacing w:before="0" w:after="160"/>
      </w:pPr>
      <w:r>
        <w:rPr>
          <w:b/>
          <w:color w:val="1F3864"/>
          <w:sz w:val="34"/>
        </w:rPr>
        <w:t>COMP-011  |  Payment Successful but Subscription Webhook Fails</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COMP-011</w:t>
            </w:r>
          </w:p>
        </w:tc>
      </w:tr>
      <w:tr>
        <w:tc>
          <w:tcPr>
            <w:tcW w:type="dxa" w:w="4680"/>
            <w:shd w:val="clear" w:color="auto" w:fill="DCE6F1"/>
          </w:tcPr>
          <w:p>
            <w:r>
              <w:rPr>
                <w:b/>
                <w:color w:val="1F3864"/>
                <w:sz w:val="20"/>
              </w:rPr>
              <w:t>Category</w:t>
            </w:r>
          </w:p>
        </w:tc>
        <w:tc>
          <w:tcPr>
            <w:tcW w:type="dxa" w:w="4680"/>
          </w:tcPr>
          <w:p>
            <w:r>
              <w:rPr>
                <w:sz w:val="20"/>
              </w:rPr>
              <w:t>Complex Troubleshooting</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Payment succeeded but the subscription-status webhook never updated the account</w:t>
      </w:r>
    </w:p>
    <w:p>
      <w:pPr>
        <w:spacing w:after="120"/>
      </w:pPr>
      <w:r>
        <w:rPr>
          <w:b w:val="0"/>
          <w:i w:val="0"/>
          <w:sz w:val="21"/>
        </w:rPr>
        <w:t>A customer's payment is processed successfully by the payment provider, but the webhook that should notify the platform of this success fails to update the subscription status.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Payment succeeded but the subscription-status webhook never updated the account</w:t>
      </w:r>
    </w:p>
    <w:p>
      <w:pPr>
        <w:pStyle w:val="ListBullet"/>
        <w:spacing w:after="60"/>
      </w:pPr>
      <w:r>
        <w:rPr>
          <w:sz w:val="21"/>
        </w:rPr>
        <w:t>Payment provider dashboard showing 'Succeeded' status for the charge</w:t>
      </w:r>
    </w:p>
    <w:p>
      <w:pPr>
        <w:pStyle w:val="ListBullet"/>
        <w:spacing w:after="60"/>
      </w:pPr>
      <w:r>
        <w:rPr>
          <w:sz w:val="21"/>
        </w:rPr>
        <w:t>Webhook delivery log showing a failed or missing delivery attempt for this event</w:t>
      </w:r>
    </w:p>
    <w:p>
      <w:pPr>
        <w:pStyle w:val="ListBullet"/>
        <w:spacing w:after="60"/>
      </w:pPr>
      <w:r>
        <w:rPr>
          <w:sz w:val="21"/>
        </w:rPr>
        <w:t>Account subscription status still showing 'Inactive' or 'Past Due' despite successful payment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Payment is confirmed successful directly in the payment provider's dashboard.</w:t>
      </w:r>
    </w:p>
    <w:p>
      <w:pPr>
        <w:pStyle w:val="ListBullet"/>
        <w:spacing w:after="60"/>
      </w:pPr>
      <w:r>
        <w:rPr>
          <w:sz w:val="21"/>
        </w:rPr>
        <w:t>The platform's subscription status does not reflect the successful payment.</w:t>
      </w:r>
    </w:p>
    <w:p>
      <w:pPr>
        <w:pStyle w:val="ListBullet"/>
        <w:spacing w:after="60"/>
      </w:pPr>
      <w:r>
        <w:rPr>
          <w:sz w:val="21"/>
        </w:rPr>
        <w:t>No webhook delivery is recorded for this payment event, or it shows as failed.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The webhook endpoint was temporarily unreachable when the event was sent.</w:t>
      </w:r>
    </w:p>
    <w:p>
      <w:pPr>
        <w:pStyle w:val="ListBullet"/>
        <w:spacing w:after="60"/>
      </w:pPr>
      <w:r>
        <w:rPr>
          <w:sz w:val="21"/>
        </w:rPr>
        <w:t>The webhook payload signature validation failed, causing it to be rejected.</w:t>
      </w:r>
    </w:p>
    <w:p>
      <w:pPr>
        <w:pStyle w:val="ListBullet"/>
        <w:spacing w:after="60"/>
      </w:pPr>
      <w:r>
        <w:rPr>
          <w:sz w:val="21"/>
        </w:rPr>
        <w:t>The webhook was delivered but processing failed silently on receipt.</w:t>
      </w:r>
    </w:p>
    <w:p>
      <w:pPr>
        <w:pStyle w:val="ListBullet"/>
        <w:spacing w:after="60"/>
      </w:pPr>
      <w:r>
        <w:rPr>
          <w:sz w:val="21"/>
        </w:rPr>
        <w:t>The payment event and the customer's account were not correctly linked.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Confirm the payment status directly in the payment provider's dashboard.</w:t>
      </w:r>
    </w:p>
    <w:p>
      <w:pPr>
        <w:spacing w:after="60"/>
        <w:ind w:left="360"/>
      </w:pPr>
      <w:r>
        <w:rPr>
          <w:sz w:val="21"/>
        </w:rPr>
        <w:t>2. Check the webhook delivery log for this specific event's delivery attempt and result.</w:t>
      </w:r>
    </w:p>
    <w:p>
      <w:pPr>
        <w:spacing w:after="60"/>
        <w:ind w:left="360"/>
      </w:pPr>
      <w:r>
        <w:rPr>
          <w:sz w:val="21"/>
        </w:rPr>
        <w:t>3. If delivery failed, check whether the endpoint was reachable at that time.</w:t>
      </w:r>
    </w:p>
    <w:p>
      <w:pPr>
        <w:spacing w:after="60"/>
        <w:ind w:left="360"/>
      </w:pPr>
      <w:r>
        <w:rPr>
          <w:sz w:val="21"/>
        </w:rPr>
        <w:t>4. If delivered but not processed, check internal processing logs for a silent failure.</w:t>
      </w:r>
    </w:p>
    <w:p>
      <w:pPr>
        <w:spacing w:after="60"/>
        <w:ind w:left="360"/>
      </w:pPr>
      <w:r>
        <w:rPr>
          <w:sz w:val="21"/>
        </w:rPr>
        <w:t>5. Manually update the subscription status to unblock the customer, then fix the webhook issue.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Always unblock the customer's access manually first once payment is verified, then investigate the webhook failure separately — don't make the customer wait on the root-cause investigation.</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Manually apply the correct subscription status immediately, then fix the underlying webhook delivery or signature validation issue to prevent recurrence.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to engineering if webhook delivery failures for payment events are recurring rather than a single incident.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Billing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BILL-002 (Payment Successful but Access Not Updated)</w:t>
      </w:r>
    </w:p>
    <w:p>
      <w:pPr>
        <w:pStyle w:val="ListBullet"/>
        <w:spacing w:after="60"/>
      </w:pPr>
      <w:r>
        <w:rPr>
          <w:sz w:val="21"/>
        </w:rPr>
        <w:t>COMP-008 (Webhook Received but Business Action Does Not Occur)</w:t>
      </w:r>
    </w:p>
    <w:p>
      <w:r>
        <w:br w:type="page"/>
      </w:r>
    </w:p>
    <w:p>
      <w:pPr>
        <w:spacing w:before="0" w:after="160"/>
      </w:pPr>
      <w:r>
        <w:rPr>
          <w:b/>
          <w:color w:val="1F3864"/>
          <w:sz w:val="34"/>
        </w:rPr>
        <w:t>COMP-012  |  Report Data Differs From Source System</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COMP-012</w:t>
            </w:r>
          </w:p>
        </w:tc>
      </w:tr>
      <w:tr>
        <w:tc>
          <w:tcPr>
            <w:tcW w:type="dxa" w:w="4680"/>
            <w:shd w:val="clear" w:color="auto" w:fill="DCE6F1"/>
          </w:tcPr>
          <w:p>
            <w:r>
              <w:rPr>
                <w:b/>
                <w:color w:val="1F3864"/>
                <w:sz w:val="20"/>
              </w:rPr>
              <w:t>Category</w:t>
            </w:r>
          </w:p>
        </w:tc>
        <w:tc>
          <w:tcPr>
            <w:tcW w:type="dxa" w:w="4680"/>
          </w:tcPr>
          <w:p>
            <w:r>
              <w:rPr>
                <w:sz w:val="20"/>
              </w:rPr>
              <w:t>Complex Troubleshooting</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Platform report figures differ from the customer's own source-of-truth system</w:t>
      </w:r>
    </w:p>
    <w:p>
      <w:pPr>
        <w:spacing w:after="120"/>
      </w:pPr>
      <w:r>
        <w:rPr>
          <w:b w:val="0"/>
          <w:i w:val="0"/>
          <w:sz w:val="21"/>
        </w:rPr>
        <w:t>A report generated by the platform shows different figures than the customer's own source-of-truth system for the same underlying data.</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Platform report figures differ from the customer's own source-of-truth system</w:t>
      </w:r>
    </w:p>
    <w:p>
      <w:pPr>
        <w:pStyle w:val="ListBullet"/>
        <w:spacing w:after="60"/>
      </w:pPr>
      <w:r>
        <w:rPr>
          <w:sz w:val="21"/>
        </w:rPr>
        <w:t>Side-by-side numbers: platform report total vs. source system total</w:t>
      </w:r>
    </w:p>
    <w:p>
      <w:pPr>
        <w:pStyle w:val="ListBullet"/>
        <w:spacing w:after="60"/>
      </w:pPr>
      <w:r>
        <w:rPr>
          <w:sz w:val="21"/>
        </w:rPr>
        <w:t>Highlighted specific rows/records that differ between the two systems</w:t>
      </w:r>
    </w:p>
    <w:p>
      <w:pPr>
        <w:pStyle w:val="ListBullet"/>
        <w:spacing w:after="60"/>
      </w:pPr>
      <w:r>
        <w:rPr>
          <w:sz w:val="21"/>
        </w:rPr>
        <w:t>Timestamp comparison showing when each system's data was last updated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The customer has an independent source system they trust as ground truth.</w:t>
      </w:r>
    </w:p>
    <w:p>
      <w:pPr>
        <w:pStyle w:val="ListBullet"/>
        <w:spacing w:after="60"/>
      </w:pPr>
      <w:r>
        <w:rPr>
          <w:sz w:val="21"/>
        </w:rPr>
        <w:t>The platform's report shows a different total or set of records than that source.</w:t>
      </w:r>
    </w:p>
    <w:p>
      <w:pPr>
        <w:pStyle w:val="ListBullet"/>
        <w:spacing w:after="60"/>
      </w:pPr>
      <w:r>
        <w:rPr>
          <w:sz w:val="21"/>
        </w:rPr>
        <w:t>The discrepancy may be small (rounding/timing) or large (missing data).</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A sync delay means the platform's data is not yet current with the source system.</w:t>
      </w:r>
    </w:p>
    <w:p>
      <w:pPr>
        <w:pStyle w:val="ListBullet"/>
        <w:spacing w:after="60"/>
      </w:pPr>
      <w:r>
        <w:rPr>
          <w:sz w:val="21"/>
        </w:rPr>
        <w:t>The two systems calculate the same metric using different logic or filters.</w:t>
      </w:r>
    </w:p>
    <w:p>
      <w:pPr>
        <w:pStyle w:val="ListBullet"/>
        <w:spacing w:after="60"/>
      </w:pPr>
      <w:r>
        <w:rPr>
          <w:sz w:val="21"/>
        </w:rPr>
        <w:t>A timezone or date-boundary difference causes records to be grouped differently.</w:t>
      </w:r>
    </w:p>
    <w:p>
      <w:pPr>
        <w:pStyle w:val="ListBullet"/>
        <w:spacing w:after="60"/>
      </w:pPr>
      <w:r>
        <w:rPr>
          <w:sz w:val="21"/>
        </w:rPr>
        <w:t>Some records failed to sync from the source system and are simply missing.</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Confirm exactly which figures differ and by how much.</w:t>
      </w:r>
    </w:p>
    <w:p>
      <w:pPr>
        <w:spacing w:after="60"/>
        <w:ind w:left="360"/>
      </w:pPr>
      <w:r>
        <w:rPr>
          <w:sz w:val="21"/>
        </w:rPr>
        <w:t>2. Check the last sync timestamp between the platform and the source system.</w:t>
      </w:r>
    </w:p>
    <w:p>
      <w:pPr>
        <w:spacing w:after="60"/>
        <w:ind w:left="360"/>
      </w:pPr>
      <w:r>
        <w:rPr>
          <w:sz w:val="21"/>
        </w:rPr>
        <w:t>3. Compare the calculation logic/filters used by each system for this metric.</w:t>
      </w:r>
    </w:p>
    <w:p>
      <w:pPr>
        <w:spacing w:after="60"/>
        <w:ind w:left="360"/>
      </w:pPr>
      <w:r>
        <w:rPr>
          <w:sz w:val="21"/>
        </w:rPr>
        <w:t>4. Check for a timezone or date-boundary difference affecting grouping.</w:t>
      </w:r>
    </w:p>
    <w:p>
      <w:pPr>
        <w:spacing w:after="60"/>
        <w:ind w:left="360"/>
      </w:pPr>
      <w:r>
        <w:rPr>
          <w:sz w:val="21"/>
        </w:rPr>
        <w:t>5. Identify whether specific records are entirely missing versus just calculated differently.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A small, consistent discrepancy usually points to timezone or calculation logic differences; a large or growing gap points to a sync failure with missing records.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Correct the sync delay, align calculation logic between systems, or fix the timezone handling, then confirm the platform's report matches the source system.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the discrepancy is confirmed to stem from missing synced records or a calculation-logic bug rather than expected timing differences.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Application Support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REP-004 (Incorrect Report Data)</w:t>
      </w:r>
    </w:p>
    <w:p>
      <w:pPr>
        <w:pStyle w:val="ListBullet"/>
        <w:spacing w:after="60"/>
      </w:pPr>
      <w:r>
        <w:rPr>
          <w:sz w:val="21"/>
        </w:rPr>
        <w:t>DATA-001 (Data Synchronization Failure)</w:t>
      </w:r>
    </w:p>
    <w:p>
      <w:r>
        <w:br w:type="page"/>
      </w:r>
    </w:p>
    <w:p>
      <w:pPr>
        <w:spacing w:before="0" w:after="160"/>
      </w:pPr>
      <w:r>
        <w:rPr>
          <w:b/>
          <w:color w:val="1F3864"/>
          <w:sz w:val="34"/>
        </w:rPr>
        <w:t>COMP-013  |  Notifications Work for Some Users but Not Others</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COMP-013</w:t>
            </w:r>
          </w:p>
        </w:tc>
      </w:tr>
      <w:tr>
        <w:tc>
          <w:tcPr>
            <w:tcW w:type="dxa" w:w="4680"/>
            <w:shd w:val="clear" w:color="auto" w:fill="DCE6F1"/>
          </w:tcPr>
          <w:p>
            <w:r>
              <w:rPr>
                <w:b/>
                <w:color w:val="1F3864"/>
                <w:sz w:val="20"/>
              </w:rPr>
              <w:t>Category</w:t>
            </w:r>
          </w:p>
        </w:tc>
        <w:tc>
          <w:tcPr>
            <w:tcW w:type="dxa" w:w="4680"/>
          </w:tcPr>
          <w:p>
            <w:r>
              <w:rPr>
                <w:sz w:val="20"/>
              </w:rPr>
              <w:t>Complex Troubleshooting</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Some users on an account receive a notification type while others do not</w:t>
      </w:r>
    </w:p>
    <w:p>
      <w:pPr>
        <w:spacing w:after="120"/>
      </w:pPr>
      <w:r>
        <w:rPr>
          <w:b w:val="0"/>
          <w:i w:val="0"/>
          <w:sz w:val="21"/>
        </w:rPr>
        <w:t>Within the same account, some users receive a specific notification type reliably while other users on the same account do not.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Some users on an account receive a notification type while others do not</w:t>
      </w:r>
    </w:p>
    <w:p>
      <w:pPr>
        <w:pStyle w:val="ListBullet"/>
        <w:spacing w:after="60"/>
      </w:pPr>
      <w:r>
        <w:rPr>
          <w:sz w:val="21"/>
        </w:rPr>
        <w:t>Two users' notification preference screens side-by-side showing a difference</w:t>
      </w:r>
    </w:p>
    <w:p>
      <w:pPr>
        <w:pStyle w:val="ListBullet"/>
        <w:spacing w:after="60"/>
      </w:pPr>
      <w:r>
        <w:rPr>
          <w:sz w:val="21"/>
        </w:rPr>
        <w:t>Notification delivery log showing success for one user, failure/skip for another</w:t>
      </w:r>
    </w:p>
    <w:p>
      <w:pPr>
        <w:pStyle w:val="ListBullet"/>
        <w:spacing w:after="60"/>
      </w:pPr>
      <w:r>
        <w:rPr>
          <w:sz w:val="21"/>
        </w:rPr>
        <w:t>Email address or device-token comparison between the two users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Some users on the account receive the notification consistently.</w:t>
      </w:r>
    </w:p>
    <w:p>
      <w:pPr>
        <w:pStyle w:val="ListBullet"/>
        <w:spacing w:after="60"/>
      </w:pPr>
      <w:r>
        <w:rPr>
          <w:sz w:val="21"/>
        </w:rPr>
        <w:t>Other users on the same account, for the same event type, do not.</w:t>
      </w:r>
    </w:p>
    <w:p>
      <w:pPr>
        <w:pStyle w:val="ListBullet"/>
        <w:spacing w:after="60"/>
      </w:pPr>
      <w:r>
        <w:rPr>
          <w:sz w:val="21"/>
        </w:rPr>
        <w:t>The account-level notification configuration is confirmed enabled.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The affected users have the specific notification type disabled individually.</w:t>
      </w:r>
    </w:p>
    <w:p>
      <w:pPr>
        <w:pStyle w:val="ListBullet"/>
        <w:spacing w:after="60"/>
      </w:pPr>
      <w:r>
        <w:rPr>
          <w:sz w:val="21"/>
        </w:rPr>
        <w:t>The affected users' contact info (email/device token) is outdated or invalid.</w:t>
      </w:r>
    </w:p>
    <w:p>
      <w:pPr>
        <w:pStyle w:val="ListBullet"/>
        <w:spacing w:after="60"/>
      </w:pPr>
      <w:r>
        <w:rPr>
          <w:sz w:val="21"/>
        </w:rPr>
        <w:t>A per-user permission or subscription setting excludes them from this notification.</w:t>
      </w:r>
    </w:p>
    <w:p>
      <w:pPr>
        <w:pStyle w:val="ListBullet"/>
        <w:spacing w:after="60"/>
      </w:pPr>
      <w:r>
        <w:rPr>
          <w:sz w:val="21"/>
        </w:rPr>
        <w:t>The affected users' notification delivery is being blocked by their own email/device settings.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Confirm the account-level notification setting is enabled (ruling out a account-wide config issue).</w:t>
      </w:r>
    </w:p>
    <w:p>
      <w:pPr>
        <w:spacing w:after="60"/>
        <w:ind w:left="360"/>
      </w:pPr>
      <w:r>
        <w:rPr>
          <w:sz w:val="21"/>
        </w:rPr>
        <w:t>2. Compare the affected users' individual notification preferences against working users.</w:t>
      </w:r>
    </w:p>
    <w:p>
      <w:pPr>
        <w:spacing w:after="60"/>
        <w:ind w:left="360"/>
      </w:pPr>
      <w:r>
        <w:rPr>
          <w:sz w:val="21"/>
        </w:rPr>
        <w:t>3. Confirm the affected users' email address or device token is current and valid.</w:t>
      </w:r>
    </w:p>
    <w:p>
      <w:pPr>
        <w:spacing w:after="60"/>
        <w:ind w:left="360"/>
      </w:pPr>
      <w:r>
        <w:rPr>
          <w:sz w:val="21"/>
        </w:rPr>
        <w:t>4. Check for a per-user permission or subscription flag that could exclude them.</w:t>
      </w:r>
    </w:p>
    <w:p>
      <w:pPr>
        <w:spacing w:after="60"/>
        <w:ind w:left="360"/>
      </w:pPr>
      <w:r>
        <w:rPr>
          <w:sz w:val="21"/>
        </w:rPr>
        <w:t>5. Send a manual test notification directly to an affected user to confirm delivery.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Since other users receive it fine, the account-level configuration is not the problem — investigate only the affected users' individual settings and contact info.</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Correct the affected users' individual notification preference or contact info, then confirm they receive a test notification successfully.</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if affected users' individual settings and contact info are all confirmed correct but they still don't receive notifications.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Application Support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NOTIF-001 (Email Notification Not Received)</w:t>
      </w:r>
    </w:p>
    <w:p>
      <w:pPr>
        <w:pStyle w:val="ListBullet"/>
        <w:spacing w:after="60"/>
      </w:pPr>
      <w:r>
        <w:rPr>
          <w:sz w:val="21"/>
        </w:rPr>
        <w:t>COMP-001 (Feature Works for One User but Not Another)</w:t>
      </w:r>
    </w:p>
    <w:p>
      <w:r>
        <w:br w:type="page"/>
      </w:r>
    </w:p>
    <w:p>
      <w:pPr>
        <w:spacing w:before="0" w:after="160"/>
      </w:pPr>
      <w:r>
        <w:rPr>
          <w:b/>
          <w:color w:val="1F3864"/>
          <w:sz w:val="34"/>
        </w:rPr>
        <w:t>COMP-014  |  Feature Stops Working After Product Update</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COMP-014</w:t>
            </w:r>
          </w:p>
        </w:tc>
      </w:tr>
      <w:tr>
        <w:tc>
          <w:tcPr>
            <w:tcW w:type="dxa" w:w="4680"/>
            <w:shd w:val="clear" w:color="auto" w:fill="DCE6F1"/>
          </w:tcPr>
          <w:p>
            <w:r>
              <w:rPr>
                <w:b/>
                <w:color w:val="1F3864"/>
                <w:sz w:val="20"/>
              </w:rPr>
              <w:t>Category</w:t>
            </w:r>
          </w:p>
        </w:tc>
        <w:tc>
          <w:tcPr>
            <w:tcW w:type="dxa" w:w="4680"/>
          </w:tcPr>
          <w:p>
            <w:r>
              <w:rPr>
                <w:sz w:val="20"/>
              </w:rPr>
              <w:t>Complex Troubleshooting</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A feature stopped working immediately after a platform update/release</w:t>
      </w:r>
    </w:p>
    <w:p>
      <w:pPr>
        <w:spacing w:after="120"/>
      </w:pPr>
      <w:r>
        <w:rPr>
          <w:b w:val="0"/>
          <w:i w:val="0"/>
          <w:sz w:val="21"/>
        </w:rPr>
        <w:t>A feature that was working normally stops functioning correctly immediately following a platform update or new release.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A feature stopped working immediately after a platform update/release</w:t>
      </w:r>
    </w:p>
    <w:p>
      <w:pPr>
        <w:pStyle w:val="ListBullet"/>
        <w:spacing w:after="60"/>
      </w:pPr>
      <w:r>
        <w:rPr>
          <w:sz w:val="21"/>
        </w:rPr>
        <w:t>Release notes screenshot for the update that coincides with the failure</w:t>
      </w:r>
    </w:p>
    <w:p>
      <w:pPr>
        <w:pStyle w:val="ListBullet"/>
        <w:spacing w:after="60"/>
      </w:pPr>
      <w:r>
        <w:rPr>
          <w:sz w:val="21"/>
        </w:rPr>
        <w:t>Before/after screenshot comparing the feature's behavior pre- and post-update</w:t>
      </w:r>
    </w:p>
    <w:p>
      <w:pPr>
        <w:pStyle w:val="ListBullet"/>
        <w:spacing w:after="60"/>
      </w:pPr>
      <w:r>
        <w:rPr>
          <w:sz w:val="21"/>
        </w:rPr>
        <w:t>Error appearing only in versions/builds after the update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The feature worked correctly before a specific update and fails immediately after.</w:t>
      </w:r>
    </w:p>
    <w:p>
      <w:pPr>
        <w:pStyle w:val="ListBullet"/>
        <w:spacing w:after="60"/>
      </w:pPr>
      <w:r>
        <w:rPr>
          <w:sz w:val="21"/>
        </w:rPr>
        <w:t>The timing of the failure closely matches a known release or deployment.</w:t>
      </w:r>
    </w:p>
    <w:p>
      <w:pPr>
        <w:pStyle w:val="ListBullet"/>
        <w:spacing w:after="60"/>
      </w:pPr>
      <w:r>
        <w:rPr>
          <w:sz w:val="21"/>
        </w:rPr>
        <w:t>Other unrelated features may be unaffected, isolating the issue to this update.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The update introduced a regression affecting this specific feature.</w:t>
      </w:r>
    </w:p>
    <w:p>
      <w:pPr>
        <w:pStyle w:val="ListBullet"/>
        <w:spacing w:after="60"/>
      </w:pPr>
      <w:r>
        <w:rPr>
          <w:sz w:val="21"/>
        </w:rPr>
        <w:t>The update changed a dependency or API contract that this feature relies on.</w:t>
      </w:r>
    </w:p>
    <w:p>
      <w:pPr>
        <w:pStyle w:val="ListBullet"/>
        <w:spacing w:after="60"/>
      </w:pPr>
      <w:r>
        <w:rPr>
          <w:sz w:val="21"/>
        </w:rPr>
        <w:t>A configuration migration during the update did not complete correctly for this account.</w:t>
      </w:r>
    </w:p>
    <w:p>
      <w:pPr>
        <w:pStyle w:val="ListBullet"/>
        <w:spacing w:after="60"/>
      </w:pPr>
      <w:r>
        <w:rPr>
          <w:sz w:val="21"/>
        </w:rPr>
        <w:t>The update requires a new setting or permission that wasn't automatically applied.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Confirm the exact timing of the failure against the release/deployment timeline.</w:t>
      </w:r>
    </w:p>
    <w:p>
      <w:pPr>
        <w:spacing w:after="60"/>
        <w:ind w:left="360"/>
      </w:pPr>
      <w:r>
        <w:rPr>
          <w:sz w:val="21"/>
        </w:rPr>
        <w:t>2. Review the release notes for changes that could plausibly affect this feature.</w:t>
      </w:r>
    </w:p>
    <w:p>
      <w:pPr>
        <w:spacing w:after="60"/>
        <w:ind w:left="360"/>
      </w:pPr>
      <w:r>
        <w:rPr>
          <w:sz w:val="21"/>
        </w:rPr>
        <w:t>3. Check whether a configuration migration ran successfully for the affected account.</w:t>
      </w:r>
    </w:p>
    <w:p>
      <w:pPr>
        <w:spacing w:after="60"/>
        <w:ind w:left="360"/>
      </w:pPr>
      <w:r>
        <w:rPr>
          <w:sz w:val="21"/>
        </w:rPr>
        <w:t>4. Test the feature on an account that was not affected, if possible, to confirm the pattern.</w:t>
      </w:r>
    </w:p>
    <w:p>
      <w:pPr>
        <w:spacing w:after="60"/>
        <w:ind w:left="360"/>
      </w:pPr>
      <w:r>
        <w:rPr>
          <w:sz w:val="21"/>
        </w:rPr>
        <w:t>5. Check whether a new setting or permission introduced by the update needs to be enabled.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Precise timing correlation with a release is strong evidence of a regression — prioritize checking the release notes and rollback options before deep individual debugging.</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Apply a hotfix for the regression, complete the missed configuration migration, or enable the newly required setting, then confirm the feature works again.</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immediately to engineering when a feature failure's timing closely matches a recent release, since a regression fix is likely required.</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Engineering / Backend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APP-003 (Feature Not Working)</w:t>
      </w:r>
    </w:p>
    <w:p>
      <w:pPr>
        <w:pStyle w:val="ListBullet"/>
        <w:spacing w:after="60"/>
      </w:pPr>
      <w:r>
        <w:rPr>
          <w:sz w:val="21"/>
        </w:rPr>
        <w:t>COMP-010 (Same Problem Returns After Resolution)</w:t>
      </w:r>
    </w:p>
    <w:p>
      <w:r>
        <w:br w:type="page"/>
      </w:r>
    </w:p>
    <w:p>
      <w:pPr>
        <w:spacing w:before="0" w:after="160"/>
      </w:pPr>
      <w:r>
        <w:rPr>
          <w:b/>
          <w:color w:val="1F3864"/>
          <w:sz w:val="34"/>
        </w:rPr>
        <w:t>COMP-015  |  No Known Solution in Knowledge Base</w:t>
      </w:r>
    </w:p>
    <w:tbl>
      <w:tblPr>
        <w:tblW w:type="auto" w:w="0"/>
        <w:tblLayout w:type="fixed"/>
        <w:tblLook w:firstColumn="1" w:firstRow="1" w:lastColumn="0" w:lastRow="0" w:noHBand="0" w:noVBand="1" w:val="04A0"/>
      </w:tblPr>
      <w:tblGrid>
        <w:gridCol w:w="2592"/>
        <w:gridCol w:w="7056"/>
      </w:tblGrid>
      <w:tr>
        <w:tc>
          <w:tcPr>
            <w:tcW w:type="dxa" w:w="4680"/>
            <w:shd w:val="clear" w:color="auto" w:fill="DCE6F1"/>
          </w:tcPr>
          <w:p>
            <w:r>
              <w:rPr>
                <w:b/>
                <w:color w:val="1F3864"/>
                <w:sz w:val="20"/>
              </w:rPr>
              <w:t>Document ID</w:t>
            </w:r>
          </w:p>
        </w:tc>
        <w:tc>
          <w:tcPr>
            <w:tcW w:type="dxa" w:w="4680"/>
          </w:tcPr>
          <w:p>
            <w:r>
              <w:rPr>
                <w:sz w:val="20"/>
              </w:rPr>
              <w:t>COMP-015</w:t>
            </w:r>
          </w:p>
        </w:tc>
      </w:tr>
      <w:tr>
        <w:tc>
          <w:tcPr>
            <w:tcW w:type="dxa" w:w="4680"/>
            <w:shd w:val="clear" w:color="auto" w:fill="DCE6F1"/>
          </w:tcPr>
          <w:p>
            <w:r>
              <w:rPr>
                <w:b/>
                <w:color w:val="1F3864"/>
                <w:sz w:val="20"/>
              </w:rPr>
              <w:t>Category</w:t>
            </w:r>
          </w:p>
        </w:tc>
        <w:tc>
          <w:tcPr>
            <w:tcW w:type="dxa" w:w="4680"/>
          </w:tcPr>
          <w:p>
            <w:r>
              <w:rPr>
                <w:sz w:val="20"/>
              </w:rPr>
              <w:t>Complex Troubleshooting</w:t>
            </w:r>
          </w:p>
        </w:tc>
      </w:tr>
      <w:tr>
        <w:tc>
          <w:tcPr>
            <w:tcW w:type="dxa" w:w="4680"/>
            <w:shd w:val="clear" w:color="auto" w:fill="DCE6F1"/>
          </w:tcPr>
          <w:p>
            <w:r>
              <w:rPr>
                <w:b/>
                <w:color w:val="1F3864"/>
                <w:sz w:val="20"/>
              </w:rPr>
              <w:t>Document Type</w:t>
            </w:r>
          </w:p>
        </w:tc>
        <w:tc>
          <w:tcPr>
            <w:tcW w:type="dxa" w:w="4680"/>
          </w:tcPr>
          <w:p>
            <w:r>
              <w:rPr>
                <w:sz w:val="20"/>
              </w:rPr>
              <w:t>Support Ticket Troubleshooting Guide</w:t>
            </w:r>
          </w:p>
        </w:tc>
      </w:tr>
      <w:tr>
        <w:tc>
          <w:tcPr>
            <w:tcW w:type="dxa" w:w="4680"/>
            <w:shd w:val="clear" w:color="auto" w:fill="DCE6F1"/>
          </w:tcPr>
          <w:p>
            <w:r>
              <w:rPr>
                <w:b/>
                <w:color w:val="1F3864"/>
                <w:sz w:val="20"/>
              </w:rPr>
              <w:t>Status</w:t>
            </w:r>
          </w:p>
        </w:tc>
        <w:tc>
          <w:tcPr>
            <w:tcW w:type="dxa" w:w="4680"/>
          </w:tcPr>
          <w:p>
            <w:r>
              <w:rPr>
                <w:sz w:val="20"/>
              </w:rPr>
              <w:t>Approved Knowledge Source</w:t>
            </w:r>
          </w:p>
        </w:tc>
      </w:tr>
    </w:tbl>
    <w:p>
      <w:pPr>
        <w:spacing w:after="120"/>
      </w:pPr>
      <w:r>
        <w:rPr>
          <w:b w:val="0"/>
          <w:i w:val="0"/>
          <w:sz w:val="21"/>
        </w:rPr>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 Problem Statement</w:t>
            </w:r>
          </w:p>
        </w:tc>
      </w:tr>
    </w:tbl>
    <w:p>
      <w:pPr>
        <w:spacing w:after="120"/>
      </w:pPr>
      <w:r>
        <w:rPr>
          <w:b/>
          <w:i w:val="0"/>
          <w:color w:val="1F3864"/>
          <w:sz w:val="21"/>
        </w:rPr>
        <w:t>Primary Identifier: Reported symptoms do not match any existing knowledge base guide</w:t>
      </w:r>
    </w:p>
    <w:p>
      <w:pPr>
        <w:spacing w:after="120"/>
      </w:pPr>
      <w:r>
        <w:rPr>
          <w:b w:val="0"/>
          <w:i w:val="0"/>
          <w:sz w:val="21"/>
        </w:rPr>
        <w:t>A customer's issue does not match any existing troubleshooting guide, and no documented cause or fix currently exists for it.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2. Visual / Screenshot Indicators</w:t>
            </w:r>
          </w:p>
        </w:tc>
      </w:tr>
    </w:tbl>
    <w:p>
      <w:pPr>
        <w:spacing w:after="120"/>
      </w:pPr>
      <w:r>
        <w:rPr>
          <w:b w:val="0"/>
          <w:i/>
          <w:color w:val="595959"/>
          <w:sz w:val="19"/>
        </w:rPr>
        <w:t>If the junior developer uploads a screenshot of the error, look for these visual cues to confirm this is the correct guide:</w:t>
      </w:r>
    </w:p>
    <w:p>
      <w:pPr>
        <w:pStyle w:val="ListBullet"/>
        <w:spacing w:after="60"/>
      </w:pPr>
      <w:r>
        <w:rPr>
          <w:sz w:val="21"/>
        </w:rPr>
        <w:t>[Primary match] Reported symptoms do not match any existing knowledge base guide</w:t>
      </w:r>
    </w:p>
    <w:p>
      <w:pPr>
        <w:pStyle w:val="ListBullet"/>
        <w:spacing w:after="60"/>
      </w:pPr>
      <w:r>
        <w:rPr>
          <w:sz w:val="21"/>
        </w:rPr>
        <w:t>Junior developer's search results showing no matching guide found</w:t>
      </w:r>
    </w:p>
    <w:p>
      <w:pPr>
        <w:pStyle w:val="ListBullet"/>
        <w:spacing w:after="60"/>
      </w:pPr>
      <w:r>
        <w:rPr>
          <w:sz w:val="21"/>
        </w:rPr>
        <w:t>Screenshot of the unique/unfamiliar symptom the customer is describing</w:t>
      </w:r>
    </w:p>
    <w:p>
      <w:pPr>
        <w:pStyle w:val="ListBullet"/>
        <w:spacing w:after="60"/>
      </w:pPr>
      <w:r>
        <w:rPr>
          <w:sz w:val="21"/>
        </w:rPr>
        <w:t>Ticket marked as 'Unclassified' or 'New Issue Type'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3. Symptoms / Indicators</w:t>
            </w:r>
          </w:p>
        </w:tc>
      </w:tr>
    </w:tbl>
    <w:p>
      <w:pPr>
        <w:pStyle w:val="ListBullet"/>
        <w:spacing w:after="60"/>
      </w:pPr>
      <w:r>
        <w:rPr>
          <w:sz w:val="21"/>
        </w:rPr>
        <w:t>The issue's symptoms do not clearly match any existing guide's problem statement.</w:t>
      </w:r>
    </w:p>
    <w:p>
      <w:pPr>
        <w:pStyle w:val="ListBullet"/>
        <w:spacing w:after="60"/>
      </w:pPr>
      <w:r>
        <w:rPr>
          <w:sz w:val="21"/>
        </w:rPr>
        <w:t>Standard troubleshooting steps for similar-sounding issues do not resolve it.</w:t>
      </w:r>
    </w:p>
    <w:p>
      <w:pPr>
        <w:pStyle w:val="ListBullet"/>
        <w:spacing w:after="60"/>
      </w:pPr>
      <w:r>
        <w:rPr>
          <w:sz w:val="21"/>
        </w:rPr>
        <w:t>This may be a genuinely new issue type not yet seen before.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4. Possible Causes</w:t>
            </w:r>
          </w:p>
        </w:tc>
      </w:tr>
    </w:tbl>
    <w:p>
      <w:pPr>
        <w:pStyle w:val="ListBullet"/>
        <w:spacing w:after="60"/>
      </w:pPr>
      <w:r>
        <w:rPr>
          <w:sz w:val="21"/>
        </w:rPr>
        <w:t>This is a newly emerging issue not yet documented in the knowledge base.</w:t>
      </w:r>
    </w:p>
    <w:p>
      <w:pPr>
        <w:pStyle w:val="ListBullet"/>
        <w:spacing w:after="60"/>
      </w:pPr>
      <w:r>
        <w:rPr>
          <w:sz w:val="21"/>
        </w:rPr>
        <w:t>The issue is a rare edge case that hasn't been formally investigated.</w:t>
      </w:r>
    </w:p>
    <w:p>
      <w:pPr>
        <w:pStyle w:val="ListBullet"/>
        <w:spacing w:after="60"/>
      </w:pPr>
      <w:r>
        <w:rPr>
          <w:sz w:val="21"/>
        </w:rPr>
        <w:t>The issue may be a variation of a known problem with an unusual trigger.</w:t>
      </w:r>
    </w:p>
    <w:p>
      <w:pPr>
        <w:pStyle w:val="ListBullet"/>
        <w:spacing w:after="60"/>
      </w:pPr>
      <w:r>
        <w:rPr>
          <w:sz w:val="21"/>
        </w:rPr>
        <w:t>Insufficient information has been gathered yet to properly classify the issue.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5. Troubleshooting Steps</w:t>
            </w:r>
          </w:p>
        </w:tc>
      </w:tr>
    </w:tbl>
    <w:p>
      <w:pPr>
        <w:spacing w:after="60"/>
        <w:ind w:left="360"/>
      </w:pPr>
      <w:r>
        <w:rPr>
          <w:sz w:val="21"/>
        </w:rPr>
        <w:t>1. Gather the fullest possible detail: exact steps to reproduce, environment, timing, error text, and screenshots.</w:t>
      </w:r>
    </w:p>
    <w:p>
      <w:pPr>
        <w:spacing w:after="60"/>
        <w:ind w:left="360"/>
      </w:pPr>
      <w:r>
        <w:rPr>
          <w:sz w:val="21"/>
        </w:rPr>
        <w:t>2. Search the knowledge base using different keyword combinations before concluding no match exists.</w:t>
      </w:r>
    </w:p>
    <w:p>
      <w:pPr>
        <w:spacing w:after="60"/>
        <w:ind w:left="360"/>
      </w:pPr>
      <w:r>
        <w:rPr>
          <w:sz w:val="21"/>
        </w:rPr>
        <w:t>3. Check with a senior developer or team lead whether this issue has been seen informally before.</w:t>
      </w:r>
    </w:p>
    <w:p>
      <w:pPr>
        <w:spacing w:after="60"/>
        <w:ind w:left="360"/>
      </w:pPr>
      <w:r>
        <w:rPr>
          <w:sz w:val="21"/>
        </w:rPr>
        <w:t>4. Document the issue thoroughly even if unresolved, to seed a future knowledge base entry.</w:t>
      </w:r>
    </w:p>
    <w:p>
      <w:pPr>
        <w:spacing w:after="60"/>
        <w:ind w:left="360"/>
      </w:pPr>
      <w:r>
        <w:rPr>
          <w:sz w:val="21"/>
        </w:rPr>
        <w:t>5. Do not guess at a fix — clearly flag this as an unclassified issue when escalating.</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6. Decision Guidance</w:t>
            </w:r>
          </w:p>
        </w:tc>
      </w:tr>
    </w:tbl>
    <w:p>
      <w:pPr>
        <w:spacing w:after="120"/>
      </w:pPr>
      <w:r>
        <w:rPr>
          <w:b w:val="0"/>
          <w:i w:val="0"/>
          <w:sz w:val="21"/>
        </w:rPr>
        <w:t>Never attempt to force-fit an unfamiliar issue into an existing guide's steps — misapplied troubleshooting can mask the real problem and waste the customer's time.</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7. Solution / Resolution</w:t>
            </w:r>
          </w:p>
        </w:tc>
      </w:tr>
    </w:tbl>
    <w:p>
      <w:pPr>
        <w:spacing w:after="120"/>
      </w:pPr>
      <w:r>
        <w:rPr>
          <w:b w:val="0"/>
          <w:i w:val="0"/>
          <w:sz w:val="21"/>
        </w:rPr>
        <w:t>There is no documented solution yet. The immediate goal is thorough documentation and escalation, not resolution at the junior developer level.</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8. Verification</w:t>
            </w:r>
          </w:p>
        </w:tc>
      </w:tr>
    </w:tbl>
    <w:p>
      <w:pPr>
        <w:pStyle w:val="ListBullet"/>
        <w:spacing w:after="60"/>
      </w:pPr>
      <w:r>
        <w:rPr>
          <w:sz w:val="21"/>
        </w:rPr>
        <w:t>Confirm the original customer problem no longer occurs.</w:t>
      </w:r>
    </w:p>
    <w:p>
      <w:pPr>
        <w:pStyle w:val="ListBullet"/>
        <w:spacing w:after="60"/>
      </w:pPr>
      <w:r>
        <w:rPr>
          <w:sz w:val="21"/>
        </w:rPr>
        <w:t>Confirm the expected feature, API, workflow, or data result is restored.</w:t>
      </w:r>
    </w:p>
    <w:p>
      <w:pPr>
        <w:pStyle w:val="ListBullet"/>
        <w:spacing w:after="60"/>
      </w:pPr>
      <w:r>
        <w:rPr>
          <w:sz w:val="21"/>
        </w:rPr>
        <w:t>Record the successful verification result in the ticket.</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9. Escalation Criteria</w:t>
            </w:r>
          </w:p>
        </w:tc>
      </w:tr>
    </w:tbl>
    <w:p>
      <w:pPr>
        <w:spacing w:after="120"/>
      </w:pPr>
      <w:r>
        <w:rPr>
          <w:b w:val="0"/>
          <w:i w:val="0"/>
          <w:sz w:val="21"/>
        </w:rPr>
        <w:t>Escalate immediately with full documentation whenever no existing guide matches the reported symptoms.</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10. Responsible Support Team</w:t>
            </w:r>
          </w:p>
        </w:tc>
      </w:tr>
    </w:tbl>
    <w:p>
      <w:pPr>
        <w:spacing w:after="120"/>
      </w:pPr>
      <w:r>
        <w:rPr>
          <w:b/>
          <w:i w:val="0"/>
          <w:color w:val="1F3864"/>
          <w:sz w:val="21"/>
        </w:rPr>
        <w:t>Senior Engineering / Escalation Team</w:t>
      </w:r>
    </w:p>
    <w:tbl>
      <w:tblPr>
        <w:tblW w:type="auto" w:w="0"/>
        <w:tblLayout w:type="autofit"/>
        <w:tblLook w:firstColumn="1" w:firstRow="1" w:lastColumn="0" w:lastRow="0" w:noHBand="0" w:noVBand="1" w:val="04A0"/>
      </w:tblPr>
      <w:tblGrid>
        <w:gridCol w:w="9360"/>
      </w:tblGrid>
      <w:tr>
        <w:tc>
          <w:tcPr>
            <w:tcW w:type="dxa" w:w="9360"/>
            <w:shd w:val="clear" w:color="auto" w:fill="2E74B5"/>
          </w:tcPr>
          <w:p>
            <w:r>
              <w:rPr>
                <w:b/>
                <w:color w:val="FFFFFF"/>
                <w:sz w:val="24"/>
              </w:rPr>
              <w:t>11. Related Guides</w:t>
            </w:r>
          </w:p>
        </w:tc>
      </w:tr>
    </w:tbl>
    <w:p>
      <w:pPr>
        <w:pStyle w:val="ListBullet"/>
        <w:spacing w:after="60"/>
      </w:pPr>
      <w:r>
        <w:rPr>
          <w:sz w:val="21"/>
        </w:rPr>
        <w:t>COMP-010 (Same Problem Returns After Resolution)</w:t>
      </w:r>
    </w:p>
    <w:p>
      <w:pPr>
        <w:pStyle w:val="ListBullet"/>
        <w:spacing w:after="60"/>
      </w:pPr>
      <w:r>
        <w:rPr>
          <w:sz w:val="21"/>
        </w:rPr>
        <w:t>COMP-014 (Feature Stops Working After Product Update)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