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b/>
          <w:color w:val="1F3864"/>
          <w:sz w:val="44"/>
        </w:rPr>
        <w:t>Saishanker Santosh Teli</w:t>
      </w:r>
    </w:p>
    <w:p>
      <w:pPr>
        <w:spacing w:after="40"/>
      </w:pPr>
      <w:r>
        <w:rPr>
          <w:i/>
          <w:color w:val="2E75B6"/>
          <w:sz w:val="24"/>
        </w:rPr>
        <w:t>Program Manager, Migration Programs | Multi-Country Delivery Governance | 14+ Years</w:t>
      </w:r>
    </w:p>
    <w:p>
      <w:pPr>
        <w:spacing w:after="120"/>
      </w:pPr>
      <w:r>
        <w:rPr>
          <w:color w:val="595959"/>
          <w:sz w:val="19"/>
        </w:rPr>
        <w:t>saishanker.sitm@gmail.com  |  +91 96198 47244  |  linkedin.com/in/saishanker-teli-ai-driven-telecom-sme  |  Bengaluru, India</w:t>
      </w:r>
    </w:p>
    <w:p>
      <w:pPr>
        <w:spacing w:before="200" w:after="80"/>
        <w:pBdr>
          <w:bottom w:val="single" w:sz="6" w:color="2E75B6"/>
        </w:pBdr>
      </w:pPr>
      <w:r>
        <w:rPr>
          <w:b/>
          <w:color w:val="1F3864"/>
          <w:sz w:val="26"/>
        </w:rPr>
        <w:t>EXECUTIVE SUMMARY</w:t>
      </w:r>
    </w:p>
    <w:p>
      <w:r>
        <w:rPr>
          <w:sz w:val="21"/>
        </w:rPr>
        <w:t>Programme management leader with 14+ years across PwC, Accenture, Deloitte, EY and KPMG, with direct hands-on experience leading large-scale platform migration programmes - most notably the end-to-end legacy-to-modern Number Management System replacement for Telstra International (5-system cutover: Salesforce, ServiceNow, mediation, billing, and supporting platforms). Proven multi-country, multi-stakeholder delivery governance (Rs 30 Cr+ portfolio, 15+ countries engaged, 40+ team members led) and a track record translating complex migration requirements into future-state operating models, migration strategies, and vendor evaluation plans - directly transferable to leading a Migration Program at Rakuten.</w:t>
      </w:r>
    </w:p>
    <w:p>
      <w:pPr>
        <w:spacing w:before="200" w:after="80"/>
        <w:pBdr>
          <w:bottom w:val="single" w:sz="6" w:color="2E75B6"/>
        </w:pBdr>
      </w:pPr>
      <w:r>
        <w:rPr>
          <w:b/>
          <w:color w:val="1F3864"/>
          <w:sz w:val="26"/>
        </w:rPr>
        <w:t>KEY DIFFERENTIATORS ALIGNED TO THE ROLE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Selection Criteria</w:t>
            </w:r>
          </w:p>
        </w:tc>
        <w:tc>
          <w:tcPr>
            <w:tcW w:type="dxa" w:w="5040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Saishanker's Proof Point</w:t>
            </w:r>
          </w:p>
        </w:tc>
      </w:tr>
      <w:tr>
        <w:tc>
          <w:tcPr>
            <w:tcW w:type="dxa" w:w="5040"/>
          </w:tcPr>
          <w:p>
            <w:r>
              <w:rPr>
                <w:sz w:val="19"/>
              </w:rPr>
              <w:t>Large-scale migration programme leadership</w:t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Led end-to-end legacy NMS replacement for Telstra International - inception through deployment, 5-system cutover</w:t>
            </w:r>
          </w:p>
        </w:tc>
      </w:tr>
      <w:tr>
        <w:tc>
          <w:tcPr>
            <w:tcW w:type="dxa" w:w="5040"/>
          </w:tcPr>
          <w:p>
            <w:r>
              <w:rPr>
                <w:sz w:val="19"/>
              </w:rPr>
              <w:t>Multi-country / multi-stakeholder delivery</w:t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15+ countries engaged, Rs 30 Cr+ cumulative portfolio exposure, 40+ team members led across transformation programmes</w:t>
            </w:r>
          </w:p>
        </w:tc>
      </w:tr>
      <w:tr>
        <w:tc>
          <w:tcPr>
            <w:tcW w:type="dxa" w:w="5040"/>
          </w:tcPr>
          <w:p>
            <w:r>
              <w:rPr>
                <w:sz w:val="19"/>
              </w:rPr>
              <w:t>Migration strategy &amp; future-state design</w:t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Created capability assessments, future-state operating models, and migration strategies; led vendor evaluation for migration tooling</w:t>
            </w:r>
          </w:p>
        </w:tc>
      </w:tr>
      <w:tr>
        <w:tc>
          <w:tcPr>
            <w:tcW w:type="dxa" w:w="5040"/>
          </w:tcPr>
          <w:p>
            <w:r>
              <w:rPr>
                <w:sz w:val="19"/>
              </w:rPr>
              <w:t>Programme governance at scale</w:t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Owned project plans, governance, and delivery cadence for engagements exceeding Rs 15 Cr across 4 countries (Deloitte)</w:t>
            </w:r>
          </w:p>
        </w:tc>
      </w:tr>
      <w:tr>
        <w:tc>
          <w:tcPr>
            <w:tcW w:type="dxa" w:w="5040"/>
          </w:tcPr>
          <w:p>
            <w:r>
              <w:rPr>
                <w:sz w:val="19"/>
              </w:rPr>
              <w:t>Seniority fit</w:t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14+ years of Big 4 and telecom delivery experience, directly within the role's target experience range</w:t>
            </w:r>
          </w:p>
        </w:tc>
      </w:tr>
    </w:tbl>
    <w:p>
      <w:pPr>
        <w:spacing w:before="200" w:after="80"/>
        <w:pBdr>
          <w:bottom w:val="single" w:sz="6" w:color="2E75B6"/>
        </w:pBdr>
      </w:pPr>
      <w:r>
        <w:rPr>
          <w:b/>
          <w:color w:val="1F3864"/>
          <w:sz w:val="26"/>
        </w:rPr>
        <w:t>CORE COMPETENCIES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sz w:val="19"/>
              </w:rPr>
              <w:t>- Migration Programme Management</w:t>
            </w:r>
          </w:p>
        </w:tc>
        <w:tc>
          <w:tcPr>
            <w:tcW w:type="dxa" w:w="3360"/>
          </w:tcPr>
          <w:p>
            <w:r>
              <w:rPr>
                <w:sz w:val="19"/>
              </w:rPr>
              <w:t>- Multi-System Cutover</w:t>
            </w:r>
          </w:p>
        </w:tc>
        <w:tc>
          <w:tcPr>
            <w:tcW w:type="dxa" w:w="3360"/>
          </w:tcPr>
          <w:p>
            <w:r>
              <w:rPr>
                <w:sz w:val="19"/>
              </w:rPr>
              <w:t>- Platform Migration Strategy</w:t>
            </w:r>
          </w:p>
        </w:tc>
      </w:tr>
      <w:tr>
        <w:tc>
          <w:tcPr>
            <w:tcW w:type="dxa" w:w="3360"/>
          </w:tcPr>
          <w:p>
            <w:r>
              <w:rPr>
                <w:sz w:val="19"/>
              </w:rPr>
              <w:t>- Multi-Country Delivery Governance</w:t>
            </w:r>
          </w:p>
        </w:tc>
        <w:tc>
          <w:tcPr>
            <w:tcW w:type="dxa" w:w="3360"/>
          </w:tcPr>
          <w:p>
            <w:r>
              <w:rPr>
                <w:sz w:val="19"/>
              </w:rPr>
              <w:t>- C-Suite Stakeholder Governance</w:t>
            </w:r>
          </w:p>
        </w:tc>
        <w:tc>
          <w:tcPr>
            <w:tcW w:type="dxa" w:w="3360"/>
          </w:tcPr>
          <w:p>
            <w:r>
              <w:rPr>
                <w:sz w:val="19"/>
              </w:rPr>
              <w:t>- Vendor &amp; Delivery Management</w:t>
            </w:r>
          </w:p>
        </w:tc>
      </w:tr>
      <w:tr>
        <w:tc>
          <w:tcPr>
            <w:tcW w:type="dxa" w:w="3360"/>
          </w:tcPr>
          <w:p>
            <w:r>
              <w:rPr>
                <w:sz w:val="19"/>
              </w:rPr>
              <w:t>- Future-State Operating Model Design</w:t>
            </w:r>
          </w:p>
        </w:tc>
        <w:tc>
          <w:tcPr>
            <w:tcW w:type="dxa" w:w="3360"/>
          </w:tcPr>
          <w:p>
            <w:r>
              <w:rPr>
                <w:sz w:val="19"/>
              </w:rPr>
              <w:t>- Requirements &amp; Process Design</w:t>
            </w:r>
          </w:p>
        </w:tc>
        <w:tc>
          <w:tcPr>
            <w:tcW w:type="dxa" w:w="3360"/>
          </w:tcPr>
          <w:p>
            <w:r>
              <w:rPr>
                <w:sz w:val="19"/>
              </w:rPr>
              <w:t>- Big 4 Consulting Delivery</w:t>
            </w:r>
          </w:p>
        </w:tc>
      </w:tr>
      <w:tr>
        <w:tc>
          <w:tcPr>
            <w:tcW w:type="dxa" w:w="3360"/>
          </w:tcPr>
          <w:p>
            <w:r>
              <w:rPr>
                <w:sz w:val="19"/>
              </w:rPr>
              <w:t>- SteerCo / Executive Reporting</w:t>
            </w:r>
          </w:p>
        </w:tc>
        <w:tc>
          <w:tcPr>
            <w:tcW w:type="dxa" w:w="3360"/>
          </w:tcPr>
          <w:p>
            <w:r>
              <w:rPr>
                <w:sz w:val="19"/>
              </w:rPr>
              <w:t>- Risk &amp; Controls</w:t>
            </w:r>
          </w:p>
        </w:tc>
        <w:tc>
          <w:tcPr>
            <w:tcW w:type="dxa" w:w="3360"/>
          </w:tcPr>
          <w:p>
            <w:r>
              <w:rPr>
                <w:sz w:val="19"/>
              </w:rPr>
              <w:t>- UAT &amp; Cutover Readiness</w:t>
            </w:r>
          </w:p>
        </w:tc>
      </w:tr>
    </w:tbl>
    <w:p>
      <w:pPr>
        <w:spacing w:before="200" w:after="80"/>
        <w:pBdr>
          <w:bottom w:val="single" w:sz="6" w:color="2E75B6"/>
        </w:pBdr>
      </w:pPr>
      <w:r>
        <w:rPr>
          <w:b/>
          <w:color w:val="1F3864"/>
          <w:sz w:val="26"/>
        </w:rPr>
        <w:t>PROFESSIONAL EXPERIENCE</w:t>
      </w:r>
    </w:p>
    <w:p>
      <w:pPr>
        <w:spacing w:before="160"/>
      </w:pPr>
      <w:r>
        <w:rPr>
          <w:b/>
          <w:color w:val="1F3864"/>
          <w:sz w:val="23"/>
        </w:rPr>
        <w:t>PwC India</w:t>
      </w:r>
      <w:r>
        <w:rPr>
          <w:color w:val="595959"/>
          <w:sz w:val="19"/>
        </w:rPr>
        <w:t xml:space="preserve">   Jan 2025 - Present</w:t>
      </w:r>
    </w:p>
    <w:p>
      <w:pPr>
        <w:spacing w:after="40"/>
      </w:pPr>
      <w:r>
        <w:rPr>
          <w:i/>
          <w:sz w:val="21"/>
        </w:rPr>
        <w:t>Manager - Digital Business Transformation | Intelligent Digital Enterprise</w:t>
      </w:r>
    </w:p>
    <w:p>
      <w:pPr>
        <w:spacing w:after="40"/>
      </w:pPr>
      <w:r>
        <w:rPr>
          <w:i/>
          <w:color w:val="595959"/>
          <w:sz w:val="19"/>
        </w:rPr>
        <w:t>Mobily Infotech - Monitoring, Dashboarding &amp; Telecom Operations</w:t>
      </w:r>
    </w:p>
    <w:p>
      <w:pPr>
        <w:pStyle w:val="ListBullet"/>
        <w:spacing w:after="40"/>
      </w:pPr>
      <w:r>
        <w:rPr>
          <w:b/>
          <w:sz w:val="21"/>
        </w:rPr>
        <w:t xml:space="preserve">Programme Delivery: </w:t>
      </w:r>
      <w:r>
        <w:rPr>
          <w:b w:val="0"/>
          <w:sz w:val="21"/>
        </w:rPr>
        <w:t>Lead programme delivery and governance for monitoring and operational visibility, prioritizing backlog against business and technology stakeholder needs.</w:t>
      </w:r>
    </w:p>
    <w:p>
      <w:pPr>
        <w:pStyle w:val="ListBullet"/>
        <w:spacing w:after="40"/>
      </w:pPr>
      <w:r>
        <w:rPr>
          <w:b/>
          <w:sz w:val="21"/>
        </w:rPr>
        <w:t xml:space="preserve">Platform Migration: </w:t>
      </w:r>
      <w:r>
        <w:rPr>
          <w:b w:val="0"/>
          <w:sz w:val="21"/>
        </w:rPr>
        <w:t>Led Nextgen initiative - Elastic search orchestration for Lead-2-Cash flow - migrating legacy monitoring workflows to a modern platform.</w:t>
      </w:r>
    </w:p>
    <w:p>
      <w:pPr>
        <w:pStyle w:val="ListBullet"/>
        <w:spacing w:after="40"/>
      </w:pPr>
      <w:r>
        <w:rPr>
          <w:b/>
          <w:sz w:val="21"/>
        </w:rPr>
        <w:t xml:space="preserve">Stakeholder Partnership: </w:t>
      </w:r>
      <w:r>
        <w:rPr>
          <w:b w:val="0"/>
          <w:sz w:val="21"/>
        </w:rPr>
        <w:t>Partner with business and technology stakeholders to prioritize dashboards, operational KPIs and SLAs.</w:t>
      </w:r>
    </w:p>
    <w:p>
      <w:pPr>
        <w:spacing w:before="160"/>
      </w:pPr>
      <w:r>
        <w:rPr>
          <w:b/>
          <w:color w:val="1F3864"/>
          <w:sz w:val="23"/>
        </w:rPr>
        <w:t>Accenture</w:t>
      </w:r>
      <w:r>
        <w:rPr>
          <w:color w:val="595959"/>
          <w:sz w:val="19"/>
        </w:rPr>
        <w:t xml:space="preserve">   Oct 2021 - Jan 2025</w:t>
      </w:r>
    </w:p>
    <w:p>
      <w:pPr>
        <w:spacing w:after="40"/>
      </w:pPr>
      <w:r>
        <w:rPr>
          <w:i/>
          <w:sz w:val="21"/>
        </w:rPr>
        <w:t>Business Integration Architect Specialist</w:t>
      </w:r>
    </w:p>
    <w:p>
      <w:pPr>
        <w:spacing w:after="40"/>
      </w:pPr>
      <w:r>
        <w:rPr>
          <w:i/>
          <w:color w:val="595959"/>
          <w:sz w:val="19"/>
        </w:rPr>
        <w:t>Telstra International - Legacy Number Management System (NMS) Replacement</w:t>
      </w:r>
    </w:p>
    <w:p>
      <w:pPr>
        <w:pStyle w:val="ListBullet"/>
        <w:spacing w:after="40"/>
      </w:pPr>
      <w:r>
        <w:rPr>
          <w:b/>
          <w:sz w:val="21"/>
        </w:rPr>
        <w:t xml:space="preserve">Migration Programme Leadership: </w:t>
      </w:r>
      <w:r>
        <w:rPr>
          <w:b w:val="0"/>
          <w:sz w:val="21"/>
        </w:rPr>
        <w:t>Delivered end-to-end legacy-to-modern NMS migration from inception through deployment for a Tier-1 telecom operator; led requirements, process design, and UAT readiness.</w:t>
      </w:r>
    </w:p>
    <w:p>
      <w:pPr>
        <w:pStyle w:val="ListBullet"/>
        <w:spacing w:after="40"/>
      </w:pPr>
      <w:r>
        <w:rPr>
          <w:b/>
          <w:sz w:val="21"/>
        </w:rPr>
        <w:t xml:space="preserve">Multi-System Cutover: </w:t>
      </w:r>
      <w:r>
        <w:rPr>
          <w:b w:val="0"/>
          <w:sz w:val="21"/>
        </w:rPr>
        <w:t>Led integration and migration across Salesforce, ServiceNow, mediation, billing, and supporting enterprise platforms (5 systems).</w:t>
      </w:r>
    </w:p>
    <w:p>
      <w:pPr>
        <w:pStyle w:val="ListBullet"/>
        <w:spacing w:after="40"/>
      </w:pPr>
      <w:r>
        <w:rPr>
          <w:b/>
          <w:sz w:val="21"/>
        </w:rPr>
        <w:t xml:space="preserve">Future-State &amp; Migration Strategy: </w:t>
      </w:r>
      <w:r>
        <w:rPr>
          <w:b w:val="0"/>
          <w:sz w:val="21"/>
        </w:rPr>
        <w:t>Created capability assessments, future-state operating models, and migration strategies; led vendor evaluation for migration tooling.</w:t>
      </w:r>
    </w:p>
    <w:p>
      <w:pPr>
        <w:spacing w:before="160"/>
      </w:pPr>
      <w:r>
        <w:rPr>
          <w:b/>
          <w:color w:val="1F3864"/>
          <w:sz w:val="23"/>
        </w:rPr>
        <w:t>Subex</w:t>
      </w:r>
      <w:r>
        <w:rPr>
          <w:color w:val="595959"/>
          <w:sz w:val="19"/>
        </w:rPr>
        <w:t xml:space="preserve">   Dec 2019 - Oct 2021</w:t>
      </w:r>
    </w:p>
    <w:p>
      <w:pPr>
        <w:spacing w:after="40"/>
      </w:pPr>
      <w:r>
        <w:rPr>
          <w:i/>
          <w:sz w:val="21"/>
        </w:rPr>
        <w:t>Principal Consultant - Business Consulting</w:t>
      </w:r>
    </w:p>
    <w:p>
      <w:pPr>
        <w:spacing w:after="40"/>
      </w:pPr>
      <w:r>
        <w:rPr>
          <w:i/>
          <w:color w:val="595959"/>
          <w:sz w:val="19"/>
        </w:rPr>
        <w:t>International Telecom Operators - RAFM Consulting &amp; Tool Enablement</w:t>
      </w:r>
    </w:p>
    <w:p>
      <w:pPr>
        <w:pStyle w:val="ListBullet"/>
        <w:spacing w:after="40"/>
      </w:pPr>
      <w:r>
        <w:rPr>
          <w:b/>
          <w:sz w:val="21"/>
        </w:rPr>
        <w:t xml:space="preserve">Programme Delivery: </w:t>
      </w:r>
      <w:r>
        <w:rPr>
          <w:b w:val="0"/>
          <w:sz w:val="21"/>
        </w:rPr>
        <w:t>Delivered RAFM consulting across international operators; ran stakeholder workshops, requirements gathering, and control design.</w:t>
      </w:r>
    </w:p>
    <w:p>
      <w:pPr>
        <w:spacing w:before="160"/>
      </w:pPr>
      <w:r>
        <w:rPr>
          <w:b/>
          <w:color w:val="1F3864"/>
          <w:sz w:val="23"/>
        </w:rPr>
        <w:t>Deloitte India Advisory</w:t>
      </w:r>
      <w:r>
        <w:rPr>
          <w:color w:val="595959"/>
          <w:sz w:val="19"/>
        </w:rPr>
        <w:t xml:space="preserve">   Feb 2018 - Dec 2019</w:t>
      </w:r>
    </w:p>
    <w:p>
      <w:pPr>
        <w:spacing w:after="40"/>
      </w:pPr>
      <w:r>
        <w:rPr>
          <w:i/>
          <w:sz w:val="21"/>
        </w:rPr>
        <w:t>Deputy Manager - Forensics &amp; Risk Advisory</w:t>
      </w:r>
    </w:p>
    <w:p>
      <w:pPr>
        <w:pStyle w:val="ListBullet"/>
        <w:spacing w:after="40"/>
      </w:pPr>
      <w:r>
        <w:rPr>
          <w:b/>
          <w:sz w:val="21"/>
        </w:rPr>
        <w:t xml:space="preserve">Multi-Country Programme Governance: </w:t>
      </w:r>
      <w:r>
        <w:rPr>
          <w:b w:val="0"/>
          <w:sz w:val="21"/>
        </w:rPr>
        <w:t>Delivered engagements exceeding Rs 15 Cr across South Africa, Qatar, Saudi Arabia, and India; owned project plans, governance, and delivery cadence.</w:t>
      </w:r>
    </w:p>
    <w:p>
      <w:pPr>
        <w:pStyle w:val="ListBullet"/>
        <w:spacing w:after="40"/>
      </w:pPr>
      <w:r>
        <w:rPr>
          <w:b/>
          <w:sz w:val="21"/>
        </w:rPr>
        <w:t xml:space="preserve">Large-Scale Programme Coordination: </w:t>
      </w:r>
      <w:r>
        <w:rPr>
          <w:b w:val="0"/>
          <w:sz w:val="21"/>
        </w:rPr>
        <w:t>Supported a major Vodafone forensic programme spanning 17 countries - investigations, controls, and consequence management.</w:t>
      </w:r>
    </w:p>
    <w:p>
      <w:pPr>
        <w:spacing w:before="160"/>
      </w:pPr>
      <w:r>
        <w:rPr>
          <w:b/>
          <w:color w:val="1F3864"/>
          <w:sz w:val="23"/>
        </w:rPr>
        <w:t>Ernst &amp; Young LLP</w:t>
      </w:r>
      <w:r>
        <w:rPr>
          <w:color w:val="595959"/>
          <w:sz w:val="19"/>
        </w:rPr>
        <w:t xml:space="preserve">   Sep 2015 - Jan 2018</w:t>
      </w:r>
    </w:p>
    <w:p>
      <w:pPr>
        <w:spacing w:after="40"/>
      </w:pPr>
      <w:r>
        <w:rPr>
          <w:i/>
          <w:sz w:val="21"/>
        </w:rPr>
        <w:t>Consultant - Risk Advisory</w:t>
      </w:r>
    </w:p>
    <w:p>
      <w:pPr>
        <w:pStyle w:val="ListBullet"/>
        <w:spacing w:after="40"/>
      </w:pPr>
      <w:r>
        <w:rPr>
          <w:b/>
          <w:sz w:val="21"/>
        </w:rPr>
        <w:t xml:space="preserve">Client Delivery: </w:t>
      </w:r>
      <w:r>
        <w:rPr>
          <w:b w:val="0"/>
          <w:sz w:val="21"/>
        </w:rPr>
        <w:t>Delivered consulting engagements with cumulative exposure exceeding Rs 10 Cr for Mobily Riyadh and Middle East telecom clients.</w:t>
      </w:r>
    </w:p>
    <w:p>
      <w:r>
        <w:rPr>
          <w:color w:val="595959"/>
          <w:sz w:val="19"/>
        </w:rPr>
        <w:t>Earlier: KPMG India (Associate Consultant, Apr 2014-Aug 2015).</w:t>
      </w:r>
    </w:p>
    <w:p>
      <w:pPr>
        <w:spacing w:before="200" w:after="80"/>
        <w:pBdr>
          <w:bottom w:val="single" w:sz="6" w:color="2E75B6"/>
        </w:pBdr>
      </w:pPr>
      <w:r>
        <w:rPr>
          <w:b/>
          <w:color w:val="1F3864"/>
          <w:sz w:val="26"/>
        </w:rPr>
        <w:t>EDUCATION &amp; CERTIFICATIONS</w:t>
      </w:r>
    </w:p>
    <w:p>
      <w:pPr>
        <w:pStyle w:val="ListBullet"/>
        <w:spacing w:after="40"/>
      </w:pPr>
      <w:r>
        <w:rPr>
          <w:b w:val="0"/>
          <w:sz w:val="21"/>
        </w:rPr>
        <w:t>MBA - Systems &amp; Finance,</w:t>
      </w:r>
      <w:r>
        <w:rPr>
          <w:b w:val="0"/>
          <w:sz w:val="21"/>
        </w:rPr>
        <w:t xml:space="preserve"> Symbiosis International University</w:t>
      </w:r>
    </w:p>
    <w:p>
      <w:pPr>
        <w:pStyle w:val="ListBullet"/>
        <w:spacing w:after="40"/>
      </w:pPr>
      <w:r>
        <w:rPr>
          <w:b w:val="0"/>
          <w:sz w:val="21"/>
        </w:rPr>
        <w:t>B.E. - Electronics &amp; Telecommunications,</w:t>
      </w:r>
      <w:r>
        <w:rPr>
          <w:b w:val="0"/>
          <w:sz w:val="21"/>
        </w:rPr>
        <w:t xml:space="preserve"> Goa University</w:t>
      </w:r>
    </w:p>
    <w:p>
      <w:pPr>
        <w:pStyle w:val="ListBullet"/>
        <w:spacing w:after="40"/>
      </w:pPr>
      <w:r>
        <w:rPr>
          <w:b/>
          <w:sz w:val="21"/>
        </w:rPr>
        <w:t>Certifications:</w:t>
      </w:r>
      <w:r>
        <w:rPr>
          <w:b w:val="0"/>
          <w:sz w:val="21"/>
        </w:rPr>
        <w:t xml:space="preserve"> AI-Empowered SAFe 6 PO/PM - Career Essentials in Generative AI (Microsoft &amp; LinkedIn) - Project Management (Google) - Agile Design Thinking - ITIL V3 Foundation - BCMS ISO 22301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