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4"/>
        </w:rPr>
        <w:t>Saishanker Santosh Teli</w:t>
      </w:r>
    </w:p>
    <w:p>
      <w:pPr>
        <w:spacing w:after="40"/>
      </w:pPr>
      <w:r>
        <w:rPr>
          <w:i/>
          <w:color w:val="2E75B6"/>
          <w:sz w:val="24"/>
        </w:rPr>
        <w:t>Manager, Finance Transformation (Financial Services) | Large-Scale Programme &amp; Finance Controls Delivery | 14+ Years</w:t>
      </w:r>
    </w:p>
    <w:p>
      <w:pPr>
        <w:spacing w:after="120"/>
      </w:pPr>
      <w:r>
        <w:rPr>
          <w:color w:val="595959"/>
          <w:sz w:val="19"/>
        </w:rPr>
        <w:t>saishanker.sitm@gmail.com  |  +91 96198 47244  |  linkedin.com/in/saishanker-teli-ai-driven-telecom-sme  |  Bengaluru, India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EXECUTIVE SUMMARY</w:t>
      </w:r>
    </w:p>
    <w:p>
      <w:r>
        <w:rPr>
          <w:sz w:val="21"/>
        </w:rPr>
        <w:t>Transformation and delivery leader with 14+ years across PwC, Accenture, Deloitte, EY and KPMG, with a consistent through-line of finance-adjacent programme delivery: Revenue Assurance &amp; Fraud Management (RAFM) consulting, Revenue Assurance System Audits, financial controls, and GL-adjacent audit support for Tier-1 operators and public-sector clients. Proven SME project management across large-scale, multi-country programmes (Rs 30 Cr+ cumulative portfolio exposure, 15+ countries, 40+ team members led) using both Agile and Waterfall delivery approaches, with strong experience managing people and stakeholders in large matrix organisations and reporting into senior/C-suite stakeholders - directly transferable to leading Finance Transformation delivery for Financial Services clients.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KEY DIFFERENTIATORS ALIGNED TO THE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Selection Criteria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Saishanker's Proof Point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SME project management, large-scale programmes/projects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Led end-to-end NMS replacement programme for Telstra International (5-system cutover); delivered Rs 30 Cr+ cumulative portfolio across Big 4 engagements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Finance domain delivery - Financial Reporting, controls, GL/SL-adjacent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RAFM consulting, Revenue Assurance System Audits (Ooredoo Qatar), and financial controls/forensic engagements across PwC, Deloitte, EY, Subex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Agile and Waterfall delivery methodologies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Delivered transformation programmes using both approaches - Agile backlog/sprint governance (PwC) and Waterfall multi-country programme delivery (Deloitte, Accenture)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Leadership in a large matrix organisation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Led teams of 40+ across multi-country, multi-stakeholder engagements; owned project plans, governance, and delivery cadence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Stakeholder management under conflicting priorities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Partnered with 30+ senior stakeholders across business and technology functions to prioritize deliverables, dashboards, and SLAs amid competing demands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- Finance Transformation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Revenue Assurance &amp; Fraud Management (RAFM)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Financial Controls &amp; Audit Support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Agile &amp; Waterfall Delivery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Large-Scale Programme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Multi-Country Delivery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C-Suite Stakeholder Management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Matrix Team Leadership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SteerCo / Executive Reporting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Vendor &amp; Delivery Management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Risk &amp; Controls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Requirements &amp; Process Design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PROFESSIONAL EXPERIENCE</w:t>
      </w:r>
    </w:p>
    <w:p>
      <w:pPr>
        <w:spacing w:before="160"/>
      </w:pPr>
      <w:r>
        <w:rPr>
          <w:b/>
          <w:color w:val="1F3864"/>
          <w:sz w:val="23"/>
        </w:rPr>
        <w:t>PwC India</w:t>
      </w:r>
      <w:r>
        <w:rPr>
          <w:color w:val="595959"/>
          <w:sz w:val="19"/>
        </w:rPr>
        <w:t xml:space="preserve">   Jan 2025 - Present</w:t>
      </w:r>
    </w:p>
    <w:p>
      <w:pPr>
        <w:spacing w:after="40"/>
      </w:pPr>
      <w:r>
        <w:rPr>
          <w:i/>
          <w:sz w:val="21"/>
        </w:rPr>
        <w:t>Manager - Digital Business Transformation | Intelligent Digital Enterprise</w:t>
      </w:r>
    </w:p>
    <w:p>
      <w:pPr>
        <w:spacing w:after="40"/>
      </w:pPr>
      <w:r>
        <w:rPr>
          <w:i/>
          <w:color w:val="595959"/>
          <w:sz w:val="19"/>
        </w:rPr>
        <w:t>Mobily Infotech - Monitoring, Dashboarding &amp; Telecom Operations</w:t>
      </w:r>
    </w:p>
    <w:p>
      <w:pPr>
        <w:pStyle w:val="ListBullet"/>
        <w:spacing w:after="40"/>
      </w:pPr>
      <w:r>
        <w:rPr>
          <w:b/>
          <w:sz w:val="21"/>
        </w:rPr>
        <w:t xml:space="preserve">Programme Delivery &amp; Governance: </w:t>
      </w:r>
      <w:r>
        <w:rPr>
          <w:b w:val="0"/>
          <w:sz w:val="21"/>
        </w:rPr>
        <w:t>Lead programme delivery and governance for monitoring and operational visibility, partnering with business and technology stakeholders to prioritize backlog, dashboards, and SLAs.</w:t>
      </w:r>
    </w:p>
    <w:p>
      <w:pPr>
        <w:pStyle w:val="ListBullet"/>
        <w:spacing w:after="40"/>
      </w:pPr>
      <w:r>
        <w:rPr>
          <w:b/>
          <w:sz w:val="21"/>
        </w:rPr>
        <w:t xml:space="preserve">Platform Migration: </w:t>
      </w:r>
      <w:r>
        <w:rPr>
          <w:b w:val="0"/>
          <w:sz w:val="21"/>
        </w:rPr>
        <w:t>Led Nextgen initiative - Elastic search orchestration for Lead-2-Cash flow - migrating legacy monitoring workflows to a modern platform.</w:t>
      </w:r>
    </w:p>
    <w:p>
      <w:pPr>
        <w:pStyle w:val="ListBullet"/>
        <w:spacing w:after="40"/>
      </w:pPr>
      <w:r>
        <w:rPr>
          <w:b/>
          <w:sz w:val="21"/>
        </w:rPr>
        <w:t xml:space="preserve">Revenue-Linked Delivery: </w:t>
      </w:r>
      <w:r>
        <w:rPr>
          <w:b w:val="0"/>
          <w:sz w:val="21"/>
        </w:rPr>
        <w:t>Supported capacity planning and asset-discovery initiatives contributing to revenue opportunities exceeding Rs 1 Cr.</w:t>
      </w:r>
    </w:p>
    <w:p>
      <w:pPr>
        <w:spacing w:before="160"/>
      </w:pPr>
      <w:r>
        <w:rPr>
          <w:b/>
          <w:color w:val="1F3864"/>
          <w:sz w:val="23"/>
        </w:rPr>
        <w:t>Accenture</w:t>
      </w:r>
      <w:r>
        <w:rPr>
          <w:color w:val="595959"/>
          <w:sz w:val="19"/>
        </w:rPr>
        <w:t xml:space="preserve">   Oct 2021 - Jan 2025</w:t>
      </w:r>
    </w:p>
    <w:p>
      <w:pPr>
        <w:spacing w:after="40"/>
      </w:pPr>
      <w:r>
        <w:rPr>
          <w:i/>
          <w:sz w:val="21"/>
        </w:rPr>
        <w:t>Business Integration Architect Specialist</w:t>
      </w:r>
    </w:p>
    <w:p>
      <w:pPr>
        <w:spacing w:after="40"/>
      </w:pPr>
      <w:r>
        <w:rPr>
          <w:i/>
          <w:color w:val="595959"/>
          <w:sz w:val="19"/>
        </w:rPr>
        <w:t>Telstra International - Legacy Number Management System (NMS) Replacement</w:t>
      </w:r>
    </w:p>
    <w:p>
      <w:pPr>
        <w:pStyle w:val="ListBullet"/>
        <w:spacing w:after="40"/>
      </w:pPr>
      <w:r>
        <w:rPr>
          <w:b/>
          <w:sz w:val="21"/>
        </w:rPr>
        <w:t xml:space="preserve">Large-Scale Programme Delivery: </w:t>
      </w:r>
      <w:r>
        <w:rPr>
          <w:b w:val="0"/>
          <w:sz w:val="21"/>
        </w:rPr>
        <w:t>Delivered end-to-end legacy-to-modern NMS replacement from inception through deployment for a Tier-1 telecom operator; led requirements, process design, and UAT readiness - proven delivery methodology spanning complex, multi-stakeholder programmes.</w:t>
      </w:r>
    </w:p>
    <w:p>
      <w:pPr>
        <w:pStyle w:val="ListBullet"/>
        <w:spacing w:after="40"/>
      </w:pPr>
      <w:r>
        <w:rPr>
          <w:b/>
          <w:sz w:val="21"/>
        </w:rPr>
        <w:t xml:space="preserve">Multi-System Integration: </w:t>
      </w:r>
      <w:r>
        <w:rPr>
          <w:b w:val="0"/>
          <w:sz w:val="21"/>
        </w:rPr>
        <w:t>Led integration and migration across Salesforce, ServiceNow, mediation, billing, and supporting enterprise platforms (5 systems).</w:t>
      </w:r>
    </w:p>
    <w:p>
      <w:pPr>
        <w:pStyle w:val="ListBullet"/>
        <w:spacing w:after="40"/>
      </w:pPr>
      <w:r>
        <w:rPr>
          <w:b/>
          <w:sz w:val="21"/>
        </w:rPr>
        <w:t xml:space="preserve">Future-State &amp; Roadmap Design: </w:t>
      </w:r>
      <w:r>
        <w:rPr>
          <w:b w:val="0"/>
          <w:sz w:val="21"/>
        </w:rPr>
        <w:t>Created capability assessments, future-state operating models, and migration strategies; led vendor evaluation for migration tooling.</w:t>
      </w:r>
    </w:p>
    <w:p>
      <w:pPr>
        <w:spacing w:before="160"/>
      </w:pPr>
      <w:r>
        <w:rPr>
          <w:b/>
          <w:color w:val="1F3864"/>
          <w:sz w:val="23"/>
        </w:rPr>
        <w:t>Subex</w:t>
      </w:r>
      <w:r>
        <w:rPr>
          <w:color w:val="595959"/>
          <w:sz w:val="19"/>
        </w:rPr>
        <w:t xml:space="preserve">   Dec 2019 - Oct 2021</w:t>
      </w:r>
    </w:p>
    <w:p>
      <w:pPr>
        <w:spacing w:after="40"/>
      </w:pPr>
      <w:r>
        <w:rPr>
          <w:i/>
          <w:sz w:val="21"/>
        </w:rPr>
        <w:t>Principal Consultant - Business Consulting</w:t>
      </w:r>
    </w:p>
    <w:p>
      <w:pPr>
        <w:spacing w:after="40"/>
      </w:pPr>
      <w:r>
        <w:rPr>
          <w:i/>
          <w:color w:val="595959"/>
          <w:sz w:val="19"/>
        </w:rPr>
        <w:t>International Telecom Operators - RAFM Consulting &amp; Tool Enablement</w:t>
      </w:r>
    </w:p>
    <w:p>
      <w:pPr>
        <w:pStyle w:val="ListBullet"/>
        <w:spacing w:after="40"/>
      </w:pPr>
      <w:r>
        <w:rPr>
          <w:b/>
          <w:sz w:val="21"/>
        </w:rPr>
        <w:t xml:space="preserve">Finance-Adjacent Controls Delivery: </w:t>
      </w:r>
      <w:r>
        <w:rPr>
          <w:b w:val="0"/>
          <w:sz w:val="21"/>
        </w:rPr>
        <w:t>Delivered Revenue Assurance &amp; Fraud Management consulting across international operators; ran stakeholder workshops, requirements gathering, and control design directly analogous to financial reporting/GL controls work.</w:t>
      </w:r>
    </w:p>
    <w:p>
      <w:pPr>
        <w:spacing w:before="160"/>
      </w:pPr>
      <w:r>
        <w:rPr>
          <w:b/>
          <w:color w:val="1F3864"/>
          <w:sz w:val="23"/>
        </w:rPr>
        <w:t>Deloitte India Advisory</w:t>
      </w:r>
      <w:r>
        <w:rPr>
          <w:color w:val="595959"/>
          <w:sz w:val="19"/>
        </w:rPr>
        <w:t xml:space="preserve">   Feb 2018 - Dec 2019</w:t>
      </w:r>
    </w:p>
    <w:p>
      <w:pPr>
        <w:spacing w:after="40"/>
      </w:pPr>
      <w:r>
        <w:rPr>
          <w:i/>
          <w:sz w:val="21"/>
        </w:rPr>
        <w:t>Deputy Manager - Forensics &amp;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Multi-Country Programme Governance: </w:t>
      </w:r>
      <w:r>
        <w:rPr>
          <w:b w:val="0"/>
          <w:sz w:val="21"/>
        </w:rPr>
        <w:t>Delivered engagements exceeding Rs 15 Cr across South Africa, Qatar, Saudi Arabia, and India; owned project plans, governance, and delivery cadence in a large matrix organisation.</w:t>
      </w:r>
    </w:p>
    <w:p>
      <w:pPr>
        <w:pStyle w:val="ListBullet"/>
        <w:spacing w:after="40"/>
      </w:pPr>
      <w:r>
        <w:rPr>
          <w:b/>
          <w:sz w:val="21"/>
        </w:rPr>
        <w:t xml:space="preserve">Finance &amp; Controls Audit: </w:t>
      </w:r>
      <w:r>
        <w:rPr>
          <w:b w:val="0"/>
          <w:sz w:val="21"/>
        </w:rPr>
        <w:t>Revenue Assurance System Audit support for Ooredoo Qatar - defined project plans, SLAs/OLAs, and reviewed regulatory accounting drivers; assisted WABCO Internal Audit team replacing spreadsheet-driven scrap management with governed workflows.</w:t>
      </w:r>
    </w:p>
    <w:p>
      <w:pPr>
        <w:pStyle w:val="ListBullet"/>
        <w:spacing w:after="40"/>
      </w:pPr>
      <w:r>
        <w:rPr>
          <w:b/>
          <w:sz w:val="21"/>
        </w:rPr>
        <w:t xml:space="preserve">Large-Scale Programme Coordination: </w:t>
      </w:r>
      <w:r>
        <w:rPr>
          <w:b w:val="0"/>
          <w:sz w:val="21"/>
        </w:rPr>
        <w:t>Supported a major Vodafone forensic programme spanning 17 countries - investigations, controls, and consequence management.</w:t>
      </w:r>
    </w:p>
    <w:p>
      <w:pPr>
        <w:spacing w:before="160"/>
      </w:pPr>
      <w:r>
        <w:rPr>
          <w:b/>
          <w:color w:val="1F3864"/>
          <w:sz w:val="23"/>
        </w:rPr>
        <w:t>Ernst &amp; Young LLP</w:t>
      </w:r>
      <w:r>
        <w:rPr>
          <w:color w:val="595959"/>
          <w:sz w:val="19"/>
        </w:rPr>
        <w:t xml:space="preserve">   Sep 2015 - Jan 2018</w:t>
      </w:r>
    </w:p>
    <w:p>
      <w:pPr>
        <w:spacing w:after="40"/>
      </w:pPr>
      <w:r>
        <w:rPr>
          <w:i/>
          <w:sz w:val="21"/>
        </w:rPr>
        <w:t>Consultant -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Finance Function Audit: </w:t>
      </w:r>
      <w:r>
        <w:rPr>
          <w:b w:val="0"/>
          <w:sz w:val="21"/>
        </w:rPr>
        <w:t>Internal Audit team member auditing the RAFM (revenue/finance controls) function of Mobily Riyadh; delivered consulting engagements with cumulative exposure exceeding Rs 10 Cr for Middle East telecom clients.</w:t>
      </w:r>
    </w:p>
    <w:p>
      <w:pPr>
        <w:pStyle w:val="ListBullet"/>
        <w:spacing w:after="40"/>
      </w:pPr>
      <w:r>
        <w:rPr>
          <w:b/>
          <w:sz w:val="21"/>
        </w:rPr>
        <w:t xml:space="preserve">Process Re-engineering: </w:t>
      </w:r>
      <w:r>
        <w:rPr>
          <w:b w:val="0"/>
          <w:sz w:val="21"/>
        </w:rPr>
        <w:t>Led a process re-engineering initiative for a public sector Terrestrial Radio provider in Dubai.</w:t>
      </w:r>
    </w:p>
    <w:p>
      <w:r>
        <w:rPr>
          <w:color w:val="595959"/>
          <w:sz w:val="19"/>
        </w:rPr>
        <w:t>Earlier: KPMG India (Associate Consultant, Apr 2014-Aug 2015) - Fraud Risk assessment for Reliance Comm., Anti Bribery &amp; Corruption investigations/SOP building for HSBC, Crisil.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EDUCATION &amp; CERTIFICATIONS</w:t>
      </w:r>
    </w:p>
    <w:p>
      <w:pPr>
        <w:pStyle w:val="ListBullet"/>
        <w:spacing w:after="40"/>
      </w:pPr>
      <w:r>
        <w:rPr>
          <w:b w:val="0"/>
          <w:sz w:val="21"/>
        </w:rPr>
        <w:t>MBA - Systems &amp; Finance,</w:t>
      </w:r>
      <w:r>
        <w:rPr>
          <w:b w:val="0"/>
          <w:sz w:val="21"/>
        </w:rPr>
        <w:t xml:space="preserve"> Symbiosis International University</w:t>
      </w:r>
    </w:p>
    <w:p>
      <w:pPr>
        <w:pStyle w:val="ListBullet"/>
        <w:spacing w:after="40"/>
      </w:pPr>
      <w:r>
        <w:rPr>
          <w:b w:val="0"/>
          <w:sz w:val="21"/>
        </w:rPr>
        <w:t>B.E. - Electronics &amp; Telecommunications,</w:t>
      </w:r>
      <w:r>
        <w:rPr>
          <w:b w:val="0"/>
          <w:sz w:val="21"/>
        </w:rPr>
        <w:t xml:space="preserve"> Goa University</w:t>
      </w:r>
    </w:p>
    <w:p>
      <w:pPr>
        <w:pStyle w:val="ListBullet"/>
        <w:spacing w:after="40"/>
      </w:pPr>
      <w:r>
        <w:rPr>
          <w:b/>
          <w:sz w:val="21"/>
        </w:rPr>
        <w:t>Certifications:</w:t>
      </w:r>
      <w:r>
        <w:rPr>
          <w:b w:val="0"/>
          <w:sz w:val="21"/>
        </w:rPr>
        <w:t xml:space="preserve"> AI-Empowered SAFe 6 PO/PM - Career Essentials in Generative AI (Microsoft &amp; LinkedIn) - Project Management (Google) - Agile Design Thinking - ITIL V3 Foundation - BCMS ISO 22301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