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Senior Manager, Managed Services PMO | Delivery Governance | Digital Business Transformation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Delivery governance and PMO leader with 14+ years across PwC, Accenture, Deloitte, EY and KPMG, ready to step up to Senior Manager. Currently Manager - Digital Business Transformation at PwC, running programme delivery governance, SLA/KPI tracking, and executive reporting for a live enterprise managed-services engagement (Mobily Infotech). Proven multi-country delivery governance track record (Rs 30 Cr+ portfolio, 15+ countries, 40+ team members led) and direct PwC internal delivery-model fluency from a live Manager-level engagement - directly transferable to leading a Managed Services PMO function.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PMO / delivery governance leadership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Leads programme delivery governance, SLA/KPI tracking, and executive reporting for a live PwC managed-services engagement (Mobily Infotech)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Senior Manager-level scope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years, currently Manager at PwC governing Rs 30 Cr+ portfolio; ready for Senior Manager scope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PwC internal delivery-model fluency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Proven track record operating inside PwC's governance, SteerCo, and client delivery standards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Multi-country / multi-vendor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15+ countries engaged, vendor evaluation and delivery management across 5-system integrations (Accenture)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Executive &amp; SteerCo reporting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C-suite stakeholder governance across 30+ senior stakeholders via SteerCo and executive reporting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PMO Leadership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Managed Services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Delivery Governance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SLA &amp; KPI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Multi-Country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&amp; Controls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Delivery Governance: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pStyle w:val="ListBullet"/>
        <w:spacing w:after="40"/>
      </w:pPr>
      <w:r>
        <w:rPr>
          <w:b/>
          <w:sz w:val="21"/>
        </w:rPr>
        <w:t xml:space="preserve">Tooling &amp; Process: </w:t>
      </w:r>
      <w:r>
        <w:rPr>
          <w:b w:val="0"/>
          <w:sz w:val="21"/>
        </w:rPr>
        <w:t>Fine-tuned fraud controls and improved fraud coverage in tooling environments based on scenario analysis.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Financial Controls &amp; Audit: </w:t>
      </w:r>
      <w:r>
        <w:rPr>
          <w:b w:val="0"/>
          <w:sz w:val="21"/>
        </w:rPr>
        <w:t>Revenue Assurance System Audit support for Ooredoo Qatar - defined project plans, SLAs/OLAs, and reviewed regulatory accounting drivers.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Financial/Regulatory Audit: </w:t>
      </w:r>
      <w:r>
        <w:rPr>
          <w:b w:val="0"/>
          <w:sz w:val="21"/>
        </w:rPr>
        <w:t>Member of the Internal Audit team auditing the RAFM function of Mobily Riyadh.</w:t>
      </w:r>
    </w:p>
    <w:p>
      <w:r>
        <w:rPr>
          <w:color w:val="595959"/>
          <w:sz w:val="19"/>
        </w:rPr>
        <w:t>Earlier: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