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Manager, Technology Strategy &amp; Transformation | Agile/Scrum Delivery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Technology transformation Manager with 14+ years across PwC, Accenture, Deloitte, EY and KPMG, specializing in Agile/Scrum-based delivery of enterprise application ecosystems and digital transformation initiatives. Currently leads programme delivery and governance for monitoring, dashboarding and operational visibility at PwC (Mobily Infotech), and previously delivered a 5-system enterprise integration (Salesforce, ServiceNow, billing, mediation) as Business Integration Architect Specialist at Accenture. Rs 30 Cr+ portfolio exposure, 40+ team members led, 15+ countries engaged - directly relevant to AMS support &amp; delivery at enterprise scale.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Agile/Scrum &amp; SDLC delivery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Runs Agile backlog/KPI governance at PwC; AI-Empowered SAFe 6 PO/PM certified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Enterprise application ecosystems / cloud integrations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5-system integration (Salesforce, ServiceNow, mediation, billing) for Telstra NMS replacement at Accenture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Digital transformation initiatives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OSS/BSS landscape assessment &amp; revenue protection roadmap for British Telecom; Elastic search orchestration for Lead-2-Cash at PwC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AMS / ongoing delivery &amp; governance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Leads ongoing programme delivery, SLAs, and operational KPI governance for a live enterprise client (Mobily Infotech)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Stakeholder &amp; vendor management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SteerCo/executive reporting to 30+ senior stakeholders; vendor evaluation and delivery management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Agile/Scrum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AMS Support &amp;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Technology Strategy &amp;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Enterprise Application Integration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Cloud &amp; Platform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SLA &amp; KPI Governance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Business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&amp; Controls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&amp; Requirements Management: </w:t>
      </w:r>
      <w:r>
        <w:rPr>
          <w:b w:val="0"/>
          <w:sz w:val="21"/>
        </w:rPr>
        <w:t>Requirement elicitation, coordination with IT &amp; Network teams, and stakeholder management across a 17-country Vodafone forensic programme.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process re-engineering initiative for a public sector Terrestrial Radio provider in Dubai.</w:t>
      </w:r>
    </w:p>
    <w:p>
      <w:r>
        <w:rPr>
          <w:color w:val="595959"/>
          <w:sz w:val="19"/>
        </w:rPr>
        <w:t>Earlier: Subex (Principal Consultant, Dec 2019-Oct 2021);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