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864"/>
          <w:sz w:val="44"/>
        </w:rPr>
        <w:t>Saishanker Santosh Teli</w:t>
      </w:r>
    </w:p>
    <w:p>
      <w:pPr>
        <w:spacing w:after="40"/>
      </w:pPr>
      <w:r>
        <w:rPr>
          <w:i/>
          <w:color w:val="2E75B6"/>
          <w:sz w:val="24"/>
        </w:rPr>
        <w:t>Business Program Manager | Vendor-Led Program Delivery | Global Portfolio Governance</w:t>
      </w:r>
    </w:p>
    <w:p>
      <w:pPr>
        <w:spacing w:after="120"/>
      </w:pPr>
      <w:r>
        <w:rPr>
          <w:color w:val="595959"/>
          <w:sz w:val="19"/>
        </w:rPr>
        <w:t>saishanker.sitm@gmail.com  |  +91 96198 47244  |  linkedin.com/in/saishanker-teli-ai-driven-telecom-sme  |  Bengaluru, India</w:t>
      </w:r>
    </w:p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EXECUTIVE SUMMARY</w:t>
      </w:r>
    </w:p>
    <w:p>
      <w:r>
        <w:rPr>
          <w:sz w:val="21"/>
        </w:rPr>
        <w:t>Programme delivery and governance leader with 14+ years across PwC, Accenture, Deloitte, EY and KPMG, with a proven track record managing end-to-end delivery across multi-vendor, multi-country portfolios. Led vendor evaluation and cross-system integration (Salesforce, ServiceNow, 5 platforms) for Telstra International's NMS replacement at Accenture, and currently governs programme delivery, KPIs and SLAs for a live enterprise engagement at PwC. Experience spans 15+ countries and Rs 30 Cr+ portfolio exposure - directly transferable to managing a global, vendor-led programme portfolio spanning sales, acquisition, solutions, and renewals functions.</w:t>
      </w:r>
    </w:p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KEY DIFFERENTIATORS ALIGNED TO THE ROLE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Selection Criteria</w:t>
            </w:r>
          </w:p>
        </w:tc>
        <w:tc>
          <w:tcPr>
            <w:tcW w:type="dxa" w:w="504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Saishanker's Proof Point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End-to-end vendor-led programme delivery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Led vendor evaluation and cross-system integration across 5 platforms for Telstra International's NMS replacement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Global / multi-country portfolio management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15+ countries engaged, Rs 30 Cr+ cumulative portfolio exposure across Big 4 and product organisations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KPI / SLA / renewals-adjacent governance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Currently owns KPI and SLA governance for a live enterprise engagement at PwC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Cross-functional stakeholder coordination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Partners with business and technology stakeholders to prioritize dashboards, operational KPIs and SLAs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Big 4 delivery discipline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14+ years of structured programme governance, SteerCo reporting, and delivery cadence ownership</w:t>
            </w:r>
          </w:p>
        </w:tc>
      </w:tr>
    </w:tbl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CORE COMPETENCIES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sz w:val="19"/>
              </w:rPr>
              <w:t>- Vendor-Led Program Management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Global Portfolio Delivery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Cross-Functional Stakeholder Coordination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- KPI &amp; SLA Governance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Vendor Evaluation &amp; Management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Multi-Country Delivery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- C-Suite Stakeholder Governance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Requirements &amp; Process Design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Big 4 Consulting Delivery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- SteerCo / Executive Reporting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Risk &amp; Controls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Delivery Cadence Ownership</w:t>
            </w:r>
          </w:p>
        </w:tc>
      </w:tr>
    </w:tbl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PROFESSIONAL EXPERIENCE</w:t>
      </w:r>
    </w:p>
    <w:p>
      <w:pPr>
        <w:spacing w:before="160"/>
      </w:pPr>
      <w:r>
        <w:rPr>
          <w:b/>
          <w:color w:val="1F3864"/>
          <w:sz w:val="23"/>
        </w:rPr>
        <w:t>PwC India</w:t>
      </w:r>
      <w:r>
        <w:rPr>
          <w:color w:val="595959"/>
          <w:sz w:val="19"/>
        </w:rPr>
        <w:t xml:space="preserve">   Jan 2025 - Present</w:t>
      </w:r>
    </w:p>
    <w:p>
      <w:pPr>
        <w:spacing w:after="40"/>
      </w:pPr>
      <w:r>
        <w:rPr>
          <w:i/>
          <w:sz w:val="21"/>
        </w:rPr>
        <w:t>Manager - Digital Business Transformation | Intelligent Digital Enterprise</w:t>
      </w:r>
    </w:p>
    <w:p>
      <w:pPr>
        <w:spacing w:after="40"/>
      </w:pPr>
      <w:r>
        <w:rPr>
          <w:i/>
          <w:color w:val="595959"/>
          <w:sz w:val="19"/>
        </w:rPr>
        <w:t>Mobily Infotech - Monitoring, Dashboarding &amp; Telecom Operations</w:t>
      </w:r>
    </w:p>
    <w:p>
      <w:pPr>
        <w:pStyle w:val="ListBullet"/>
        <w:spacing w:after="40"/>
      </w:pPr>
      <w:r>
        <w:rPr>
          <w:b/>
          <w:sz w:val="21"/>
        </w:rPr>
        <w:t xml:space="preserve">Programme Delivery: </w:t>
      </w:r>
      <w:r>
        <w:rPr>
          <w:b w:val="0"/>
          <w:sz w:val="21"/>
        </w:rPr>
        <w:t>Lead programme delivery and governance for monitoring and operational visibility, prioritizing backlog against business and technology stakeholder needs.</w:t>
      </w:r>
    </w:p>
    <w:p>
      <w:pPr>
        <w:pStyle w:val="ListBullet"/>
        <w:spacing w:after="40"/>
      </w:pPr>
      <w:r>
        <w:rPr>
          <w:b/>
          <w:sz w:val="21"/>
        </w:rPr>
        <w:t xml:space="preserve">Vendor &amp; Stakeholder Coordination: </w:t>
      </w:r>
      <w:r>
        <w:rPr>
          <w:b w:val="0"/>
          <w:sz w:val="21"/>
        </w:rPr>
        <w:t>Partner with business and technology stakeholders to prioritize dashboards, operational KPIs and SLAs.</w:t>
      </w:r>
    </w:p>
    <w:p>
      <w:pPr>
        <w:pStyle w:val="ListBullet"/>
        <w:spacing w:after="40"/>
      </w:pPr>
      <w:r>
        <w:rPr>
          <w:b/>
          <w:sz w:val="21"/>
        </w:rPr>
        <w:t xml:space="preserve">Value Realization: </w:t>
      </w:r>
      <w:r>
        <w:rPr>
          <w:b w:val="0"/>
          <w:sz w:val="21"/>
        </w:rPr>
        <w:t>Supported capacity planning and asset-discovery initiatives contributing to revenue opportunities exceeding Rs 1 Cr.</w:t>
      </w:r>
    </w:p>
    <w:p>
      <w:pPr>
        <w:spacing w:before="160"/>
      </w:pPr>
      <w:r>
        <w:rPr>
          <w:b/>
          <w:color w:val="1F3864"/>
          <w:sz w:val="23"/>
        </w:rPr>
        <w:t>Accenture</w:t>
      </w:r>
      <w:r>
        <w:rPr>
          <w:color w:val="595959"/>
          <w:sz w:val="19"/>
        </w:rPr>
        <w:t xml:space="preserve">   Oct 2021 - Jan 2025</w:t>
      </w:r>
    </w:p>
    <w:p>
      <w:pPr>
        <w:spacing w:after="40"/>
      </w:pPr>
      <w:r>
        <w:rPr>
          <w:i/>
          <w:sz w:val="21"/>
        </w:rPr>
        <w:t>Business Integration Architect Specialist</w:t>
      </w:r>
    </w:p>
    <w:p>
      <w:pPr>
        <w:spacing w:after="40"/>
      </w:pPr>
      <w:r>
        <w:rPr>
          <w:i/>
          <w:color w:val="595959"/>
          <w:sz w:val="19"/>
        </w:rPr>
        <w:t>Telstra International - Legacy Number Management System (NMS) Replacement</w:t>
      </w:r>
    </w:p>
    <w:p>
      <w:pPr>
        <w:pStyle w:val="ListBullet"/>
        <w:spacing w:after="40"/>
      </w:pPr>
      <w:r>
        <w:rPr>
          <w:b/>
          <w:sz w:val="21"/>
        </w:rPr>
        <w:t xml:space="preserve">End-to-End Programme Delivery: </w:t>
      </w:r>
      <w:r>
        <w:rPr>
          <w:b w:val="0"/>
          <w:sz w:val="21"/>
        </w:rPr>
        <w:t>Delivered end-to-end NMS replacement from inception through deployment, leading requirements, process design, and UAT readiness.</w:t>
      </w:r>
    </w:p>
    <w:p>
      <w:pPr>
        <w:pStyle w:val="ListBullet"/>
        <w:spacing w:after="40"/>
      </w:pPr>
      <w:r>
        <w:rPr>
          <w:b/>
          <w:sz w:val="21"/>
        </w:rPr>
        <w:t xml:space="preserve">Cross-System / Cross-Vendor Integration: </w:t>
      </w:r>
      <w:r>
        <w:rPr>
          <w:b w:val="0"/>
          <w:sz w:val="21"/>
        </w:rPr>
        <w:t>Led integration across Salesforce, ServiceNow, mediation, billing, and supporting enterprise platforms (5 systems), including vendor evaluation.</w:t>
      </w:r>
    </w:p>
    <w:p>
      <w:pPr>
        <w:pStyle w:val="ListBullet"/>
        <w:spacing w:after="40"/>
      </w:pPr>
      <w:r>
        <w:rPr>
          <w:b/>
          <w:sz w:val="21"/>
        </w:rPr>
        <w:t xml:space="preserve">Future-State Design: </w:t>
      </w:r>
      <w:r>
        <w:rPr>
          <w:b w:val="0"/>
          <w:sz w:val="21"/>
        </w:rPr>
        <w:t>Created capability assessments, future-state operating models, and migration strategies.</w:t>
      </w:r>
    </w:p>
    <w:p>
      <w:pPr>
        <w:spacing w:before="160"/>
      </w:pPr>
      <w:r>
        <w:rPr>
          <w:b/>
          <w:color w:val="1F3864"/>
          <w:sz w:val="23"/>
        </w:rPr>
        <w:t>Subex</w:t>
      </w:r>
      <w:r>
        <w:rPr>
          <w:color w:val="595959"/>
          <w:sz w:val="19"/>
        </w:rPr>
        <w:t xml:space="preserve">   Dec 2019 - Oct 2021</w:t>
      </w:r>
    </w:p>
    <w:p>
      <w:pPr>
        <w:spacing w:after="40"/>
      </w:pPr>
      <w:r>
        <w:rPr>
          <w:i/>
          <w:sz w:val="21"/>
        </w:rPr>
        <w:t>Principal Consultant - Business Consulting</w:t>
      </w:r>
    </w:p>
    <w:p>
      <w:pPr>
        <w:spacing w:after="40"/>
      </w:pPr>
      <w:r>
        <w:rPr>
          <w:i/>
          <w:color w:val="595959"/>
          <w:sz w:val="19"/>
        </w:rPr>
        <w:t>International Telecom Operators - RAFM Consulting &amp; Tool Enablement</w:t>
      </w:r>
    </w:p>
    <w:p>
      <w:pPr>
        <w:pStyle w:val="ListBullet"/>
        <w:spacing w:after="40"/>
      </w:pPr>
      <w:r>
        <w:rPr>
          <w:b/>
          <w:sz w:val="21"/>
        </w:rPr>
        <w:t xml:space="preserve">Programme &amp; Stakeholder Governance: </w:t>
      </w:r>
      <w:r>
        <w:rPr>
          <w:b w:val="0"/>
          <w:sz w:val="21"/>
        </w:rPr>
        <w:t>Delivered RAFM consulting across international operators; ran stakeholder workshops, requirements gathering, and control design.</w:t>
      </w:r>
    </w:p>
    <w:p>
      <w:pPr>
        <w:spacing w:before="160"/>
      </w:pPr>
      <w:r>
        <w:rPr>
          <w:b/>
          <w:color w:val="1F3864"/>
          <w:sz w:val="23"/>
        </w:rPr>
        <w:t>Deloitte India Advisory</w:t>
      </w:r>
      <w:r>
        <w:rPr>
          <w:color w:val="595959"/>
          <w:sz w:val="19"/>
        </w:rPr>
        <w:t xml:space="preserve">   Feb 2018 - Dec 2019</w:t>
      </w:r>
    </w:p>
    <w:p>
      <w:pPr>
        <w:spacing w:after="40"/>
      </w:pPr>
      <w:r>
        <w:rPr>
          <w:i/>
          <w:sz w:val="21"/>
        </w:rPr>
        <w:t>Deputy Manager - Forensics &amp; Risk Advisory</w:t>
      </w:r>
    </w:p>
    <w:p>
      <w:pPr>
        <w:pStyle w:val="ListBullet"/>
        <w:spacing w:after="40"/>
      </w:pPr>
      <w:r>
        <w:rPr>
          <w:b/>
          <w:sz w:val="21"/>
        </w:rPr>
        <w:t xml:space="preserve">Multi-Country Programme Governance: </w:t>
      </w:r>
      <w:r>
        <w:rPr>
          <w:b w:val="0"/>
          <w:sz w:val="21"/>
        </w:rPr>
        <w:t>Delivered engagements exceeding Rs 15 Cr across South Africa, Qatar, Saudi Arabia, and India; owned project plans, governance, and delivery cadence.</w:t>
      </w:r>
    </w:p>
    <w:p>
      <w:pPr>
        <w:pStyle w:val="ListBullet"/>
        <w:spacing w:after="40"/>
      </w:pPr>
      <w:r>
        <w:rPr>
          <w:b/>
          <w:sz w:val="21"/>
        </w:rPr>
        <w:t xml:space="preserve">Large-Scale Programme Coordination: </w:t>
      </w:r>
      <w:r>
        <w:rPr>
          <w:b w:val="0"/>
          <w:sz w:val="21"/>
        </w:rPr>
        <w:t>Supported a major Vodafone forensic programme spanning 17 countries - investigations, controls, and consequence management.</w:t>
      </w:r>
    </w:p>
    <w:p>
      <w:pPr>
        <w:spacing w:before="160"/>
      </w:pPr>
      <w:r>
        <w:rPr>
          <w:b/>
          <w:color w:val="1F3864"/>
          <w:sz w:val="23"/>
        </w:rPr>
        <w:t>Ernst &amp; Young LLP</w:t>
      </w:r>
      <w:r>
        <w:rPr>
          <w:color w:val="595959"/>
          <w:sz w:val="19"/>
        </w:rPr>
        <w:t xml:space="preserve">   Sep 2015 - Jan 2018</w:t>
      </w:r>
    </w:p>
    <w:p>
      <w:pPr>
        <w:spacing w:after="40"/>
      </w:pPr>
      <w:r>
        <w:rPr>
          <w:i/>
          <w:sz w:val="21"/>
        </w:rPr>
        <w:t>Consultant - Risk Advisory</w:t>
      </w:r>
    </w:p>
    <w:p>
      <w:pPr>
        <w:pStyle w:val="ListBullet"/>
        <w:spacing w:after="40"/>
      </w:pPr>
      <w:r>
        <w:rPr>
          <w:b/>
          <w:sz w:val="21"/>
        </w:rPr>
        <w:t xml:space="preserve">Client Delivery: </w:t>
      </w:r>
      <w:r>
        <w:rPr>
          <w:b w:val="0"/>
          <w:sz w:val="21"/>
        </w:rPr>
        <w:t>Delivered consulting engagements with cumulative exposure exceeding Rs 10 Cr for Mobily Riyadh and Middle East telecom clients.</w:t>
      </w:r>
    </w:p>
    <w:p>
      <w:r>
        <w:rPr>
          <w:color w:val="595959"/>
          <w:sz w:val="19"/>
        </w:rPr>
        <w:t>Earlier: KPMG India (Associate Consultant, Apr 2014-Aug 2015).</w:t>
      </w:r>
    </w:p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EDUCATION &amp; CERTIFICATIONS</w:t>
      </w:r>
    </w:p>
    <w:p>
      <w:pPr>
        <w:pStyle w:val="ListBullet"/>
        <w:spacing w:after="40"/>
      </w:pPr>
      <w:r>
        <w:rPr>
          <w:b w:val="0"/>
          <w:sz w:val="21"/>
        </w:rPr>
        <w:t>MBA - Systems &amp; Finance,</w:t>
      </w:r>
      <w:r>
        <w:rPr>
          <w:b w:val="0"/>
          <w:sz w:val="21"/>
        </w:rPr>
        <w:t xml:space="preserve"> Symbiosis International University</w:t>
      </w:r>
    </w:p>
    <w:p>
      <w:pPr>
        <w:pStyle w:val="ListBullet"/>
        <w:spacing w:after="40"/>
      </w:pPr>
      <w:r>
        <w:rPr>
          <w:b w:val="0"/>
          <w:sz w:val="21"/>
        </w:rPr>
        <w:t>B.E. - Electronics &amp; Telecommunications,</w:t>
      </w:r>
      <w:r>
        <w:rPr>
          <w:b w:val="0"/>
          <w:sz w:val="21"/>
        </w:rPr>
        <w:t xml:space="preserve"> Goa University</w:t>
      </w:r>
    </w:p>
    <w:p>
      <w:pPr>
        <w:pStyle w:val="ListBullet"/>
        <w:spacing w:after="40"/>
      </w:pPr>
      <w:r>
        <w:rPr>
          <w:b/>
          <w:sz w:val="21"/>
        </w:rPr>
        <w:t>Certifications:</w:t>
      </w:r>
      <w:r>
        <w:rPr>
          <w:b w:val="0"/>
          <w:sz w:val="21"/>
        </w:rPr>
        <w:t xml:space="preserve"> AI-Empowered SAFe 6 PO/PM - Career Essentials in Generative AI (Microsoft &amp; LinkedIn) - Project Management (Google) - Agile Design Thinking - ITIL V3 Foundation - BCMS ISO 22301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