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4"/>
        </w:rPr>
        <w:t>Saishanker Santosh Teli</w:t>
      </w:r>
    </w:p>
    <w:p>
      <w:pPr>
        <w:spacing w:after="40"/>
      </w:pPr>
      <w:r>
        <w:rPr>
          <w:i/>
          <w:color w:val="2E75B6"/>
          <w:sz w:val="24"/>
        </w:rPr>
        <w:t>Manager, Finance &amp; Digital Transformation | Revenue Assurance | Big 4 Consulting</w:t>
      </w:r>
    </w:p>
    <w:p>
      <w:pPr>
        <w:spacing w:after="120"/>
      </w:pPr>
      <w:r>
        <w:rPr>
          <w:color w:val="595959"/>
          <w:sz w:val="19"/>
        </w:rPr>
        <w:t>saishanker.sitm@gmail.com  |  +91 96198 47244  |  linkedin.com/in/saishanker-teli-ai-driven-telecom-sme  |  Bengaluru, India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EXECUTIVE SUMMARY</w:t>
      </w:r>
    </w:p>
    <w:p>
      <w:r>
        <w:rPr>
          <w:sz w:val="21"/>
        </w:rPr>
        <w:t>Finance and digital transformation Manager with 14+ years across PwC, Accenture, Deloitte, EY and KPMG, with a specific grounding in Revenue Assurance &amp; Fraud Management (RAFM) - financial controls, regulatory accounting review, and audit-grade precision applied to technology-enabled transformation. Returning to EY, where prior Risk Advisory experience (2015-2018) included Revenue Assurance System Audit support for Ooredoo Qatar and internal audit of the RAFM function for Mobily Riyadh. Currently Manager - Digital Business Transformation at PwC, governing Rs 30 Cr+ portfolio delivery and Rs 1 Cr+ in revenue-generating initiatives.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KEY DIFFERENTIATORS ALIGNED TO THE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Selection Criteria</w:t>
            </w:r>
          </w:p>
        </w:tc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Saishanker's Proof Point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Finance Transformation experience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Revenue Assurance System Audit support for Ooredoo Qatar (SLAs/OLAs, regulatory accounting drivers); RAFM audit for Mobily Riyadh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Digital Transformation delivery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Currently Manager - Digital Business Transformation at PwC; OSS/BSS and revenue protection assessment for British Telecom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Analytics-driven, audit-grade precision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14+ years in Telecom Forensics - fraud detection, SimBox investigation (MTN South Africa), Anti Bribery &amp; Corruption investigations (HSBC, Crisil)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Emerging AI capabilities exposure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AI-Empowered SAFe 6 PO/PM; GenAI certification (Microsoft &amp; LinkedIn); championing practical GenAI adoption in transformation programmes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Big 4 / EY re-entry fit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Prior EY Consultant, Risk Advisory (Sep 2015-Jan 2018) - direct cultural and process familiarity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CORE COMPETENCIES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9"/>
              </w:rPr>
              <w:t>- Finance Transformation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Digital Transformation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Revenue Assurance &amp; Fraud Management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Financial Controls &amp; Audit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Regulatory Accounting Review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GenAI Adoption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Big 4 Consulting Delivery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C-Suite Stakeholder Governance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Business Transformation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Requirements &amp; Process Design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SteerCo / Executive Reporting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Risk Advisory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PROFESSIONAL EXPERIENCE</w:t>
      </w:r>
    </w:p>
    <w:p>
      <w:pPr>
        <w:spacing w:before="160"/>
      </w:pPr>
      <w:r>
        <w:rPr>
          <w:b/>
          <w:color w:val="1F3864"/>
          <w:sz w:val="23"/>
        </w:rPr>
        <w:t>PwC India</w:t>
      </w:r>
      <w:r>
        <w:rPr>
          <w:color w:val="595959"/>
          <w:sz w:val="19"/>
        </w:rPr>
        <w:t xml:space="preserve">   Jan 2025 - Present</w:t>
      </w:r>
    </w:p>
    <w:p>
      <w:pPr>
        <w:spacing w:after="40"/>
      </w:pPr>
      <w:r>
        <w:rPr>
          <w:i/>
          <w:sz w:val="21"/>
        </w:rPr>
        <w:t>Manager - Digital Business Transformation | Intelligent Digital Enterprise</w:t>
      </w:r>
    </w:p>
    <w:p>
      <w:pPr>
        <w:spacing w:after="40"/>
      </w:pPr>
      <w:r>
        <w:rPr>
          <w:i/>
          <w:color w:val="595959"/>
          <w:sz w:val="19"/>
        </w:rPr>
        <w:t>Mobily Infotech - Monitoring, Dashboarding &amp; Telecom Operations</w:t>
      </w:r>
    </w:p>
    <w:p>
      <w:pPr>
        <w:pStyle w:val="ListBullet"/>
        <w:spacing w:after="40"/>
      </w:pPr>
      <w:r>
        <w:rPr>
          <w:b/>
          <w:sz w:val="21"/>
        </w:rPr>
        <w:t xml:space="preserve">Product Ownership: </w:t>
      </w:r>
      <w:r>
        <w:rPr>
          <w:b w:val="0"/>
          <w:sz w:val="21"/>
        </w:rPr>
        <w:t>Lead programme delivery and governance for monitoring and operational visibility, prioritizing backlog against business and technology stakeholder needs.</w:t>
      </w:r>
    </w:p>
    <w:p>
      <w:pPr>
        <w:pStyle w:val="ListBullet"/>
        <w:spacing w:after="40"/>
      </w:pPr>
      <w:r>
        <w:rPr>
          <w:b/>
          <w:sz w:val="21"/>
        </w:rPr>
        <w:t xml:space="preserve">Digital Product Delivery: </w:t>
      </w:r>
      <w:r>
        <w:rPr>
          <w:b w:val="0"/>
          <w:sz w:val="21"/>
        </w:rPr>
        <w:t>Led Nextgen initiative - Elastic search orchestration for Lead-2-Cash flow - from concept to delivery.</w:t>
      </w:r>
    </w:p>
    <w:p>
      <w:pPr>
        <w:pStyle w:val="ListBullet"/>
        <w:spacing w:after="40"/>
      </w:pPr>
      <w:r>
        <w:rPr>
          <w:b/>
          <w:sz w:val="21"/>
        </w:rPr>
        <w:t xml:space="preserve">Stakeholder Partnership: </w:t>
      </w:r>
      <w:r>
        <w:rPr>
          <w:b w:val="0"/>
          <w:sz w:val="21"/>
        </w:rPr>
        <w:t>Partner with business and technology stakeholders to prioritize dashboards, operational KPIs and SLAs.</w:t>
      </w:r>
    </w:p>
    <w:p>
      <w:pPr>
        <w:pStyle w:val="ListBullet"/>
        <w:spacing w:after="40"/>
      </w:pPr>
      <w:r>
        <w:rPr>
          <w:b/>
          <w:sz w:val="21"/>
        </w:rPr>
        <w:t xml:space="preserve">Value Realization: </w:t>
      </w:r>
      <w:r>
        <w:rPr>
          <w:b w:val="0"/>
          <w:sz w:val="21"/>
        </w:rPr>
        <w:t>Supported capacity planning and asset-discovery initiatives contributing to revenue opportunities exceeding Rs 1 Cr.</w:t>
      </w:r>
    </w:p>
    <w:p>
      <w:pPr>
        <w:spacing w:before="160"/>
      </w:pPr>
      <w:r>
        <w:rPr>
          <w:b/>
          <w:color w:val="1F3864"/>
          <w:sz w:val="23"/>
        </w:rPr>
        <w:t>Accenture</w:t>
      </w:r>
      <w:r>
        <w:rPr>
          <w:color w:val="595959"/>
          <w:sz w:val="19"/>
        </w:rPr>
        <w:t xml:space="preserve">   Oct 2021 - Jan 2025</w:t>
      </w:r>
    </w:p>
    <w:p>
      <w:pPr>
        <w:spacing w:after="40"/>
      </w:pPr>
      <w:r>
        <w:rPr>
          <w:i/>
          <w:sz w:val="21"/>
        </w:rPr>
        <w:t>Business Integration Architect Specialist</w:t>
      </w:r>
    </w:p>
    <w:p>
      <w:pPr>
        <w:spacing w:after="40"/>
      </w:pPr>
      <w:r>
        <w:rPr>
          <w:i/>
          <w:color w:val="595959"/>
          <w:sz w:val="19"/>
        </w:rPr>
        <w:t>Telstra International - Legacy Number Management System (NMS) Replacement</w:t>
      </w:r>
    </w:p>
    <w:p>
      <w:pPr>
        <w:pStyle w:val="ListBullet"/>
        <w:spacing w:after="40"/>
      </w:pPr>
      <w:r>
        <w:rPr>
          <w:b/>
          <w:sz w:val="21"/>
        </w:rPr>
        <w:t xml:space="preserve">End-to-End Delivery: </w:t>
      </w:r>
      <w:r>
        <w:rPr>
          <w:b w:val="0"/>
          <w:sz w:val="21"/>
        </w:rPr>
        <w:t>Delivered end-to-end NMS replacement from inception through deployment, leading requirements, process design, and UAT readiness.</w:t>
      </w:r>
    </w:p>
    <w:p>
      <w:pPr>
        <w:pStyle w:val="ListBullet"/>
        <w:spacing w:after="40"/>
      </w:pPr>
      <w:r>
        <w:rPr>
          <w:b/>
          <w:sz w:val="21"/>
        </w:rPr>
        <w:t xml:space="preserve">Cross-System Integration: </w:t>
      </w:r>
      <w:r>
        <w:rPr>
          <w:b w:val="0"/>
          <w:sz w:val="21"/>
        </w:rPr>
        <w:t>Led integration across Salesforce, ServiceNow, mediation, billing, and supporting enterprise platforms (5 systems).</w:t>
      </w:r>
    </w:p>
    <w:p>
      <w:pPr>
        <w:pStyle w:val="ListBullet"/>
        <w:spacing w:after="40"/>
      </w:pPr>
      <w:r>
        <w:rPr>
          <w:b/>
          <w:sz w:val="21"/>
        </w:rPr>
        <w:t xml:space="preserve">Future-State Design: </w:t>
      </w:r>
      <w:r>
        <w:rPr>
          <w:b w:val="0"/>
          <w:sz w:val="21"/>
        </w:rPr>
        <w:t>Created capability assessments, future-state operating models, migration strategies, and vendor evaluation inputs.</w:t>
      </w:r>
    </w:p>
    <w:p>
      <w:pPr>
        <w:spacing w:before="160"/>
      </w:pPr>
      <w:r>
        <w:rPr>
          <w:b/>
          <w:color w:val="1F3864"/>
          <w:sz w:val="23"/>
        </w:rPr>
        <w:t>Deloitte India Advisory</w:t>
      </w:r>
      <w:r>
        <w:rPr>
          <w:color w:val="595959"/>
          <w:sz w:val="19"/>
        </w:rPr>
        <w:t xml:space="preserve">   Feb 2018 - Dec 2019</w:t>
      </w:r>
    </w:p>
    <w:p>
      <w:pPr>
        <w:spacing w:after="40"/>
      </w:pPr>
      <w:r>
        <w:rPr>
          <w:i/>
          <w:sz w:val="21"/>
        </w:rPr>
        <w:t>Deputy Manager - Forensics &amp;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Multi-Country Delivery: </w:t>
      </w:r>
      <w:r>
        <w:rPr>
          <w:b w:val="0"/>
          <w:sz w:val="21"/>
        </w:rPr>
        <w:t>Delivered engagements exceeding Rs 15 Cr across South Africa, Qatar, Saudi Arabia, and India; owned project plans, governance, and delivery cadence.</w:t>
      </w:r>
    </w:p>
    <w:p>
      <w:pPr>
        <w:pStyle w:val="ListBullet"/>
        <w:spacing w:after="40"/>
      </w:pPr>
      <w:r>
        <w:rPr>
          <w:b/>
          <w:sz w:val="21"/>
        </w:rPr>
        <w:t xml:space="preserve">Stakeholder &amp; Requirements Management: </w:t>
      </w:r>
      <w:r>
        <w:rPr>
          <w:b w:val="0"/>
          <w:sz w:val="21"/>
        </w:rPr>
        <w:t>Requirement elicitation, coordination with IT &amp; Network teams, and stakeholder management across a 17-country Vodafone forensic programme.</w:t>
      </w:r>
    </w:p>
    <w:p>
      <w:pPr>
        <w:spacing w:before="160"/>
      </w:pPr>
      <w:r>
        <w:rPr>
          <w:b/>
          <w:color w:val="1F3864"/>
          <w:sz w:val="23"/>
        </w:rPr>
        <w:t>Ernst &amp; Young LLP</w:t>
      </w:r>
      <w:r>
        <w:rPr>
          <w:color w:val="595959"/>
          <w:sz w:val="19"/>
        </w:rPr>
        <w:t xml:space="preserve">   Sep 2015 - Jan 2018</w:t>
      </w:r>
    </w:p>
    <w:p>
      <w:pPr>
        <w:spacing w:after="40"/>
      </w:pPr>
      <w:r>
        <w:rPr>
          <w:i/>
          <w:sz w:val="21"/>
        </w:rPr>
        <w:t>Consultant -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Client Delivery: </w:t>
      </w:r>
      <w:r>
        <w:rPr>
          <w:b w:val="0"/>
          <w:sz w:val="21"/>
        </w:rPr>
        <w:t>Delivered consulting engagements with cumulative exposure exceeding Rs 10 Cr for Mobily Riyadh and Middle East telecom clients.</w:t>
      </w:r>
    </w:p>
    <w:p>
      <w:pPr>
        <w:pStyle w:val="ListBullet"/>
        <w:spacing w:after="40"/>
      </w:pPr>
      <w:r>
        <w:rPr>
          <w:b/>
          <w:sz w:val="21"/>
        </w:rPr>
        <w:t xml:space="preserve">Process Re-engineering: </w:t>
      </w:r>
      <w:r>
        <w:rPr>
          <w:b w:val="0"/>
          <w:sz w:val="21"/>
        </w:rPr>
        <w:t>Led process re-engineering initiative for a public sector Terrestrial Radio provider in Dubai.</w:t>
      </w:r>
    </w:p>
    <w:p>
      <w:r>
        <w:rPr>
          <w:color w:val="595959"/>
          <w:sz w:val="19"/>
        </w:rPr>
        <w:t>Earlier: Subex (Principal Consultant, Dec 2019-Oct 2021); KPMG India (Associate Consultant, Apr 2014-Aug 2015).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EDUCATION &amp; CERTIFICATIONS</w:t>
      </w:r>
    </w:p>
    <w:p>
      <w:pPr>
        <w:pStyle w:val="ListBullet"/>
        <w:spacing w:after="40"/>
      </w:pPr>
      <w:r>
        <w:rPr>
          <w:b w:val="0"/>
          <w:sz w:val="21"/>
        </w:rPr>
        <w:t>MBA - Systems &amp; Finance,</w:t>
      </w:r>
      <w:r>
        <w:rPr>
          <w:b w:val="0"/>
          <w:sz w:val="21"/>
        </w:rPr>
        <w:t xml:space="preserve"> Symbiosis International University</w:t>
      </w:r>
    </w:p>
    <w:p>
      <w:pPr>
        <w:pStyle w:val="ListBullet"/>
        <w:spacing w:after="40"/>
      </w:pPr>
      <w:r>
        <w:rPr>
          <w:b w:val="0"/>
          <w:sz w:val="21"/>
        </w:rPr>
        <w:t>B.E. - Electronics &amp; Telecommunications,</w:t>
      </w:r>
      <w:r>
        <w:rPr>
          <w:b w:val="0"/>
          <w:sz w:val="21"/>
        </w:rPr>
        <w:t xml:space="preserve"> Goa University</w:t>
      </w:r>
    </w:p>
    <w:p>
      <w:pPr>
        <w:pStyle w:val="ListBullet"/>
        <w:spacing w:after="40"/>
      </w:pPr>
      <w:r>
        <w:rPr>
          <w:b/>
          <w:sz w:val="21"/>
        </w:rPr>
        <w:t>Certifications:</w:t>
      </w:r>
      <w:r>
        <w:rPr>
          <w:b w:val="0"/>
          <w:sz w:val="21"/>
        </w:rPr>
        <w:t xml:space="preserve"> AI-Empowered SAFe 6 PO/PM - Career Essentials in Generative AI (Microsoft &amp; LinkedIn) - Project Management (Google) - Agile Design Thinking - ITIL V3 Foundation - TM Forum Framework Overview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