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Digital Product Owner &amp; Agile Transformation Leader | Big 4 Consulting | AI-Driven Delivery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Product Owner and Agile delivery leader with 14+ years across PwC, Accenture, Deloitte, EY and KPMG, currently driving large-scale digital business transformation as Manager – Digital Business Transformation at PwC. Proven record leading cross-functional teams to deliver value-driven digital products for Tier-1 enterprise clients, translating complex operational requirements into prioritized roadmaps, dashboards, and measurable outcomes (₹30 Cr+ portfolio exposure, 30+ senior stakeholders, 40+ team members led). SAFe 6 PO/PM certified, with hands-on GenAI adoption experience moving AI from hype to practical, scalable delivery. Returning to EY, where prior Risk Advisory experience (2015-2018) built the foundation now applied to client-facing product ownership.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EY Product Owner – 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5-7+ yrs Agile delivery as Product Owner/PM/Consultant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yrs; currently Manager – Product Ownership &amp; Agile leadership at PwC on large-scale transformation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Delivering digital products across client-facing projects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Nextgen digital product initiatives (Elastic search orchestration for Lead-2-Cash) and multi-country client delivery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Technology/consulting environment fluency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Big 4 consulting pedigree (PwC, Accenture, Deloitte, EY, KPMG) spanning 15+ countries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Stakeholder management across strategic initiatives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Governed 30+ senior/C-suite stakeholders via SteerCo and executive reporting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Agile/SAFe certification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AI-Empowered SAFe 6 PO/PM; Agile Design Thinking certified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• Product Ownership &amp; Backlog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Digital Product Roadmapping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• Cross-Functional Team Leadership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Business Transformation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• GenAI Adoption &amp; Enablement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SteerCo / Executive Reporting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• Vendor &amp; Delivery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KPI &amp; Dashboard Definition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• Big 4 Consulting Delivery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Delivery: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&amp; Requirements Management: </w:t>
      </w:r>
      <w:r>
        <w:rPr>
          <w:b w:val="0"/>
          <w:sz w:val="21"/>
        </w:rPr>
        <w:t>Requirement elicitation, coordination with IT &amp; Network teams, and stakeholder management across a 17-country Vodafone forensic programme.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process re-engineering initiative for a public sector Terrestrial Radio provider in Dubai.</w:t>
      </w:r>
    </w:p>
    <w:p>
      <w:r>
        <w:rPr>
          <w:color w:val="595959"/>
          <w:sz w:val="19"/>
        </w:rPr>
        <w:t>Earlier: Subex (Principal Consultant, Dec 2019-Oct 2021) - RAFM consulting and stakeholder workshops for international telecom operators;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AI &amp; DIGITAL FLUENCY</w:t>
      </w:r>
    </w:p>
    <w:p>
      <w:r>
        <w:rPr>
          <w:sz w:val="21"/>
        </w:rPr>
        <w:t>Actively driving practical GenAI adoption within transformation programmes (Career Essentials in Generative AI - Microsoft &amp; LinkedIn; Outskill AI Accelerator, NSDC - in progress), focused on moving beyond hype to scalable, process-embedded AI solutions - directly applicable to EY's technology-enabled product delivery.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