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400"/>
        <w:jc w:val="center"/>
      </w:pPr>
      <w:r>
        <w:rPr>
          <w:b/>
          <w:bCs/>
          <w:color w:val="C00000"/>
          <w:sz w:val="22"/>
          <w:szCs w:val="22"/>
        </w:rPr>
        <w:t xml:space="preserve">CONFIDENTIAL</w:t>
      </w:r>
    </w:p>
    <w:p>
      <w:pPr>
        <w:spacing w:after="200"/>
        <w:jc w:val="center"/>
      </w:pPr>
      <w:r>
        <w:rPr>
          <w:b/>
          <w:bCs/>
          <w:color w:val="1F3864"/>
          <w:sz w:val="36"/>
          <w:szCs w:val="36"/>
        </w:rPr>
        <w:t xml:space="preserve">Competitive Intelligence Brief</w:t>
      </w:r>
    </w:p>
    <w:p>
      <w:pPr>
        <w:spacing w:after="200"/>
        <w:jc w:val="center"/>
      </w:pPr>
      <w:r>
        <w:rPr>
          <w:b/>
          <w:bCs/>
          <w:sz w:val="56"/>
          <w:szCs w:val="56"/>
        </w:rPr>
        <w:t xml:space="preserve">Syncari, Inc.</w:t>
      </w:r>
    </w:p>
    <w:p>
      <w:pPr>
        <w:spacing w:after="800"/>
        <w:jc w:val="center"/>
      </w:pPr>
      <w:r>
        <w:rPr>
          <w:i/>
          <w:iCs/>
          <w:color w:val="595959"/>
          <w:sz w:val="28"/>
          <w:szCs w:val="28"/>
        </w:rPr>
        <w:t xml:space="preserve">Reverse-Engineering an Agentic MDM Leader</w:t>
      </w:r>
    </w:p>
    <w:p>
      <w:pPr>
        <w:spacing w:after="600"/>
        <w:jc w:val="center"/>
      </w:pPr>
      <w:r>
        <w:rPr>
          <w:color w:val="404040"/>
          <w:sz w:val="24"/>
          <w:szCs w:val="24"/>
        </w:rPr>
        <w:t xml:space="preserve">Strategic Research &amp; Market Entry Blueprint</w:t>
      </w:r>
    </w:p>
    <w:p>
      <w:pPr>
        <w:spacing w:after="100"/>
        <w:jc w:val="center"/>
      </w:pPr>
      <w:r>
        <w:rPr>
          <w:color w:val="595959"/>
          <w:sz w:val="22"/>
          <w:szCs w:val="22"/>
        </w:rPr>
        <w:t xml:space="preserve">Prepared for: Internal Strategy — Market Entry</w:t>
      </w:r>
    </w:p>
    <w:p>
      <w:pPr>
        <w:spacing w:after="100"/>
        <w:jc w:val="center"/>
      </w:pPr>
      <w:r>
        <w:rPr>
          <w:color w:val="595959"/>
          <w:sz w:val="22"/>
          <w:szCs w:val="22"/>
        </w:rPr>
        <w:t xml:space="preserve">Report Date: April 2026</w:t>
      </w:r>
    </w:p>
    <w:p>
      <w:pPr>
        <w:spacing w:after="100"/>
        <w:jc w:val="center"/>
      </w:pPr>
      <w:r>
        <w:rPr>
          <w:color w:val="595959"/>
          <w:sz w:val="22"/>
          <w:szCs w:val="22"/>
        </w:rPr>
        <w:t xml:space="preserve">Classification: For Authorized Readers Only</w:t>
      </w:r>
    </w:p>
    <w:p>
      <w:r>
        <w:br w:type="page"/>
      </w:r>
    </w:p>
    <w:p>
      <w:pPr>
        <w:spacing w:after="300"/>
      </w:pPr>
      <w:r>
        <w:rPr>
          <w:b/>
          <w:bCs/>
          <w:color w:val="1F3864"/>
          <w:sz w:val="36"/>
          <w:szCs w:val="36"/>
        </w:rPr>
        <w:t xml:space="preserve">Table of Contents</w:t>
      </w:r>
    </w:p>
    <w:p>
      <w:pPr>
        <w:spacing w:after="100"/>
      </w:pPr>
      <w:r>
        <w:rPr>
          <w:sz w:val="22"/>
          <w:szCs w:val="22"/>
        </w:rPr>
        <w:t xml:space="preserve">Executive Summary</w:t>
      </w:r>
    </w:p>
    <w:p>
      <w:pPr>
        <w:spacing w:after="100"/>
      </w:pPr>
      <w:r>
        <w:rPr>
          <w:sz w:val="22"/>
          <w:szCs w:val="22"/>
        </w:rPr>
        <w:t xml:space="preserve">1. Company DNA &amp; Founding Thesis</w:t>
      </w:r>
    </w:p>
    <w:p>
      <w:pPr>
        <w:spacing w:after="100"/>
      </w:pPr>
      <w:r>
        <w:rPr>
          <w:sz w:val="22"/>
          <w:szCs w:val="22"/>
        </w:rPr>
        <w:t xml:space="preserve">2. Product &amp; Technical Architecture</w:t>
      </w:r>
    </w:p>
    <w:p>
      <w:pPr>
        <w:spacing w:after="100"/>
      </w:pPr>
      <w:r>
        <w:rPr>
          <w:sz w:val="22"/>
          <w:szCs w:val="22"/>
        </w:rPr>
        <w:t xml:space="preserve">3. Business Model &amp; Unit Economics</w:t>
      </w:r>
    </w:p>
    <w:p>
      <w:pPr>
        <w:spacing w:after="100"/>
      </w:pPr>
      <w:r>
        <w:rPr>
          <w:sz w:val="22"/>
          <w:szCs w:val="22"/>
        </w:rPr>
        <w:t xml:space="preserve">4. Go-to-Market Motion</w:t>
      </w:r>
    </w:p>
    <w:p>
      <w:pPr>
        <w:spacing w:after="100"/>
      </w:pPr>
      <w:r>
        <w:rPr>
          <w:sz w:val="22"/>
          <w:szCs w:val="22"/>
        </w:rPr>
        <w:t xml:space="preserve">5. Marketing &amp; Demand Generation</w:t>
      </w:r>
    </w:p>
    <w:p>
      <w:pPr>
        <w:spacing w:after="100"/>
      </w:pPr>
      <w:r>
        <w:rPr>
          <w:sz w:val="22"/>
          <w:szCs w:val="22"/>
        </w:rPr>
        <w:t xml:space="preserve">6. Customer Intelligence</w:t>
      </w:r>
    </w:p>
    <w:p>
      <w:pPr>
        <w:spacing w:after="100"/>
      </w:pPr>
      <w:r>
        <w:rPr>
          <w:sz w:val="22"/>
          <w:szCs w:val="22"/>
        </w:rPr>
        <w:t xml:space="preserve">7. Competitive Landscape Map</w:t>
      </w:r>
    </w:p>
    <w:p>
      <w:pPr>
        <w:spacing w:after="100"/>
      </w:pPr>
      <w:r>
        <w:rPr>
          <w:sz w:val="22"/>
          <w:szCs w:val="22"/>
        </w:rPr>
        <w:t xml:space="preserve">8. Financial Intelligence</w:t>
      </w:r>
    </w:p>
    <w:p>
      <w:pPr>
        <w:spacing w:after="100"/>
      </w:pPr>
      <w:r>
        <w:rPr>
          <w:sz w:val="22"/>
          <w:szCs w:val="22"/>
        </w:rPr>
        <w:t xml:space="preserve">9. Organizational Design &amp; Talent</w:t>
      </w:r>
    </w:p>
    <w:p>
      <w:pPr>
        <w:spacing w:after="100"/>
      </w:pPr>
      <w:r>
        <w:rPr>
          <w:sz w:val="22"/>
          <w:szCs w:val="22"/>
        </w:rPr>
        <w:t xml:space="preserve">10. Operations &amp; Delivery</w:t>
      </w:r>
    </w:p>
    <w:p>
      <w:pPr>
        <w:spacing w:after="100"/>
      </w:pPr>
      <w:r>
        <w:rPr>
          <w:sz w:val="22"/>
          <w:szCs w:val="22"/>
        </w:rPr>
        <w:t xml:space="preserve">11. Regulatory, Security &amp; Compliance Moat</w:t>
      </w:r>
    </w:p>
    <w:p>
      <w:pPr>
        <w:spacing w:after="100"/>
      </w:pPr>
      <w:r>
        <w:rPr>
          <w:sz w:val="22"/>
          <w:szCs w:val="22"/>
        </w:rPr>
        <w:t xml:space="preserve">12. Vulnerabilities &amp; Attack Surface</w:t>
      </w:r>
    </w:p>
    <w:p>
      <w:pPr>
        <w:spacing w:after="100"/>
      </w:pPr>
      <w:r>
        <w:rPr>
          <w:sz w:val="22"/>
          <w:szCs w:val="22"/>
        </w:rPr>
        <w:t xml:space="preserve">13. Strategic Roadmap &amp; Moves</w:t>
      </w:r>
    </w:p>
    <w:p>
      <w:pPr>
        <w:spacing w:after="100"/>
      </w:pPr>
      <w:r>
        <w:rPr>
          <w:sz w:val="22"/>
          <w:szCs w:val="22"/>
        </w:rPr>
        <w:t xml:space="preserve">14. Build-a-Clone Playbook — Synthesis</w:t>
      </w:r>
    </w:p>
    <w:p>
      <w:pPr>
        <w:spacing w:after="100"/>
      </w:pPr>
      <w:r>
        <w:rPr>
          <w:sz w:val="22"/>
          <w:szCs w:val="22"/>
        </w:rPr>
        <w:t xml:space="preserve">Appendix A: Sources &amp; Methodology</w:t>
      </w:r>
    </w:p>
    <w:p>
      <w:pPr>
        <w:spacing w:after="100"/>
      </w:pPr>
      <w:r>
        <w:rPr>
          <w:sz w:val="22"/>
          <w:szCs w:val="22"/>
        </w:rPr>
        <w:t xml:space="preserve">Appendix B: Research Gaps &amp; Open Questions</w:t>
      </w:r>
    </w:p>
    <w:p>
      <w:r>
        <w:br w:type="page"/>
      </w:r>
    </w:p>
    <w:p>
      <w:pPr>
        <w:spacing w:after="300" w:before="0"/>
      </w:pPr>
      <w:r>
        <w:rPr>
          <w:b/>
          <w:bCs/>
          <w:color w:val="1F3864"/>
          <w:sz w:val="36"/>
          <w:szCs w:val="36"/>
        </w:rPr>
        <w:t xml:space="preserve">Executive Summary</w:t>
      </w:r>
    </w:p>
    <w:p>
      <w:pPr>
        <w:pStyle w:val="Heading2"/>
        <w:spacing w:after="120" w:before="240"/>
      </w:pPr>
      <w:r>
        <w:t xml:space="preserve">The Company in One Paragraph</w:t>
      </w:r>
    </w:p>
    <w:p>
      <w:pPr>
        <w:spacing w:after="120" w:line="300"/>
        <w:jc w:val="both"/>
      </w:pPr>
      <w:r>
        <w:rPr>
          <w:sz w:val="22"/>
          <w:szCs w:val="22"/>
        </w:rPr>
        <w:t xml:space="preserve">Syncari, Inc. is a San Francisco Bay Area (Newark, CA) Agentic Master Data Management platform founded in 2019 by Nick Bonfiglio (former EVP of Global Product at Marketo; serial founder of Aptrinsic, acquired by Gainsight) and Neelesh Shastry (former Tech Fellow at Adobe and Marketo infrastructure lead). The company has raised approximately 28.3 million US dollars across Seed, Series A and Series B rounds from SignalFire, Crosslink Capital, DIG Ventures, NextGen Venture Partners, Animo, and Escape Venture Investing. In April 2026 it was named a Visionary in the revived Gartner Magic Quadrant for Master Data Management. It serves Fortune 1000 and upper mid-market customers including Monotype, GoTo, Impartner, Trimble, Yardi, and Antech Diagnostics.</w:t>
      </w:r>
    </w:p>
    <w:p>
      <w:pPr>
        <w:pStyle w:val="Heading2"/>
        <w:spacing w:after="120" w:before="240"/>
      </w:pPr>
      <w:r>
        <w:t xml:space="preserve">Why Syncari Is Interesting as a Target to Replicate</w:t>
      </w:r>
    </w:p>
    <w:p>
      <w:pPr>
        <w:pStyle w:val="ListParagraph"/>
        <w:numPr>
          <w:ilvl w:val="0"/>
          <w:numId w:val="2"/>
        </w:numPr>
        <w:spacing w:after="80" w:line="280"/>
      </w:pPr>
      <w:r>
        <w:rPr>
          <w:b/>
          <w:bCs/>
          <w:sz w:val="22"/>
          <w:szCs w:val="22"/>
        </w:rPr>
        <w:t xml:space="preserve">Timing arbitrage. </w:t>
      </w:r>
      <w:r>
        <w:rPr>
          <w:sz w:val="22"/>
          <w:szCs w:val="22"/>
        </w:rPr>
        <w:t xml:space="preserve">Syncari entered a market long dominated by Informatica, IBM, SAP and Oracle with a cloud-native, real-time, bi-directional sync thesis. The 8 billion dollar Salesforce acquisition of Informatica announced in May 2025 has destabilized the legacy incumbent base and opened an opportunity window of roughly 24 to 36 months.</w:t>
      </w:r>
    </w:p>
    <w:p>
      <w:pPr>
        <w:pStyle w:val="ListParagraph"/>
        <w:numPr>
          <w:ilvl w:val="0"/>
          <w:numId w:val="2"/>
        </w:numPr>
        <w:spacing w:after="80" w:line="280"/>
      </w:pPr>
      <w:r>
        <w:rPr>
          <w:b/>
          <w:bCs/>
          <w:sz w:val="22"/>
          <w:szCs w:val="22"/>
        </w:rPr>
        <w:t xml:space="preserve">Category repositioning. </w:t>
      </w:r>
      <w:r>
        <w:rPr>
          <w:sz w:val="22"/>
          <w:szCs w:val="22"/>
        </w:rPr>
        <w:t xml:space="preserve">The company has successfully repositioned three times — from no-code data automation (2019 to 2021), to customer data automation (2021 to 2023), to Agentic MDM for the AI era (2024 to present). Each pivot mapped cleanly to a funding round and produced clear analyst validation.</w:t>
      </w:r>
    </w:p>
    <w:p>
      <w:pPr>
        <w:pStyle w:val="ListParagraph"/>
        <w:numPr>
          <w:ilvl w:val="0"/>
          <w:numId w:val="2"/>
        </w:numPr>
        <w:spacing w:after="80" w:line="280"/>
      </w:pPr>
      <w:r>
        <w:rPr>
          <w:b/>
          <w:bCs/>
          <w:sz w:val="22"/>
          <w:szCs w:val="22"/>
        </w:rPr>
        <w:t xml:space="preserve">Capital-efficient footprint. </w:t>
      </w:r>
      <w:r>
        <w:rPr>
          <w:sz w:val="22"/>
          <w:szCs w:val="22"/>
        </w:rPr>
        <w:t xml:space="preserve">Approximately 28 million dollars raised over seven years, with a team of roughly 60 to 65 employees generating Fortune 1000 logos. This is a low-capital-barrier proof point for a would-be competitor.</w:t>
      </w:r>
    </w:p>
    <w:p>
      <w:pPr>
        <w:pStyle w:val="ListParagraph"/>
        <w:numPr>
          <w:ilvl w:val="0"/>
          <w:numId w:val="2"/>
        </w:numPr>
        <w:spacing w:after="80" w:line="280"/>
      </w:pPr>
      <w:r>
        <w:rPr>
          <w:b/>
          <w:bCs/>
          <w:sz w:val="22"/>
          <w:szCs w:val="22"/>
        </w:rPr>
        <w:t xml:space="preserve">Small revenue base. </w:t>
      </w:r>
      <w:r>
        <w:rPr>
          <w:sz w:val="22"/>
          <w:szCs w:val="22"/>
        </w:rPr>
        <w:t xml:space="preserve">Public estimates place revenue in the low single-digit millions of ARR as recently as 2024, meaning the incumbent lead is not yet structural.</w:t>
      </w:r>
    </w:p>
    <w:p>
      <w:pPr>
        <w:pStyle w:val="ListParagraph"/>
        <w:numPr>
          <w:ilvl w:val="0"/>
          <w:numId w:val="2"/>
        </w:numPr>
        <w:spacing w:after="80" w:line="280"/>
      </w:pPr>
      <w:r>
        <w:rPr>
          <w:b/>
          <w:bCs/>
          <w:sz w:val="22"/>
          <w:szCs w:val="22"/>
        </w:rPr>
        <w:t xml:space="preserve">Narrow moat. </w:t>
      </w:r>
      <w:r>
        <w:rPr>
          <w:sz w:val="22"/>
          <w:szCs w:val="22"/>
        </w:rPr>
        <w:t xml:space="preserve">Core IP claims center on a 'patented multi-directional sync engine' branded MultiSync. No overwhelming proprietary algorithm or dataset barrier prevents a focused challenger.</w:t>
      </w:r>
    </w:p>
    <w:p>
      <w:pPr>
        <w:pStyle w:val="Heading2"/>
        <w:spacing w:after="120" w:before="240"/>
      </w:pPr>
      <w:r>
        <w:t xml:space="preserve">Our Recommended Strategic Path</w:t>
      </w:r>
    </w:p>
    <w:p>
      <w:pPr>
        <w:spacing w:after="120" w:line="300"/>
        <w:jc w:val="both"/>
      </w:pPr>
      <w:r>
        <w:rPr>
          <w:sz w:val="22"/>
          <w:szCs w:val="22"/>
        </w:rPr>
        <w:t xml:space="preserve">A direct head-on clone is not recommended. Instead, we recommend a two-stage strategy. Stage 1 (months 0 to 9): enter as a vertical-specific Agentic MDM challenger — healthcare provider data or financial services counterparty data are the highest-potential wedges — with an open-core licensing model to attract developers and undercut Syncari pricing by 40 to 50 percent. Stage 2 (months 9 to 24): expand horizontally across domains using the vertical as a beachhead, and exploit the Salesforce-Informatica integration friction window to capture disaffected mid-market Informatica users.</w:t>
      </w:r>
    </w:p>
    <w:p>
      <w:pPr>
        <w:pStyle w:val="Heading2"/>
        <w:spacing w:after="120" w:before="240"/>
      </w:pPr>
      <w:r>
        <w:t xml:space="preserve">Capital Requirement to Reach Parity</w:t>
      </w:r>
    </w:p>
    <w:p>
      <w:pPr>
        <w:spacing w:after="120" w:line="300"/>
        <w:jc w:val="both"/>
      </w:pPr>
      <w:r>
        <w:rPr>
          <w:sz w:val="22"/>
          <w:szCs w:val="22"/>
        </w:rPr>
        <w:t xml:space="preserve">Our estimate: 12 to 18 million dollars across Seed and Series A to reach product-market fit with 20 to 30 paying customers within 18 months; an additional 25 to 40 million dollars Series B in month 18 to 24 to scale go-to-market. Total to match Syncari scale: approximately 40 to 55 million dollars, versus their 28 million dollars cumulative, with faster time-to-revenue enabled by a more mature AI-native technology stack.</w:t>
      </w:r>
    </w:p>
    <w:p>
      <w:pPr>
        <w:pStyle w:val="Heading2"/>
        <w:spacing w:after="120" w:before="240"/>
      </w:pPr>
      <w:r>
        <w:t xml:space="preserve">Top Five Existential Risks</w:t>
      </w:r>
    </w:p>
    <w:p>
      <w:pPr>
        <w:pStyle w:val="ListParagraph"/>
        <w:numPr>
          <w:ilvl w:val="0"/>
          <w:numId w:val="2"/>
        </w:numPr>
        <w:spacing w:after="80" w:line="280"/>
      </w:pPr>
      <w:r>
        <w:rPr>
          <w:b/>
          <w:bCs/>
          <w:sz w:val="22"/>
          <w:szCs w:val="22"/>
        </w:rPr>
        <w:t xml:space="preserve">1. Hyperscaler commoditization. </w:t>
      </w:r>
      <w:r>
        <w:rPr>
          <w:sz w:val="22"/>
          <w:szCs w:val="22"/>
        </w:rPr>
        <w:t xml:space="preserve">Snowflake, Databricks, or Salesforce natively embedding MDM capabilities would compress the independent-vendor market by an estimated 40 to 60 percent within 24 months.</w:t>
      </w:r>
    </w:p>
    <w:p>
      <w:pPr>
        <w:pStyle w:val="ListParagraph"/>
        <w:numPr>
          <w:ilvl w:val="0"/>
          <w:numId w:val="2"/>
        </w:numPr>
        <w:spacing w:after="80" w:line="280"/>
      </w:pPr>
      <w:r>
        <w:rPr>
          <w:b/>
          <w:bCs/>
          <w:sz w:val="22"/>
          <w:szCs w:val="22"/>
        </w:rPr>
        <w:t xml:space="preserve">2. Informatica-on-Salesforce integration. </w:t>
      </w:r>
      <w:r>
        <w:rPr>
          <w:sz w:val="22"/>
          <w:szCs w:val="22"/>
        </w:rPr>
        <w:t xml:space="preserve">If the post-acquisition Informatica Data Cloud executes well on the Salesforce platform, the competitive moat for standalone MDM shrinks significantly.</w:t>
      </w:r>
    </w:p>
    <w:p>
      <w:pPr>
        <w:pStyle w:val="ListParagraph"/>
        <w:numPr>
          <w:ilvl w:val="0"/>
          <w:numId w:val="2"/>
        </w:numPr>
        <w:spacing w:after="80" w:line="280"/>
      </w:pPr>
      <w:r>
        <w:rPr>
          <w:b/>
          <w:bCs/>
          <w:sz w:val="22"/>
          <w:szCs w:val="22"/>
        </w:rPr>
        <w:t xml:space="preserve">3. IP exposure. </w:t>
      </w:r>
      <w:r>
        <w:rPr>
          <w:sz w:val="22"/>
          <w:szCs w:val="22"/>
        </w:rPr>
        <w:t xml:space="preserve">Syncari's MultiSync patent claims are narrow but may create nuisance-level litigation risk requiring design-around engineering work.</w:t>
      </w:r>
    </w:p>
    <w:p>
      <w:pPr>
        <w:pStyle w:val="ListParagraph"/>
        <w:numPr>
          <w:ilvl w:val="0"/>
          <w:numId w:val="2"/>
        </w:numPr>
        <w:spacing w:after="80" w:line="280"/>
      </w:pPr>
      <w:r>
        <w:rPr>
          <w:b/>
          <w:bCs/>
          <w:sz w:val="22"/>
          <w:szCs w:val="22"/>
        </w:rPr>
        <w:t xml:space="preserve">4. Analyst relations lag. </w:t>
      </w:r>
      <w:r>
        <w:rPr>
          <w:sz w:val="22"/>
          <w:szCs w:val="22"/>
        </w:rPr>
        <w:t xml:space="preserve">Gartner Visionary status took Syncari approximately five years to achieve; a new entrant will spend an estimated two to three years at the margins before analyst visibility.</w:t>
      </w:r>
    </w:p>
    <w:p>
      <w:pPr>
        <w:pStyle w:val="ListParagraph"/>
        <w:numPr>
          <w:ilvl w:val="0"/>
          <w:numId w:val="2"/>
        </w:numPr>
        <w:spacing w:after="80" w:line="280"/>
      </w:pPr>
      <w:r>
        <w:rPr>
          <w:b/>
          <w:bCs/>
          <w:sz w:val="22"/>
          <w:szCs w:val="22"/>
        </w:rPr>
        <w:t xml:space="preserve">5. Talent concentration. </w:t>
      </w:r>
      <w:r>
        <w:rPr>
          <w:sz w:val="22"/>
          <w:szCs w:val="22"/>
        </w:rPr>
        <w:t xml:space="preserve">The top five Agentic MDM architects in the market are known; Syncari and competitors will compete aggressively for them.</w:t>
      </w:r>
    </w:p>
    <w:p>
      <w:pPr>
        <w:pStyle w:val="Heading1"/>
        <w:pageBreakBefore/>
        <w:spacing w:after="200" w:before="200"/>
      </w:pPr>
      <w:r>
        <w:t xml:space="preserve">1. Company DNA &amp; Founding Thesis</w:t>
      </w:r>
    </w:p>
    <w:p>
      <w:pPr>
        <w:pStyle w:val="Heading2"/>
        <w:spacing w:after="120" w:before="240"/>
      </w:pPr>
      <w:r>
        <w:t xml:space="preserve">1.1 Founding Story</w:t>
      </w:r>
    </w:p>
    <w:p>
      <w:pPr>
        <w:spacing w:after="120" w:line="300"/>
        <w:jc w:val="both"/>
      </w:pPr>
      <w:r>
        <w:rPr>
          <w:sz w:val="22"/>
          <w:szCs w:val="22"/>
        </w:rPr>
        <w:t xml:space="preserve">Syncari was incorporated in late 2019 and publicly emerged in mid 2020. Its two co-founders bring distinct and complementary DNA from the martech category that preceded the current data category.</w:t>
      </w:r>
    </w:p>
    <w:p>
      <w:pPr>
        <w:pStyle w:val="Heading3"/>
        <w:spacing w:after="80" w:before="160"/>
      </w:pPr>
      <w:r>
        <w:t xml:space="preserve">Co-founder: Nick Bonfiglio (Chief Executive Officer)</w:t>
      </w:r>
    </w:p>
    <w:p>
      <w:pPr>
        <w:pStyle w:val="ListParagraph"/>
        <w:numPr>
          <w:ilvl w:val="0"/>
          <w:numId w:val="2"/>
        </w:numPr>
        <w:spacing w:after="80" w:line="280"/>
      </w:pPr>
      <w:r>
        <w:rPr>
          <w:sz w:val="22"/>
          <w:szCs w:val="22"/>
        </w:rPr>
        <w:t xml:space="preserve">Spent approximately seven years as EVP of Global Product at Marketo during its hyper-growth phase leading into the Adobe acquisition; owned engineering, operations, product, and support at scale across 6,000-plus subscriptions.</w:t>
      </w:r>
    </w:p>
    <w:p>
      <w:pPr>
        <w:pStyle w:val="ListParagraph"/>
        <w:numPr>
          <w:ilvl w:val="0"/>
          <w:numId w:val="2"/>
        </w:numPr>
        <w:spacing w:after="80" w:line="280"/>
      </w:pPr>
      <w:r>
        <w:rPr>
          <w:sz w:val="22"/>
          <w:szCs w:val="22"/>
        </w:rPr>
        <w:t xml:space="preserve">Previously founded Aptrinsic, a product-led growth analytics company acquired by Gainsight in 2018 and rebranded as Gainsight PX.</w:t>
      </w:r>
    </w:p>
    <w:p>
      <w:pPr>
        <w:pStyle w:val="ListParagraph"/>
        <w:numPr>
          <w:ilvl w:val="0"/>
          <w:numId w:val="2"/>
        </w:numPr>
        <w:spacing w:after="80" w:line="280"/>
      </w:pPr>
      <w:r>
        <w:rPr>
          <w:sz w:val="22"/>
          <w:szCs w:val="22"/>
        </w:rPr>
        <w:t xml:space="preserve">Earlier tenures at CollabNet (product and lab management) and Ciena (VP of Engineering and PM). Holds an MBA from California State University.</w:t>
      </w:r>
    </w:p>
    <w:p>
      <w:pPr>
        <w:pStyle w:val="ListParagraph"/>
        <w:numPr>
          <w:ilvl w:val="0"/>
          <w:numId w:val="2"/>
        </w:numPr>
        <w:spacing w:after="80" w:line="280"/>
      </w:pPr>
      <w:r>
        <w:rPr>
          <w:sz w:val="22"/>
          <w:szCs w:val="22"/>
        </w:rPr>
        <w:t xml:space="preserve">Strategic value: deep network across marketing operations, revenue operations, and the Salesforce-Marketo ecosystem; understands the pain of fragmented GTM data from personal operational experience.</w:t>
      </w:r>
    </w:p>
    <w:p>
      <w:pPr>
        <w:pStyle w:val="Heading3"/>
        <w:spacing w:after="80" w:before="160"/>
      </w:pPr>
      <w:r>
        <w:t xml:space="preserve">Co-founder: Neelesh Shastry (Chief Technology Officer)</w:t>
      </w:r>
    </w:p>
    <w:p>
      <w:pPr>
        <w:pStyle w:val="ListParagraph"/>
        <w:numPr>
          <w:ilvl w:val="0"/>
          <w:numId w:val="2"/>
        </w:numPr>
        <w:spacing w:after="80" w:line="280"/>
      </w:pPr>
      <w:r>
        <w:rPr>
          <w:sz w:val="22"/>
          <w:szCs w:val="22"/>
        </w:rPr>
        <w:t xml:space="preserve">Former Tech Fellow at Adobe; led core infrastructure for Marketo (now part of Adobe Engage) serving 8,000-plus customers.</w:t>
      </w:r>
    </w:p>
    <w:p>
      <w:pPr>
        <w:pStyle w:val="ListParagraph"/>
        <w:numPr>
          <w:ilvl w:val="0"/>
          <w:numId w:val="2"/>
        </w:numPr>
        <w:spacing w:after="80" w:line="280"/>
      </w:pPr>
      <w:r>
        <w:rPr>
          <w:sz w:val="22"/>
          <w:szCs w:val="22"/>
        </w:rPr>
        <w:t xml:space="preserve">Strategic value: deep distributed-systems and multi-tenant SaaS infrastructure expertise — the hardest-to-hire skill set for a real-time data sync platform.</w:t>
      </w:r>
    </w:p>
    <w:p>
      <w:pPr>
        <w:pStyle w:val="Heading3"/>
        <w:spacing w:after="80" w:before="160"/>
      </w:pPr>
      <w:r>
        <w:t xml:space="preserve">Founding Insight and Wedge</w:t>
      </w:r>
    </w:p>
    <w:p>
      <w:pPr>
        <w:spacing w:after="120" w:line="300"/>
        <w:jc w:val="both"/>
      </w:pPr>
      <w:r>
        <w:rPr>
          <w:sz w:val="22"/>
          <w:szCs w:val="22"/>
        </w:rPr>
        <w:t xml:space="preserve">The founders identified that traditional integration categories — iPaaS, ETL/ELT, RPA, data warehouses, reverse-ETL — all share one fatal flaw: the inability to bi-directionally align and govern data across multiple connected systems in real time. Their wedge was a patent-pending stateful, multi-directional sync engine combined with a no-code interface targeted at RevOps practitioners, not data engineers. This was differentiated from both the incumbent Informatica-class MDM (built for data engineers, batch-oriented, expensive) and the iPaaS class (point-to-point, stateless, no governance).</w:t>
      </w:r>
    </w:p>
    <w:p>
      <w:pPr>
        <w:pStyle w:val="Heading2"/>
        <w:spacing w:after="120" w:before="240"/>
      </w:pPr>
      <w:r>
        <w:t xml:space="preserve">1.2 Repositioning Arc</w:t>
      </w:r>
    </w:p>
    <w:p>
      <w:pPr>
        <w:spacing w:after="120" w:line="300"/>
        <w:jc w:val="both"/>
      </w:pPr>
      <w:r>
        <w:rPr>
          <w:sz w:val="22"/>
          <w:szCs w:val="22"/>
        </w:rPr>
        <w:t xml:space="preserve">Syncari has repositioned its category label three times, each time aligned to a funding or product milestone. Understanding this arc is critical because any challenger should expect to undergo the same repositioning as the AI-data category matures.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17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Era</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Category Label</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Primary Persona</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Funding Stage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2019-2021</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No-code data automation</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RevOps / Marketing Ops</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Seed + Series A</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2021-2023</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Customer Data Automation (CDA)</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RevOps / Customer Data Lead</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Post Series A</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2023-2024</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Unified Data Platform</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 Engineering + RevOps</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Pre Series B</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2024-Present</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Agentic Master Data Management</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CDO / CIO / Head of AI</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Series B</w:t>
            </w:r>
          </w:p>
        </w:tc>
      </w:tr>
    </w:tbl>
    <w:p>
      <w:pPr>
        <w:spacing w:after="120"/>
      </w:pPr>
      <w:r>
        <w:t xml:space="preserve"/>
      </w:r>
    </w:p>
    <w:p>
      <w:pPr>
        <w:spacing w:after="120" w:line="300"/>
        <w:jc w:val="both"/>
      </w:pPr>
      <w:r>
        <w:rPr>
          <w:sz w:val="22"/>
          <w:szCs w:val="22"/>
        </w:rPr>
        <w:t xml:space="preserve">Observation: the persona shifted upward from mid-level operator to C-level executive over six years, which is characteristic of a company trading PLG velocity for enterprise ACV. A challenger can choose whether to compress this arc (by going straight to the CDO persona from day one) or invert it (by starting with a developer-led open-core approach).</w:t>
      </w:r>
    </w:p>
    <w:p>
      <w:pPr>
        <w:pStyle w:val="Heading2"/>
        <w:spacing w:after="120" w:before="240"/>
      </w:pPr>
      <w:r>
        <w:t xml:space="preserve">1.3 Capital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2400"/>
        <w:gridCol w:w="11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Round</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Date</w:t>
            </w:r>
          </w:p>
        </w:tc>
        <w:tc>
          <w:tcPr>
            <w:tcW w:type="dxa" w:w="2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Amount (USD)</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Lead Investor</w:t>
            </w:r>
          </w:p>
        </w:tc>
        <w:tc>
          <w:tcPr>
            <w:tcW w:type="dxa" w:w="1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Cumulative (USD)</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Seed</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June 2020</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6.5 million</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SignalFire</w:t>
            </w:r>
          </w:p>
        </w:tc>
        <w:tc>
          <w:tcPr>
            <w:tcW w:type="dxa" w:w="1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6.5 million</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Series A</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May 2021</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17.3 million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Crosslink Capital</w:t>
            </w:r>
          </w:p>
        </w:tc>
        <w:tc>
          <w:tcPr>
            <w:tcW w:type="dxa" w:w="1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23.8 million</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Extension / Bridge</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2022-2024</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Approx. 1.5 to 3.0 million (estimated)</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Insider round</w:t>
            </w:r>
          </w:p>
        </w:tc>
        <w:tc>
          <w:tcPr>
            <w:tcW w:type="dxa" w:w="1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~26 to 27 million</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Series B</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September 2025</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Undisclosed (est. 5 to 8 million)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Escape Venture Investing</w:t>
            </w:r>
          </w:p>
        </w:tc>
        <w:tc>
          <w:tcPr>
            <w:tcW w:type="dxa" w:w="1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~28.3 million</w:t>
            </w:r>
          </w:p>
        </w:tc>
      </w:tr>
    </w:tbl>
    <w:p>
      <w:pPr>
        <w:spacing w:after="120"/>
      </w:pPr>
      <w:r>
        <w:t xml:space="preserve"/>
      </w:r>
    </w:p>
    <w:p>
      <w:pPr>
        <w:spacing w:after="120" w:line="300"/>
        <w:jc w:val="both"/>
      </w:pPr>
      <w:r>
        <w:rPr>
          <w:sz w:val="22"/>
          <w:szCs w:val="22"/>
        </w:rPr>
        <w:t xml:space="preserve">Known institutional investors include SignalFire (seed lead), Crosslink Capital (Series A lead), DIG Ventures, NextGen Venture Partners, Animo Ventures, and Escape Venture Investing (Series B lead). The Series B was notably small and strategic rather than a large growth round — a signal that the company is optimizing for capital efficiency and likely positioning for an acquisition or a larger growth round within 12 to 18 months.</w:t>
      </w:r>
    </w:p>
    <w:p>
      <w:pPr>
        <w:pStyle w:val="Heading2"/>
        <w:spacing w:after="120" w:before="240"/>
      </w:pPr>
      <w:r>
        <w:t xml:space="preserve">1.4 Intellectual Property Posture</w:t>
      </w:r>
    </w:p>
    <w:p>
      <w:pPr>
        <w:pStyle w:val="ListParagraph"/>
        <w:numPr>
          <w:ilvl w:val="0"/>
          <w:numId w:val="2"/>
        </w:numPr>
        <w:spacing w:after="80" w:line="280"/>
      </w:pPr>
      <w:r>
        <w:rPr>
          <w:b/>
          <w:bCs/>
          <w:sz w:val="22"/>
          <w:szCs w:val="22"/>
        </w:rPr>
        <w:t xml:space="preserve">MultiSync: </w:t>
      </w:r>
      <w:r>
        <w:rPr>
          <w:sz w:val="22"/>
          <w:szCs w:val="22"/>
        </w:rPr>
        <w:t xml:space="preserve">Trademarked brand. Patent claims center on stateful, bi-directional, conflict-resolved synchronization. The patent scope is reported as narrow and does not appear to block design-around engineering.</w:t>
      </w:r>
    </w:p>
    <w:p>
      <w:pPr>
        <w:pStyle w:val="ListParagraph"/>
        <w:numPr>
          <w:ilvl w:val="0"/>
          <w:numId w:val="2"/>
        </w:numPr>
        <w:spacing w:after="80" w:line="280"/>
      </w:pPr>
      <w:r>
        <w:rPr>
          <w:b/>
          <w:bCs/>
          <w:sz w:val="22"/>
          <w:szCs w:val="22"/>
        </w:rPr>
        <w:t xml:space="preserve">Synapses: </w:t>
      </w:r>
      <w:r>
        <w:rPr>
          <w:sz w:val="22"/>
          <w:szCs w:val="22"/>
        </w:rPr>
        <w:t xml:space="preserve">Branded term for their stateful connectors. Not a patentable concept; the engineering moat is the breadth and depth of connector maintenance, not the concept.</w:t>
      </w:r>
    </w:p>
    <w:p>
      <w:pPr>
        <w:pStyle w:val="ListParagraph"/>
        <w:numPr>
          <w:ilvl w:val="0"/>
          <w:numId w:val="2"/>
        </w:numPr>
        <w:spacing w:after="80" w:line="280"/>
      </w:pPr>
      <w:r>
        <w:rPr>
          <w:b/>
          <w:bCs/>
          <w:sz w:val="22"/>
          <w:szCs w:val="22"/>
        </w:rPr>
        <w:t xml:space="preserve">Agentic MDM: </w:t>
      </w:r>
      <w:r>
        <w:rPr>
          <w:sz w:val="22"/>
          <w:szCs w:val="22"/>
        </w:rPr>
        <w:t xml:space="preserve">Category term that Syncari is attempting to own through analyst influence and content marketing. This is a branding moat, not a legal one, and is contested by Reltio, Profisee, and Ataccama.</w:t>
      </w:r>
    </w:p>
    <w:p>
      <w:pPr>
        <w:spacing w:after="120" w:line="300"/>
        <w:jc w:val="both"/>
      </w:pPr>
      <w:r>
        <w:rPr>
          <w:sz w:val="22"/>
          <w:szCs w:val="22"/>
        </w:rPr>
        <w:t xml:space="preserve">Bottom line: the IP moat is thin. A challenger can build a technically equivalent sync engine with six to nine months of focused distributed-systems engineering, provided the team includes at least one engineer with prior stateful-sync experience at a company like Fivetran, Airbyte, or one of the MDM vendors.</w:t>
      </w:r>
    </w:p>
    <w:p>
      <w:pPr>
        <w:pStyle w:val="Heading1"/>
        <w:pageBreakBefore/>
        <w:spacing w:after="200" w:before="200"/>
      </w:pPr>
      <w:r>
        <w:t xml:space="preserve">2. Product &amp; Technical Architecture</w:t>
      </w:r>
    </w:p>
    <w:p>
      <w:pPr>
        <w:pStyle w:val="Heading2"/>
        <w:spacing w:after="120" w:before="240"/>
      </w:pPr>
      <w:r>
        <w:t xml:space="preserve">2.1 Reverse-Engineered Architecture</w:t>
      </w:r>
    </w:p>
    <w:p>
      <w:pPr>
        <w:spacing w:after="120" w:line="300"/>
        <w:jc w:val="both"/>
      </w:pPr>
      <w:r>
        <w:rPr>
          <w:sz w:val="22"/>
          <w:szCs w:val="22"/>
        </w:rPr>
        <w:t xml:space="preserve">Based on public documentation, engineering blog posts, job listings, and integration patterns observable from customer case studies, Syncari's architecture is best described as a hub-and-spoke real-time data fabric with six logical layers.</w:t>
      </w:r>
    </w:p>
    <w:p>
      <w:pPr>
        <w:pStyle w:val="Heading3"/>
        <w:spacing w:after="80" w:before="160"/>
      </w:pPr>
      <w:r>
        <w:t xml:space="preserve">Layer 1 — Ingestion and Connectors (Synapses)</w:t>
      </w:r>
    </w:p>
    <w:p>
      <w:pPr>
        <w:pStyle w:val="ListParagraph"/>
        <w:numPr>
          <w:ilvl w:val="0"/>
          <w:numId w:val="2"/>
        </w:numPr>
        <w:spacing w:after="80" w:line="280"/>
      </w:pPr>
      <w:r>
        <w:rPr>
          <w:sz w:val="22"/>
          <w:szCs w:val="22"/>
        </w:rPr>
        <w:t xml:space="preserve">Bi-directional, stateful connectors rather than simple API wrappers. Each Synapse understands the target system schema and handles schema-drift propagation.</w:t>
      </w:r>
    </w:p>
    <w:p>
      <w:pPr>
        <w:pStyle w:val="ListParagraph"/>
        <w:numPr>
          <w:ilvl w:val="0"/>
          <w:numId w:val="2"/>
        </w:numPr>
        <w:spacing w:after="80" w:line="280"/>
      </w:pPr>
      <w:r>
        <w:rPr>
          <w:sz w:val="22"/>
          <w:szCs w:val="22"/>
        </w:rPr>
        <w:t xml:space="preserve">Estimated 80 to 120 production-grade connectors. Highest-depth connectors cover Salesforce, HubSpot, Marketo, Zuora, NetSuite, Snowflake, Pipedrive, Microsoft Dynamics, SAP ECC, Adobe, and Google Cloud.</w:t>
      </w:r>
    </w:p>
    <w:p>
      <w:pPr>
        <w:pStyle w:val="ListParagraph"/>
        <w:numPr>
          <w:ilvl w:val="0"/>
          <w:numId w:val="2"/>
        </w:numPr>
        <w:spacing w:after="80" w:line="280"/>
      </w:pPr>
      <w:r>
        <w:rPr>
          <w:sz w:val="22"/>
          <w:szCs w:val="22"/>
        </w:rPr>
        <w:t xml:space="preserve">Extensibility: custom Synapse SDK available for enterprise customers and partners.</w:t>
      </w:r>
    </w:p>
    <w:p>
      <w:pPr>
        <w:pStyle w:val="Heading3"/>
        <w:spacing w:after="80" w:before="160"/>
      </w:pPr>
      <w:r>
        <w:t xml:space="preserve">Layer 2 — Unified Data Hub and Master Store</w:t>
      </w:r>
    </w:p>
    <w:p>
      <w:pPr>
        <w:pStyle w:val="ListParagraph"/>
        <w:numPr>
          <w:ilvl w:val="0"/>
          <w:numId w:val="2"/>
        </w:numPr>
        <w:spacing w:after="80" w:line="280"/>
      </w:pPr>
      <w:r>
        <w:rPr>
          <w:sz w:val="22"/>
          <w:szCs w:val="22"/>
        </w:rPr>
        <w:t xml:space="preserve">Central persisted record store with configurable retention. Pricing is metered on persisted records, not raw events or API calls.</w:t>
      </w:r>
    </w:p>
    <w:p>
      <w:pPr>
        <w:pStyle w:val="ListParagraph"/>
        <w:numPr>
          <w:ilvl w:val="0"/>
          <w:numId w:val="2"/>
        </w:numPr>
        <w:spacing w:after="80" w:line="280"/>
      </w:pPr>
      <w:r>
        <w:rPr>
          <w:sz w:val="22"/>
          <w:szCs w:val="22"/>
        </w:rPr>
        <w:t xml:space="preserve">Flexible data model supporting pre-built entities (Lead, Contact, Account, Opportunity) and custom multi-domain models.</w:t>
      </w:r>
    </w:p>
    <w:p>
      <w:pPr>
        <w:pStyle w:val="ListParagraph"/>
        <w:numPr>
          <w:ilvl w:val="0"/>
          <w:numId w:val="2"/>
        </w:numPr>
        <w:spacing w:after="80" w:line="280"/>
      </w:pPr>
      <w:r>
        <w:rPr>
          <w:sz w:val="22"/>
          <w:szCs w:val="22"/>
        </w:rPr>
        <w:t xml:space="preserve">Likely storage backend: PostgreSQL with a columnar/analytics extension, or a hybrid of transactional and columnar stores. Job postings reference both PostgreSQL and Snowflake expertise.</w:t>
      </w:r>
    </w:p>
    <w:p>
      <w:pPr>
        <w:pStyle w:val="Heading3"/>
        <w:spacing w:after="80" w:before="160"/>
      </w:pPr>
      <w:r>
        <w:t xml:space="preserve">Layer 3 — Matching, Survivorship, and Data Quality Engine</w:t>
      </w:r>
    </w:p>
    <w:p>
      <w:pPr>
        <w:pStyle w:val="ListParagraph"/>
        <w:numPr>
          <w:ilvl w:val="0"/>
          <w:numId w:val="2"/>
        </w:numPr>
        <w:spacing w:after="80" w:line="280"/>
      </w:pPr>
      <w:r>
        <w:rPr>
          <w:sz w:val="22"/>
          <w:szCs w:val="22"/>
        </w:rPr>
        <w:t xml:space="preserve">Deterministic and probabilistic matching with configurable thresholds.</w:t>
      </w:r>
    </w:p>
    <w:p>
      <w:pPr>
        <w:pStyle w:val="ListParagraph"/>
        <w:numPr>
          <w:ilvl w:val="0"/>
          <w:numId w:val="2"/>
        </w:numPr>
        <w:spacing w:after="80" w:line="280"/>
      </w:pPr>
      <w:r>
        <w:rPr>
          <w:sz w:val="22"/>
          <w:szCs w:val="22"/>
        </w:rPr>
        <w:t xml:space="preserve">Hierarchy and ontology management (launched 2024-2025) supporting parent-child account relationships.</w:t>
      </w:r>
    </w:p>
    <w:p>
      <w:pPr>
        <w:pStyle w:val="ListParagraph"/>
        <w:numPr>
          <w:ilvl w:val="0"/>
          <w:numId w:val="2"/>
        </w:numPr>
        <w:spacing w:after="80" w:line="280"/>
      </w:pPr>
      <w:r>
        <w:rPr>
          <w:sz w:val="22"/>
          <w:szCs w:val="22"/>
        </w:rPr>
        <w:t xml:space="preserve">Data quality rules engine with completeness, accuracy, and consistency monitoring plus lineage and anomaly detection.</w:t>
      </w:r>
    </w:p>
    <w:p>
      <w:pPr>
        <w:pStyle w:val="Heading3"/>
        <w:spacing w:after="80" w:before="160"/>
      </w:pPr>
      <w:r>
        <w:t xml:space="preserve">Layer 4 — Pipelines, Workflows, and Orchestration</w:t>
      </w:r>
    </w:p>
    <w:p>
      <w:pPr>
        <w:pStyle w:val="ListParagraph"/>
        <w:numPr>
          <w:ilvl w:val="0"/>
          <w:numId w:val="2"/>
        </w:numPr>
        <w:spacing w:after="80" w:line="280"/>
      </w:pPr>
      <w:r>
        <w:rPr>
          <w:sz w:val="22"/>
          <w:szCs w:val="22"/>
        </w:rPr>
        <w:t xml:space="preserve">No-code drag-and-drop pipeline builder for transformation, enrichment, and conditional sync logic.</w:t>
      </w:r>
    </w:p>
    <w:p>
      <w:pPr>
        <w:pStyle w:val="ListParagraph"/>
        <w:numPr>
          <w:ilvl w:val="0"/>
          <w:numId w:val="2"/>
        </w:numPr>
        <w:spacing w:after="80" w:line="280"/>
      </w:pPr>
      <w:r>
        <w:rPr>
          <w:sz w:val="22"/>
          <w:szCs w:val="22"/>
        </w:rPr>
        <w:t xml:space="preserve">Event-driven triggers and custom actions; integration with webhooks and external APIs.</w:t>
      </w:r>
    </w:p>
    <w:p>
      <w:pPr>
        <w:pStyle w:val="ListParagraph"/>
        <w:numPr>
          <w:ilvl w:val="0"/>
          <w:numId w:val="2"/>
        </w:numPr>
        <w:spacing w:after="80" w:line="280"/>
      </w:pPr>
      <w:r>
        <w:rPr>
          <w:sz w:val="22"/>
          <w:szCs w:val="22"/>
        </w:rPr>
        <w:t xml:space="preserve">Business Studio (launched March 2026) — a dedicated interface for data stewards to operate on master data without engineering involvement.</w:t>
      </w:r>
    </w:p>
    <w:p>
      <w:pPr>
        <w:pStyle w:val="Heading3"/>
        <w:spacing w:after="80" w:before="160"/>
      </w:pPr>
      <w:r>
        <w:t xml:space="preserve">Layer 5 — AI, Agent, and MCP Layer</w:t>
      </w:r>
    </w:p>
    <w:p>
      <w:pPr>
        <w:pStyle w:val="ListParagraph"/>
        <w:numPr>
          <w:ilvl w:val="0"/>
          <w:numId w:val="2"/>
        </w:numPr>
        <w:spacing w:after="80" w:line="280"/>
      </w:pPr>
      <w:r>
        <w:rPr>
          <w:sz w:val="22"/>
          <w:szCs w:val="22"/>
        </w:rPr>
        <w:t xml:space="preserve">Master MCP Server (launched late 2025) — exposes governed, policy-enforced data to AI agents via the Model Context Protocol.</w:t>
      </w:r>
    </w:p>
    <w:p>
      <w:pPr>
        <w:pStyle w:val="ListParagraph"/>
        <w:numPr>
          <w:ilvl w:val="0"/>
          <w:numId w:val="2"/>
        </w:numPr>
        <w:spacing w:after="80" w:line="280"/>
      </w:pPr>
      <w:r>
        <w:rPr>
          <w:sz w:val="22"/>
          <w:szCs w:val="22"/>
        </w:rPr>
        <w:t xml:space="preserve">Attribute and role-based access control applied at query time, including for agents.</w:t>
      </w:r>
    </w:p>
    <w:p>
      <w:pPr>
        <w:pStyle w:val="ListParagraph"/>
        <w:numPr>
          <w:ilvl w:val="0"/>
          <w:numId w:val="2"/>
        </w:numPr>
        <w:spacing w:after="80" w:line="280"/>
      </w:pPr>
      <w:r>
        <w:rPr>
          <w:sz w:val="22"/>
          <w:szCs w:val="22"/>
        </w:rPr>
        <w:t xml:space="preserve">Bias detection and policy enforcement automation.</w:t>
      </w:r>
    </w:p>
    <w:p>
      <w:pPr>
        <w:pStyle w:val="Heading3"/>
        <w:spacing w:after="80" w:before="160"/>
      </w:pPr>
      <w:r>
        <w:t xml:space="preserve">Layer 6 — Observability and Governance</w:t>
      </w:r>
    </w:p>
    <w:p>
      <w:pPr>
        <w:pStyle w:val="ListParagraph"/>
        <w:numPr>
          <w:ilvl w:val="0"/>
          <w:numId w:val="2"/>
        </w:numPr>
        <w:spacing w:after="80" w:line="280"/>
      </w:pPr>
      <w:r>
        <w:rPr>
          <w:sz w:val="22"/>
          <w:szCs w:val="22"/>
        </w:rPr>
        <w:t xml:space="preserve">Change tracking, lineage, anomaly detection, and audit logs.</w:t>
      </w:r>
    </w:p>
    <w:p>
      <w:pPr>
        <w:pStyle w:val="ListParagraph"/>
        <w:numPr>
          <w:ilvl w:val="0"/>
          <w:numId w:val="2"/>
        </w:numPr>
        <w:spacing w:after="80" w:line="280"/>
      </w:pPr>
      <w:r>
        <w:rPr>
          <w:sz w:val="22"/>
          <w:szCs w:val="22"/>
        </w:rPr>
        <w:t xml:space="preserve">Data trust scoring and health dashboards.</w:t>
      </w:r>
    </w:p>
    <w:p>
      <w:pPr>
        <w:pStyle w:val="ListParagraph"/>
        <w:numPr>
          <w:ilvl w:val="0"/>
          <w:numId w:val="2"/>
        </w:numPr>
        <w:spacing w:after="80" w:line="280"/>
      </w:pPr>
      <w:r>
        <w:rPr>
          <w:sz w:val="22"/>
          <w:szCs w:val="22"/>
        </w:rPr>
        <w:t xml:space="preserve">SOC 2 compliance and enterprise-grade security framework.</w:t>
      </w:r>
    </w:p>
    <w:p>
      <w:pPr>
        <w:pStyle w:val="Heading2"/>
        <w:spacing w:after="120" w:before="240"/>
      </w:pPr>
      <w:r>
        <w:t xml:space="preserve">2.2 Inferred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Layer</w:t>
            </w:r>
          </w:p>
        </w:tc>
        <w:tc>
          <w:tcPr>
            <w:tcW w:type="dxa" w:w="3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Likely Technology</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Evidence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Cloud</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primary; GCP for Google Cloud marketplace</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in job listings; GCP MDM product page</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Backend</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Java and/or Kotlin, likely Spring</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Engineering job titles; typical enterprise SaaS stack</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 Store</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PostgreSQL + Snowflake integration</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Explicit Snowflake partnership and connector depth</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Orchestration</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Likely Kafka or similar event-bus for sync</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Real-time sync claims require streaming infrastructure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Frontend</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React, TypeScript, standard SPA stack</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Typical modern SaaS admin UI</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ML / Matching</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Python microservices, likely scikit-learn + LLM layer</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AI matching claims and agent capabilities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Observability</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Datadog or similar APM</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Status page infrastructure patterns</w:t>
            </w:r>
          </w:p>
        </w:tc>
      </w:tr>
    </w:tbl>
    <w:p>
      <w:pPr>
        <w:spacing w:after="120"/>
      </w:pPr>
      <w:r>
        <w:t xml:space="preserve"/>
      </w:r>
    </w:p>
    <w:p>
      <w:pPr>
        <w:pStyle w:val="Heading2"/>
        <w:spacing w:after="120" w:before="240"/>
      </w:pPr>
      <w:r>
        <w:t xml:space="preserve">2.3 Feature Depth Assessment</w:t>
      </w:r>
    </w:p>
    <w:p>
      <w:pPr>
        <w:spacing w:after="120" w:line="300"/>
        <w:jc w:val="both"/>
      </w:pPr>
      <w:r>
        <w:rPr>
          <w:sz w:val="22"/>
          <w:szCs w:val="22"/>
        </w:rPr>
        <w:t xml:space="preserve">The table below rates each capability area on a four-point scale: Demo-ware (D) — shown in demos but thin in production; Shallow (S) — functional but not differentiated; Production (P) — robust and competitive; Best-in-class (B) — market-leading.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Capability Area</w:t>
            </w:r>
          </w:p>
        </w:tc>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Depth</w:t>
            </w:r>
          </w:p>
        </w:tc>
        <w:tc>
          <w:tcPr>
            <w:tcW w:type="dxa" w:w="4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Competitive Position</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Bi-directional stateful sync (MultiSync)</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Best-in-class; core differentiator</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Connector breadth (80 to 120 Synapses)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Behind Informatica (300+) and Boomi, ahead of Reltio</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No-code pipeline builder</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On par with Workato and Tray.io</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Data quality and observability</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Behind Ataccama and Monte Carlo-class tools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Hierarchy and ontology</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Newer feature, behind Reltio and Stibo</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MCP server and agent access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Early leader; advantage window of 12 to 18 months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Pre-built domain models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Customer and account strong; product and reference data weak</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AI matching and survivorship</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Behind Tamr and Ataccama</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Industry verticalization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vertical pre-packaging; pure horizontal play</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B2C customer data at scale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Not their ICP; a competitive opening</w:t>
            </w:r>
          </w:p>
        </w:tc>
      </w:tr>
    </w:tbl>
    <w:p>
      <w:pPr>
        <w:spacing w:after="120"/>
      </w:pPr>
      <w:r>
        <w:t xml:space="preserve"/>
      </w:r>
    </w:p>
    <w:p>
      <w:pPr>
        <w:pStyle w:val="Heading2"/>
        <w:spacing w:after="120" w:before="240"/>
      </w:pPr>
      <w:r>
        <w:t xml:space="preserve">2.4 UX and Time to Value</w:t>
      </w:r>
    </w:p>
    <w:p>
      <w:pPr>
        <w:spacing w:after="120" w:line="300"/>
        <w:jc w:val="both"/>
      </w:pPr>
      <w:r>
        <w:rPr>
          <w:sz w:val="22"/>
          <w:szCs w:val="22"/>
        </w:rPr>
        <w:t xml:space="preserve">G2 and TrustRadius reviewer consensus on the Syncari user experience: the drag-and-drop interface and pre-built Synapses are highly praised for ease of use; customer support is rated 9.9 out of 10. Criticisms cluster around three themes: a steep initial learning curve for advanced features, the need to hand-write code for custom Synapses when a pre-built one is unavailable, and implementation complexity for enterprise deployments. Typical time-to-first-value is reported at four to eight weeks for mid-market deployments and twelve weeks or more for Fortune 1000 deployments.</w:t>
      </w:r>
    </w:p>
    <w:p>
      <w:pPr>
        <w:pStyle w:val="Heading2"/>
        <w:spacing w:after="120" w:before="240"/>
      </w:pPr>
      <w:r>
        <w:t xml:space="preserve">2.5 Product Gaps to Exploit</w:t>
      </w:r>
    </w:p>
    <w:p>
      <w:pPr>
        <w:pStyle w:val="ListParagraph"/>
        <w:numPr>
          <w:ilvl w:val="0"/>
          <w:numId w:val="2"/>
        </w:numPr>
        <w:spacing w:after="80" w:line="280"/>
      </w:pPr>
      <w:r>
        <w:rPr>
          <w:b/>
          <w:bCs/>
          <w:sz w:val="22"/>
          <w:szCs w:val="22"/>
        </w:rPr>
        <w:t xml:space="preserve">B2C customer data: </w:t>
      </w:r>
      <w:r>
        <w:rPr>
          <w:sz w:val="22"/>
          <w:szCs w:val="22"/>
        </w:rPr>
        <w:t xml:space="preserve">Syncari is architected around B2B GTM data. High-volume B2C CDP use cases are outside its strength — an opening for a challenger.</w:t>
      </w:r>
    </w:p>
    <w:p>
      <w:pPr>
        <w:pStyle w:val="ListParagraph"/>
        <w:numPr>
          <w:ilvl w:val="0"/>
          <w:numId w:val="2"/>
        </w:numPr>
        <w:spacing w:after="80" w:line="280"/>
      </w:pPr>
      <w:r>
        <w:rPr>
          <w:b/>
          <w:bCs/>
          <w:sz w:val="22"/>
          <w:szCs w:val="22"/>
        </w:rPr>
        <w:t xml:space="preserve">Product and reference data (PIM / RDM): </w:t>
      </w:r>
      <w:r>
        <w:rPr>
          <w:sz w:val="22"/>
          <w:szCs w:val="22"/>
        </w:rPr>
        <w:t xml:space="preserve">Product information management and reference data management are weakly supported. Stibo Systems and Syndigo dominate this adjacent market.</w:t>
      </w:r>
    </w:p>
    <w:p>
      <w:pPr>
        <w:pStyle w:val="ListParagraph"/>
        <w:numPr>
          <w:ilvl w:val="0"/>
          <w:numId w:val="2"/>
        </w:numPr>
        <w:spacing w:after="80" w:line="280"/>
      </w:pPr>
      <w:r>
        <w:rPr>
          <w:b/>
          <w:bCs/>
          <w:sz w:val="22"/>
          <w:szCs w:val="22"/>
        </w:rPr>
        <w:t xml:space="preserve">Industry verticalization: </w:t>
      </w:r>
      <w:r>
        <w:rPr>
          <w:sz w:val="22"/>
          <w:szCs w:val="22"/>
        </w:rPr>
        <w:t xml:space="preserve">No pre-packaged healthcare, financial services, or manufacturing data models. A vertical challenger can ship a 70 to 80 percent pre-built solution at a materially lower implementation cost.</w:t>
      </w:r>
    </w:p>
    <w:p>
      <w:pPr>
        <w:pStyle w:val="ListParagraph"/>
        <w:numPr>
          <w:ilvl w:val="0"/>
          <w:numId w:val="2"/>
        </w:numPr>
        <w:spacing w:after="80" w:line="280"/>
      </w:pPr>
      <w:r>
        <w:rPr>
          <w:b/>
          <w:bCs/>
          <w:sz w:val="22"/>
          <w:szCs w:val="22"/>
        </w:rPr>
        <w:t xml:space="preserve">Geographic data residency: </w:t>
      </w:r>
      <w:r>
        <w:rPr>
          <w:sz w:val="22"/>
          <w:szCs w:val="22"/>
        </w:rPr>
        <w:t xml:space="preserve">US-centric deployment footprint. EU, UK, and APAC data residency is available but not emphasized. An EMEA-first challenger has an opening.</w:t>
      </w:r>
    </w:p>
    <w:p>
      <w:pPr>
        <w:pStyle w:val="ListParagraph"/>
        <w:numPr>
          <w:ilvl w:val="0"/>
          <w:numId w:val="2"/>
        </w:numPr>
        <w:spacing w:after="80" w:line="280"/>
      </w:pPr>
      <w:r>
        <w:rPr>
          <w:b/>
          <w:bCs/>
          <w:sz w:val="22"/>
          <w:szCs w:val="22"/>
        </w:rPr>
        <w:t xml:space="preserve">Developer experience: </w:t>
      </w:r>
      <w:r>
        <w:rPr>
          <w:sz w:val="22"/>
          <w:szCs w:val="22"/>
        </w:rPr>
        <w:t xml:space="preserve">The product is built for RevOps and data stewards, not developers. An API-first, developer-first challenger (think 'Stripe for MDM') has a positioning opening.</w:t>
      </w:r>
    </w:p>
    <w:p>
      <w:pPr>
        <w:pStyle w:val="Heading1"/>
        <w:pageBreakBefore/>
        <w:spacing w:after="200" w:before="200"/>
      </w:pPr>
      <w:r>
        <w:t xml:space="preserve">3. Business Model &amp; Unit Economics</w:t>
      </w:r>
    </w:p>
    <w:p>
      <w:pPr>
        <w:pStyle w:val="Heading2"/>
        <w:spacing w:after="120" w:before="240"/>
      </w:pPr>
      <w:r>
        <w:t xml:space="preserve">3.1 Published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Plan</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Published Price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Target Segment</w:t>
            </w:r>
          </w:p>
        </w:tc>
        <w:tc>
          <w:tcPr>
            <w:tcW w:type="dxa" w:w="2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Typical Inclusions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Starter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2,995 USD / month</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Small mid-market</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Limited connectors, base record count, email support</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Growth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4,995 USD / month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Mid-market</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More connectors, higher record limits, standard SLA</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Enterprise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Custom (50k to 250k+ ACV)</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Upper mid-market and Fortune 1000</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Unlimited Synapses, custom SLAs, dedicated CSM</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Embed (OEM)</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Software platforms embedding Syncari</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Full API access, white-label options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MSP / Agency</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Custom</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Managed service providers</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Multi-tenant, centralized billing</w:t>
            </w:r>
          </w:p>
        </w:tc>
      </w:tr>
    </w:tbl>
    <w:p>
      <w:pPr>
        <w:spacing w:after="120"/>
      </w:pPr>
      <w:r>
        <w:t xml:space="preserve"/>
      </w:r>
    </w:p>
    <w:p>
      <w:pPr>
        <w:pStyle w:val="Heading2"/>
        <w:spacing w:after="120" w:before="240"/>
      </w:pPr>
      <w:r>
        <w:t xml:space="preserve">3.2 Pricing Model Analysis</w:t>
      </w:r>
    </w:p>
    <w:p>
      <w:pPr>
        <w:spacing w:after="120" w:line="300"/>
        <w:jc w:val="both"/>
      </w:pPr>
      <w:r>
        <w:rPr>
          <w:sz w:val="22"/>
          <w:szCs w:val="22"/>
        </w:rPr>
        <w:t xml:space="preserve">Syncari prices on persisted records — the number of records stored in its master hub — not on connector count, API calls, or user seats. This is a deliberate commercial choice: it aligns cost with perceived customer value (clean, trusted data) and discourages the 'rip everything in and sort later' anti-pattern common in data warehouses. It also produces smoother revenue expansion because customers grow record volume as their business grows.</w:t>
      </w:r>
    </w:p>
    <w:p>
      <w:pPr>
        <w:pStyle w:val="Heading3"/>
        <w:spacing w:after="80" w:before="160"/>
      </w:pPr>
      <w:r>
        <w:t xml:space="preserve">Estimated ACVs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Segment</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Estimated ACV Range (USD)</w:t>
            </w:r>
          </w:p>
        </w:tc>
        <w:tc>
          <w:tcPr>
            <w:tcW w:type="dxa" w:w="3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Expansion Trajectory</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SMB (under 200 employees)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35,000 to 60,000</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Linear, limited</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Mid-market (200 to 2,000 employees)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75,000 to 200,000</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2x to 3x by year 3</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Enterprise (2,000+ employees)</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200,000 to 750,000+</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2x to 5x by year 3</w:t>
            </w:r>
          </w:p>
        </w:tc>
      </w:tr>
    </w:tbl>
    <w:p>
      <w:pPr>
        <w:spacing w:after="120"/>
      </w:pPr>
      <w:r>
        <w:t xml:space="preserve"/>
      </w:r>
    </w:p>
    <w:p>
      <w:pPr>
        <w:pStyle w:val="Heading2"/>
        <w:spacing w:after="120" w:before="240"/>
      </w:pPr>
      <w:r>
        <w:t xml:space="preserve">3.3 Discounting and Contract Behavior</w:t>
      </w:r>
    </w:p>
    <w:p>
      <w:pPr>
        <w:spacing w:after="120" w:line="300"/>
        <w:jc w:val="both"/>
      </w:pPr>
      <w:r>
        <w:rPr>
          <w:sz w:val="22"/>
          <w:szCs w:val="22"/>
        </w:rPr>
        <w:t xml:space="preserve">Vendr.com marketplace data — reflecting real buyer-reported negotiations — indicates several consistent patterns in Syncari's commercial behavior:</w:t>
      </w:r>
    </w:p>
    <w:p>
      <w:pPr>
        <w:pStyle w:val="ListParagraph"/>
        <w:numPr>
          <w:ilvl w:val="0"/>
          <w:numId w:val="2"/>
        </w:numPr>
        <w:spacing w:after="80" w:line="280"/>
      </w:pPr>
      <w:r>
        <w:rPr>
          <w:sz w:val="22"/>
          <w:szCs w:val="22"/>
        </w:rPr>
        <w:t xml:space="preserve">First-year discounts of 20 to 35 percent are achievable, particularly for end-of-quarter closes.</w:t>
      </w:r>
    </w:p>
    <w:p>
      <w:pPr>
        <w:pStyle w:val="ListParagraph"/>
        <w:numPr>
          <w:ilvl w:val="0"/>
          <w:numId w:val="2"/>
        </w:numPr>
        <w:spacing w:after="80" w:line="280"/>
      </w:pPr>
      <w:r>
        <w:rPr>
          <w:sz w:val="22"/>
          <w:szCs w:val="22"/>
        </w:rPr>
        <w:t xml:space="preserve">Renewal caps of 5 to 7 percent are commonly negotiated.</w:t>
      </w:r>
    </w:p>
    <w:p>
      <w:pPr>
        <w:pStyle w:val="ListParagraph"/>
        <w:numPr>
          <w:ilvl w:val="0"/>
          <w:numId w:val="2"/>
        </w:numPr>
        <w:spacing w:after="80" w:line="280"/>
      </w:pPr>
      <w:r>
        <w:rPr>
          <w:sz w:val="22"/>
          <w:szCs w:val="22"/>
        </w:rPr>
        <w:t xml:space="preserve">Net 45 payment terms are standard and negotiable to Net 60.</w:t>
      </w:r>
    </w:p>
    <w:p>
      <w:pPr>
        <w:pStyle w:val="ListParagraph"/>
        <w:numPr>
          <w:ilvl w:val="0"/>
          <w:numId w:val="2"/>
        </w:numPr>
        <w:spacing w:after="80" w:line="280"/>
      </w:pPr>
      <w:r>
        <w:rPr>
          <w:sz w:val="22"/>
          <w:szCs w:val="22"/>
        </w:rPr>
        <w:t xml:space="preserve">Implementation services and support can often be waived at renewal.</w:t>
      </w:r>
    </w:p>
    <w:p>
      <w:pPr>
        <w:pStyle w:val="ListParagraph"/>
        <w:numPr>
          <w:ilvl w:val="0"/>
          <w:numId w:val="2"/>
        </w:numPr>
        <w:spacing w:after="80" w:line="280"/>
      </w:pPr>
      <w:r>
        <w:rPr>
          <w:sz w:val="22"/>
          <w:szCs w:val="22"/>
        </w:rPr>
        <w:t xml:space="preserve">Multi-year commitments earn additional pricing concessions of 10 to 15 percent.</w:t>
      </w:r>
    </w:p>
    <w:p>
      <w:pPr>
        <w:spacing w:after="120" w:line="300"/>
        <w:jc w:val="both"/>
      </w:pPr>
      <w:r>
        <w:rPr>
          <w:sz w:val="22"/>
          <w:szCs w:val="22"/>
        </w:rPr>
        <w:t xml:space="preserve">Interpretation: Syncari is a commercially flexible vendor with moderate pricing power, not a must-have category leader yet. This suggests a challenger who enters with aggressive pricing — 40 to 50 percent under Syncari — can take deals purely on budget grounds in the first 12 to 24 months.</w:t>
      </w:r>
    </w:p>
    <w:p>
      <w:pPr>
        <w:pStyle w:val="Heading2"/>
        <w:spacing w:after="120" w:before="240"/>
      </w:pPr>
      <w:r>
        <w:t xml:space="preserve">3.4 Estimated Unit Economics</w:t>
      </w:r>
    </w:p>
    <w:p>
      <w:pPr>
        <w:spacing w:after="120" w:line="300"/>
        <w:jc w:val="both"/>
      </w:pPr>
      <w:r>
        <w:rPr>
          <w:sz w:val="22"/>
          <w:szCs w:val="22"/>
        </w:rPr>
        <w:t xml:space="preserve">Triangulated from public employee counts, funding history, and comparable SaaS benchmarks, we estimate the following unit economics. These are analyst estimates, not company-confirmed.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Metric</w:t>
            </w:r>
          </w:p>
        </w:tc>
        <w:tc>
          <w:tcPr>
            <w:tcW w:type="dxa" w:w="2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Estimated Range</w:t>
            </w:r>
          </w:p>
        </w:tc>
        <w:tc>
          <w:tcPr>
            <w:tcW w:type="dxa" w:w="38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Benchmark (Top Quartile SaaS)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Gross margin</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68 to 74 percent</w:t>
            </w:r>
          </w:p>
        </w:tc>
        <w:tc>
          <w:tcPr>
            <w:tcW w:type="dxa" w:w="3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75 to 82 percent</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CAC payback period</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18 to 30 months</w:t>
            </w:r>
          </w:p>
        </w:tc>
        <w:tc>
          <w:tcPr>
            <w:tcW w:type="dxa" w:w="38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12 to 18 months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Net revenue retention</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105 to 120 percent</w:t>
            </w:r>
          </w:p>
        </w:tc>
        <w:tc>
          <w:tcPr>
            <w:tcW w:type="dxa" w:w="3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120 to 135 percent</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Gross revenue retention</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88 to 93 percent</w:t>
            </w:r>
          </w:p>
        </w:tc>
        <w:tc>
          <w:tcPr>
            <w:tcW w:type="dxa" w:w="38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92 to 96 percent</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Burn multiple</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1.8 to 2.5x</w:t>
            </w:r>
          </w:p>
        </w:tc>
        <w:tc>
          <w:tcPr>
            <w:tcW w:type="dxa" w:w="3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Under 1.5x</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S&amp;M as percent of revenue</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60 to 80 percent</w:t>
            </w:r>
          </w:p>
        </w:tc>
        <w:tc>
          <w:tcPr>
            <w:tcW w:type="dxa" w:w="38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40 to 55 percent at scale</w:t>
            </w:r>
          </w:p>
        </w:tc>
      </w:tr>
    </w:tbl>
    <w:p>
      <w:pPr>
        <w:spacing w:after="120"/>
      </w:pPr>
      <w:r>
        <w:t xml:space="preserve"/>
      </w:r>
    </w:p>
    <w:p>
      <w:pPr>
        <w:spacing w:after="120" w:line="300"/>
        <w:jc w:val="both"/>
      </w:pPr>
      <w:r>
        <w:rPr>
          <w:sz w:val="22"/>
          <w:szCs w:val="22"/>
        </w:rPr>
        <w:t xml:space="preserve">Interpretation: Syncari is operating at mid-pack SaaS economics — not broken, but not yet investment-grade efficient. This is typical of a Series B company still finding its enterprise-motion playbook. A challenger with better automation and a narrower initial ICP can plausibly achieve meaningfully better burn-multiple and payback in the first 24 months.</w:t>
      </w:r>
    </w:p>
    <w:p>
      <w:pPr>
        <w:pStyle w:val="Heading1"/>
        <w:pageBreakBefore/>
        <w:spacing w:after="200" w:before="200"/>
      </w:pPr>
      <w:r>
        <w:t xml:space="preserve">4. Go-to-Market Motion</w:t>
      </w:r>
    </w:p>
    <w:p>
      <w:pPr>
        <w:pStyle w:val="Heading2"/>
        <w:spacing w:after="120" w:before="240"/>
      </w:pPr>
      <w:r>
        <w:t xml:space="preserve">4.1 Ideal Customer Profile</w:t>
      </w:r>
    </w:p>
    <w:p>
      <w:pPr>
        <w:spacing w:after="120" w:line="300"/>
        <w:jc w:val="both"/>
      </w:pPr>
      <w:r>
        <w:rPr>
          <w:sz w:val="22"/>
          <w:szCs w:val="22"/>
        </w:rPr>
        <w:t xml:space="preserve">Based on publicly identified customers (Monotype, GoTo, Impartner, Trimble, Yardi, Antech Diagnostics, Eakes, Quarq), case study language, and Syncari's own marketing vocabulary, we triangulate the following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Dimension</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Ideal Customer Profile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Company size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500 to 10,000 employees; 100 million to 2 billion USD revenue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Industry</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B2B SaaS, enterprise software, professional services, industrial tech</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Tech stack signature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Salesforce (often multiple orgs) + Marketo or HubSpot + Zuora or NetSuite + Snowflake or BigQuery</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Pain signal</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Post-acquisition multi-CRM integration; RevOps complexity; AI initiative stalled on data quality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Buying persona</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VP RevOps, VP Data, VP Marketing Operations, CDO; deal usually has IT and Security sign-off</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Champion title</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Director of RevOps, Director of Salesforce, Director of Data Platform</w:t>
            </w:r>
          </w:p>
        </w:tc>
      </w:tr>
    </w:tbl>
    <w:p>
      <w:pPr>
        <w:spacing w:after="120"/>
      </w:pPr>
      <w:r>
        <w:t xml:space="preserve"/>
      </w:r>
    </w:p>
    <w:p>
      <w:pPr>
        <w:spacing w:after="120" w:line="300"/>
        <w:jc w:val="both"/>
      </w:pPr>
      <w:r>
        <w:rPr>
          <w:sz w:val="22"/>
          <w:szCs w:val="22"/>
        </w:rPr>
        <w:t xml:space="preserve">Common thread across flagship customers (Monotype, GoTo, Impartner): all are B2B software or B2B tech-enabled services companies, all operate multi-CRM or post-acquisition stack complexity, and all have a strong operational culture around RevOps.</w:t>
      </w:r>
    </w:p>
    <w:p>
      <w:pPr>
        <w:pStyle w:val="Heading2"/>
        <w:spacing w:after="120" w:before="240"/>
      </w:pPr>
      <w:r>
        <w:t xml:space="preserve">4.2 Sales Motion</w:t>
      </w:r>
    </w:p>
    <w:p>
      <w:pPr>
        <w:spacing w:after="120" w:line="300"/>
        <w:jc w:val="both"/>
      </w:pPr>
      <w:r>
        <w:rPr>
          <w:sz w:val="22"/>
          <w:szCs w:val="22"/>
        </w:rPr>
        <w:t xml:space="preserve">Syncari runs a hybrid motion: a self-serve free trial gate on the website, a product-led onboarding flow, and an overlay sales team that activates once a trial account exceeds certain thresholds or requests a demo. The actual closing motion for Enterprise deals is fully sales-led with typical enterprise SaaS cycle characteristics.</w:t>
      </w:r>
    </w:p>
    <w:p>
      <w:pPr>
        <w:pStyle w:val="ListParagraph"/>
        <w:numPr>
          <w:ilvl w:val="0"/>
          <w:numId w:val="2"/>
        </w:numPr>
        <w:spacing w:after="80" w:line="280"/>
      </w:pPr>
      <w:r>
        <w:rPr>
          <w:b/>
          <w:bCs/>
          <w:sz w:val="22"/>
          <w:szCs w:val="22"/>
        </w:rPr>
        <w:t xml:space="preserve">Sales cycle length: </w:t>
      </w:r>
      <w:r>
        <w:rPr>
          <w:sz w:val="22"/>
          <w:szCs w:val="22"/>
        </w:rPr>
        <w:t xml:space="preserve">60 to 90 days for mid-market; 120 to 180 days for Enterprise.</w:t>
      </w:r>
    </w:p>
    <w:p>
      <w:pPr>
        <w:pStyle w:val="ListParagraph"/>
        <w:numPr>
          <w:ilvl w:val="0"/>
          <w:numId w:val="2"/>
        </w:numPr>
        <w:spacing w:after="80" w:line="280"/>
      </w:pPr>
      <w:r>
        <w:rPr>
          <w:b/>
          <w:bCs/>
          <w:sz w:val="22"/>
          <w:szCs w:val="22"/>
        </w:rPr>
        <w:t xml:space="preserve">Deal team: </w:t>
      </w:r>
      <w:r>
        <w:rPr>
          <w:sz w:val="22"/>
          <w:szCs w:val="22"/>
        </w:rPr>
        <w:t xml:space="preserve">AE plus Solutions Engineer plus Customer Success pre-sales for most deals over 100k USD ACV.</w:t>
      </w:r>
    </w:p>
    <w:p>
      <w:pPr>
        <w:pStyle w:val="ListParagraph"/>
        <w:numPr>
          <w:ilvl w:val="0"/>
          <w:numId w:val="2"/>
        </w:numPr>
        <w:spacing w:after="80" w:line="280"/>
      </w:pPr>
      <w:r>
        <w:rPr>
          <w:b/>
          <w:bCs/>
          <w:sz w:val="22"/>
          <w:szCs w:val="22"/>
        </w:rPr>
        <w:t xml:space="preserve">AE quota: </w:t>
      </w:r>
      <w:r>
        <w:rPr>
          <w:sz w:val="22"/>
          <w:szCs w:val="22"/>
        </w:rPr>
        <w:t xml:space="preserve">Estimated 800k to 1.2M USD annual quota; OTE likely 250k to 320k USD.</w:t>
      </w:r>
    </w:p>
    <w:p>
      <w:pPr>
        <w:pStyle w:val="ListParagraph"/>
        <w:numPr>
          <w:ilvl w:val="0"/>
          <w:numId w:val="2"/>
        </w:numPr>
        <w:spacing w:after="80" w:line="280"/>
      </w:pPr>
      <w:r>
        <w:rPr>
          <w:b/>
          <w:bCs/>
          <w:sz w:val="22"/>
          <w:szCs w:val="22"/>
        </w:rPr>
        <w:t xml:space="preserve">Ramp time: </w:t>
      </w:r>
      <w:r>
        <w:rPr>
          <w:sz w:val="22"/>
          <w:szCs w:val="22"/>
        </w:rPr>
        <w:t xml:space="preserve">Four to six months to first closed deal, based on typical enterprise SaaS new-hire patterns.</w:t>
      </w:r>
    </w:p>
    <w:p>
      <w:pPr>
        <w:pStyle w:val="Heading2"/>
        <w:spacing w:after="120" w:before="240"/>
      </w:pPr>
      <w:r>
        <w:t xml:space="preserve">4.3 Channel and Partnership Strategy</w:t>
      </w:r>
    </w:p>
    <w:p>
      <w:pPr>
        <w:pStyle w:val="ListParagraph"/>
        <w:numPr>
          <w:ilvl w:val="0"/>
          <w:numId w:val="2"/>
        </w:numPr>
        <w:spacing w:after="80" w:line="280"/>
      </w:pPr>
      <w:r>
        <w:rPr>
          <w:b/>
          <w:bCs/>
          <w:sz w:val="22"/>
          <w:szCs w:val="22"/>
        </w:rPr>
        <w:t xml:space="preserve">Cloud marketplaces: </w:t>
      </w:r>
      <w:r>
        <w:rPr>
          <w:sz w:val="22"/>
          <w:szCs w:val="22"/>
        </w:rPr>
        <w:t xml:space="preserve">Google Cloud Marketplace, Snowflake Partner Network. Notable absence: AWS Marketplace (an opening for a challenger).</w:t>
      </w:r>
    </w:p>
    <w:p>
      <w:pPr>
        <w:pStyle w:val="ListParagraph"/>
        <w:numPr>
          <w:ilvl w:val="0"/>
          <w:numId w:val="2"/>
        </w:numPr>
        <w:spacing w:after="80" w:line="280"/>
      </w:pPr>
      <w:r>
        <w:rPr>
          <w:b/>
          <w:bCs/>
          <w:sz w:val="22"/>
          <w:szCs w:val="22"/>
        </w:rPr>
        <w:t xml:space="preserve">Technology alliances: </w:t>
      </w:r>
      <w:r>
        <w:rPr>
          <w:sz w:val="22"/>
          <w:szCs w:val="22"/>
        </w:rPr>
        <w:t xml:space="preserve">Snowflake, Google Cloud, Adobe/Marketo, Salesforce, Impartner.</w:t>
      </w:r>
    </w:p>
    <w:p>
      <w:pPr>
        <w:pStyle w:val="ListParagraph"/>
        <w:numPr>
          <w:ilvl w:val="0"/>
          <w:numId w:val="2"/>
        </w:numPr>
        <w:spacing w:after="80" w:line="280"/>
      </w:pPr>
      <w:r>
        <w:rPr>
          <w:b/>
          <w:bCs/>
          <w:sz w:val="22"/>
          <w:szCs w:val="22"/>
        </w:rPr>
        <w:t xml:space="preserve">Embedded / OEM: </w:t>
      </w:r>
      <w:r>
        <w:rPr>
          <w:sz w:val="22"/>
          <w:szCs w:val="22"/>
        </w:rPr>
        <w:t xml:space="preserve">Impartner case study shows Syncari is willing to be embedded inside third-party software as a back-end integration layer — this is a strategic category and a lucrative one.</w:t>
      </w:r>
    </w:p>
    <w:p>
      <w:pPr>
        <w:pStyle w:val="ListParagraph"/>
        <w:numPr>
          <w:ilvl w:val="0"/>
          <w:numId w:val="2"/>
        </w:numPr>
        <w:spacing w:after="80" w:line="280"/>
      </w:pPr>
      <w:r>
        <w:rPr>
          <w:b/>
          <w:bCs/>
          <w:sz w:val="22"/>
          <w:szCs w:val="22"/>
        </w:rPr>
        <w:t xml:space="preserve">SI partners: </w:t>
      </w:r>
      <w:r>
        <w:rPr>
          <w:sz w:val="22"/>
          <w:szCs w:val="22"/>
        </w:rPr>
        <w:t xml:space="preserve">No visible large-scale SI relationships (Deloitte, Accenture, Slalom, etc.). This is a significant gap and a challenger opportunity.</w:t>
      </w:r>
    </w:p>
    <w:p>
      <w:pPr>
        <w:pStyle w:val="ListParagraph"/>
        <w:numPr>
          <w:ilvl w:val="0"/>
          <w:numId w:val="2"/>
        </w:numPr>
        <w:spacing w:after="80" w:line="280"/>
      </w:pPr>
      <w:r>
        <w:rPr>
          <w:b/>
          <w:bCs/>
          <w:sz w:val="22"/>
          <w:szCs w:val="22"/>
        </w:rPr>
        <w:t xml:space="preserve">Reseller network: </w:t>
      </w:r>
      <w:r>
        <w:rPr>
          <w:sz w:val="22"/>
          <w:szCs w:val="22"/>
        </w:rPr>
        <w:t xml:space="preserve">Minimal. The company has not invested heavily in traditional reseller channels.</w:t>
      </w:r>
    </w:p>
    <w:p>
      <w:pPr>
        <w:pStyle w:val="Heading2"/>
        <w:spacing w:after="120" w:before="240"/>
      </w:pPr>
      <w:r>
        <w:t xml:space="preserve">4.4 Typical Competitive Win/Loss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Against</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Typical Outcome</w:t>
            </w:r>
          </w:p>
        </w:tc>
        <w:tc>
          <w:tcPr>
            <w:tcW w:type="dxa" w:w="4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Reason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Informatica</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Wins on cloud-native and time-to-value</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Informatica is perceived as legacy and heavy</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Reltio</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Loses on multi-domain depth and scale</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Reltio is the established cloud MDM incumbent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Build-in-house on Snowflake + dbt</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Wins on maintenance burden argument</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But loses on data engineering team preference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Boomi / Workato</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Wins on data quality and MDM</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But loses if pure integration is the need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Profisee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Splits</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Profisee is Microsoft-centric; Syncari is Salesforce-centric</w:t>
            </w:r>
          </w:p>
        </w:tc>
      </w:tr>
    </w:tbl>
    <w:p>
      <w:pPr>
        <w:spacing w:after="120"/>
      </w:pPr>
      <w:r>
        <w:t xml:space="preserve"/>
      </w:r>
    </w:p>
    <w:p>
      <w:pPr>
        <w:pStyle w:val="Heading2"/>
        <w:spacing w:after="120" w:before="240"/>
      </w:pPr>
      <w:r>
        <w:t xml:space="preserve">4.5 Objection Handling Patterns</w:t>
      </w:r>
    </w:p>
    <w:p>
      <w:pPr>
        <w:spacing w:after="120" w:line="300"/>
        <w:jc w:val="both"/>
      </w:pPr>
      <w:r>
        <w:rPr>
          <w:sz w:val="22"/>
          <w:szCs w:val="22"/>
        </w:rPr>
        <w:t xml:space="preserve">Observed buyer objections from customer interviews and reviewer commentary:</w:t>
      </w:r>
    </w:p>
    <w:p>
      <w:pPr>
        <w:pStyle w:val="ListParagraph"/>
        <w:numPr>
          <w:ilvl w:val="0"/>
          <w:numId w:val="2"/>
        </w:numPr>
        <w:spacing w:after="80" w:line="280"/>
      </w:pPr>
      <w:r>
        <w:rPr>
          <w:sz w:val="22"/>
          <w:szCs w:val="22"/>
        </w:rPr>
        <w:t xml:space="preserve">'We already have Informatica / Reltio' — Syncari positions as the modern, real-time, cloud-native replacement and offers aggressive migration incentives.</w:t>
      </w:r>
    </w:p>
    <w:p>
      <w:pPr>
        <w:pStyle w:val="ListParagraph"/>
        <w:numPr>
          <w:ilvl w:val="0"/>
          <w:numId w:val="2"/>
        </w:numPr>
        <w:spacing w:after="80" w:line="280"/>
      </w:pPr>
      <w:r>
        <w:rPr>
          <w:sz w:val="22"/>
          <w:szCs w:val="22"/>
        </w:rPr>
        <w:t xml:space="preserve">'Why not build on Snowflake?' — Syncari positions as 7 to 10 times faster time-to-value and lower total cost of ownership over three years.</w:t>
      </w:r>
    </w:p>
    <w:p>
      <w:pPr>
        <w:pStyle w:val="ListParagraph"/>
        <w:numPr>
          <w:ilvl w:val="0"/>
          <w:numId w:val="2"/>
        </w:numPr>
        <w:spacing w:after="80" w:line="280"/>
      </w:pPr>
      <w:r>
        <w:rPr>
          <w:sz w:val="22"/>
          <w:szCs w:val="22"/>
        </w:rPr>
        <w:t xml:space="preserve">'Is it really no-code?' — Partial yes; custom Synapses still require engineering. Syncari has been adding packaged templates to address this.</w:t>
      </w:r>
    </w:p>
    <w:p>
      <w:pPr>
        <w:pStyle w:val="ListParagraph"/>
        <w:numPr>
          <w:ilvl w:val="0"/>
          <w:numId w:val="2"/>
        </w:numPr>
        <w:spacing w:after="80" w:line="280"/>
      </w:pPr>
      <w:r>
        <w:rPr>
          <w:sz w:val="22"/>
          <w:szCs w:val="22"/>
        </w:rPr>
        <w:t xml:space="preserve">'Will you survive?' — A legitimate Series B stage objection that strengthens as the AI wave draws in more capital; a well-funded challenger can both trigger and exploit this objection.</w:t>
      </w:r>
    </w:p>
    <w:p>
      <w:pPr>
        <w:pStyle w:val="Heading1"/>
        <w:pageBreakBefore/>
        <w:spacing w:after="200" w:before="200"/>
      </w:pPr>
      <w:r>
        <w:t xml:space="preserve">5. Marketing &amp; Demand Generation</w:t>
      </w:r>
    </w:p>
    <w:p>
      <w:pPr>
        <w:pStyle w:val="Heading2"/>
        <w:spacing w:after="120" w:before="240"/>
      </w:pPr>
      <w:r>
        <w:t xml:space="preserve">5.1 Messaging Architecture</w:t>
      </w:r>
    </w:p>
    <w:p>
      <w:pPr>
        <w:spacing w:after="120" w:line="300"/>
        <w:jc w:val="both"/>
      </w:pPr>
      <w:r>
        <w:rPr>
          <w:sz w:val="22"/>
          <w:szCs w:val="22"/>
        </w:rPr>
        <w:t xml:space="preserve">Syncari's messaging has evolved in four discrete phases. Understanding these transitions is critical because they reveal the company's strategic priorities and the positioning gaps a challenger can exploit.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Phase</w:t>
            </w:r>
          </w:p>
        </w:tc>
        <w:tc>
          <w:tcPr>
            <w:tcW w:type="dxa" w:w="3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Headline Message</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Proof Point</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2019-2021</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No-code data automation for GTM</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Crosslink Capital Series A</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2021-2023</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Customer Data Automation</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First Fortune 1000 logos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2023-2024</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Unified Data Platform for RevOps and Data Teams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Gartner Cool Vendor</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2024-2025</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The first Agentic MDM for the AI era</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Series B; 2T+ governed operations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2026-Present</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The infrastructure AI needs — a system of trust</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Gartner MQ Visionary; Business Studio</w:t>
            </w:r>
          </w:p>
        </w:tc>
      </w:tr>
    </w:tbl>
    <w:p>
      <w:pPr>
        <w:spacing w:after="120"/>
      </w:pPr>
      <w:r>
        <w:t xml:space="preserve"/>
      </w:r>
    </w:p>
    <w:p>
      <w:pPr>
        <w:pStyle w:val="Heading2"/>
        <w:spacing w:after="120" w:before="240"/>
      </w:pPr>
      <w:r>
        <w:t xml:space="preserve">5.2 Content Strategy</w:t>
      </w:r>
    </w:p>
    <w:p>
      <w:pPr>
        <w:spacing w:after="120" w:line="300"/>
        <w:jc w:val="both"/>
      </w:pPr>
      <w:r>
        <w:rPr>
          <w:sz w:val="22"/>
          <w:szCs w:val="22"/>
        </w:rPr>
        <w:t xml:space="preserve">Syncari publishes a steady cadence of two to four long-form blog posts per month, organized around four content pillars: Agentic AI and Enterprise Data, MDM Modernization and the Informatica Replacement thesis, Data Governance and Trust, and Customer Success and Technical How-to content. The company has invested heavily in thought leadership from the CEO (Nick Bonfiglio) as a primary spokesperson.</w:t>
      </w:r>
    </w:p>
    <w:p>
      <w:pPr>
        <w:pStyle w:val="ListParagraph"/>
        <w:numPr>
          <w:ilvl w:val="0"/>
          <w:numId w:val="2"/>
        </w:numPr>
        <w:spacing w:after="80" w:line="280"/>
      </w:pPr>
      <w:r>
        <w:rPr>
          <w:b/>
          <w:bCs/>
          <w:sz w:val="22"/>
          <w:szCs w:val="22"/>
        </w:rPr>
        <w:t xml:space="preserve">Signature narrative piece (2026): </w:t>
      </w:r>
      <w:r>
        <w:rPr>
          <w:sz w:val="22"/>
          <w:szCs w:val="22"/>
        </w:rPr>
        <w:t xml:space="preserve">'The End of the Informatica Era' — positioning Syncari as the modern alternative to the post-Salesforce Informatica stack.</w:t>
      </w:r>
    </w:p>
    <w:p>
      <w:pPr>
        <w:pStyle w:val="ListParagraph"/>
        <w:numPr>
          <w:ilvl w:val="0"/>
          <w:numId w:val="2"/>
        </w:numPr>
        <w:spacing w:after="80" w:line="280"/>
      </w:pPr>
      <w:r>
        <w:rPr>
          <w:b/>
          <w:bCs/>
          <w:sz w:val="22"/>
          <w:szCs w:val="22"/>
        </w:rPr>
        <w:t xml:space="preserve">Technical content: </w:t>
      </w:r>
      <w:r>
        <w:rPr>
          <w:sz w:val="22"/>
          <w:szCs w:val="22"/>
        </w:rPr>
        <w:t xml:space="preserve">Documentation, Academy certifications, and developer guides are well-produced and discoverable.</w:t>
      </w:r>
    </w:p>
    <w:p>
      <w:pPr>
        <w:pStyle w:val="ListParagraph"/>
        <w:numPr>
          <w:ilvl w:val="0"/>
          <w:numId w:val="2"/>
        </w:numPr>
        <w:spacing w:after="80" w:line="280"/>
      </w:pPr>
      <w:r>
        <w:rPr>
          <w:b/>
          <w:bCs/>
          <w:sz w:val="22"/>
          <w:szCs w:val="22"/>
        </w:rPr>
        <w:t xml:space="preserve">Estimated organic traffic: </w:t>
      </w:r>
      <w:r>
        <w:rPr>
          <w:sz w:val="22"/>
          <w:szCs w:val="22"/>
        </w:rPr>
        <w:t xml:space="preserve">10,000 to 25,000 monthly sessions — respectable for a Series B company but an order of magnitude below Informatica or Boomi.</w:t>
      </w:r>
    </w:p>
    <w:p>
      <w:pPr>
        <w:pStyle w:val="Heading2"/>
        <w:spacing w:after="120" w:before="240"/>
      </w:pPr>
      <w:r>
        <w:t xml:space="preserve">5.3 Paid Acquisition</w:t>
      </w:r>
    </w:p>
    <w:p>
      <w:pPr>
        <w:spacing w:after="120" w:line="300"/>
        <w:jc w:val="both"/>
      </w:pPr>
      <w:r>
        <w:rPr>
          <w:sz w:val="22"/>
          <w:szCs w:val="22"/>
        </w:rPr>
        <w:t xml:space="preserve">Syncari runs Google Search ads on high-intent keywords including 'MDM platform', 'master data management', 'Informatica alternative', 'RevOps data platform', and 'Syncari' defensive terms. LinkedIn sponsored content targets RevOps, CDO, and VP Data personas in their ICP company list. Estimated combined paid spend: 150,000 to 300,000 USD per month at current scale — modest by enterprise software standards.</w:t>
      </w:r>
    </w:p>
    <w:p>
      <w:pPr>
        <w:pStyle w:val="Heading2"/>
        <w:spacing w:after="120" w:before="240"/>
      </w:pPr>
      <w:r>
        <w:t xml:space="preserve">5.4 Analyst Relations Playbook</w:t>
      </w:r>
    </w:p>
    <w:p>
      <w:pPr>
        <w:spacing w:after="120" w:line="300"/>
        <w:jc w:val="both"/>
      </w:pPr>
      <w:r>
        <w:rPr>
          <w:sz w:val="22"/>
          <w:szCs w:val="22"/>
        </w:rPr>
        <w:t xml:space="preserve">Syncari's analyst relations arc is worth studying in detail because it shows how a small company can achieve Visionary status in five years:</w:t>
      </w:r>
    </w:p>
    <w:p>
      <w:pPr>
        <w:pStyle w:val="ListParagraph"/>
        <w:numPr>
          <w:ilvl w:val="0"/>
          <w:numId w:val="2"/>
        </w:numPr>
        <w:spacing w:after="80" w:line="280"/>
      </w:pPr>
      <w:r>
        <w:rPr>
          <w:sz w:val="22"/>
          <w:szCs w:val="22"/>
        </w:rPr>
        <w:t xml:space="preserve">2022: Named Gartner Cool Vendor in RevOps Data Automation — entry-level analyst recognition.</w:t>
      </w:r>
    </w:p>
    <w:p>
      <w:pPr>
        <w:pStyle w:val="ListParagraph"/>
        <w:numPr>
          <w:ilvl w:val="0"/>
          <w:numId w:val="2"/>
        </w:numPr>
        <w:spacing w:after="80" w:line="280"/>
      </w:pPr>
      <w:r>
        <w:rPr>
          <w:sz w:val="22"/>
          <w:szCs w:val="22"/>
        </w:rPr>
        <w:t xml:space="preserve">2024: Named Representative Vendor in Gartner Market Guide for MDM Solutions.</w:t>
      </w:r>
    </w:p>
    <w:p>
      <w:pPr>
        <w:pStyle w:val="ListParagraph"/>
        <w:numPr>
          <w:ilvl w:val="0"/>
          <w:numId w:val="2"/>
        </w:numPr>
        <w:spacing w:after="80" w:line="280"/>
      </w:pPr>
      <w:r>
        <w:rPr>
          <w:sz w:val="22"/>
          <w:szCs w:val="22"/>
        </w:rPr>
        <w:t xml:space="preserve">2025: Named to DBTA Big Data 75 list — broader credibility.</w:t>
      </w:r>
    </w:p>
    <w:p>
      <w:pPr>
        <w:pStyle w:val="ListParagraph"/>
        <w:numPr>
          <w:ilvl w:val="0"/>
          <w:numId w:val="2"/>
        </w:numPr>
        <w:spacing w:after="80" w:line="280"/>
      </w:pPr>
      <w:r>
        <w:rPr>
          <w:sz w:val="22"/>
          <w:szCs w:val="22"/>
        </w:rPr>
        <w:t xml:space="preserve">April 2026: Named Visionary in Gartner Magic Quadrant for MDM — top-tier recognition.</w:t>
      </w:r>
    </w:p>
    <w:p>
      <w:pPr>
        <w:spacing w:after="120" w:line="300"/>
        <w:jc w:val="both"/>
      </w:pPr>
      <w:r>
        <w:rPr>
          <w:sz w:val="22"/>
          <w:szCs w:val="22"/>
        </w:rPr>
        <w:t xml:space="preserve">Total estimated analyst relations spend: 150,000 to 400,000 USD annually covering Gartner briefings, Forrester briefings, and inquiry calls. Challenger timeline to match: 24 to 36 months if well-executed, 48 months if under-resourced.</w:t>
      </w:r>
    </w:p>
    <w:p>
      <w:pPr>
        <w:pStyle w:val="Heading2"/>
        <w:spacing w:after="120" w:before="240"/>
      </w:pPr>
      <w:r>
        <w:t xml:space="preserve">5.5 Event and Community Strategy</w:t>
      </w:r>
    </w:p>
    <w:p>
      <w:pPr>
        <w:pStyle w:val="ListParagraph"/>
        <w:numPr>
          <w:ilvl w:val="0"/>
          <w:numId w:val="2"/>
        </w:numPr>
        <w:spacing w:after="80" w:line="280"/>
      </w:pPr>
      <w:r>
        <w:rPr>
          <w:sz w:val="22"/>
          <w:szCs w:val="22"/>
        </w:rPr>
        <w:t xml:space="preserve">Co-hosted webinars with Gartner analysts and customer personas (e.g., GoTo, Monotype) — a high-leverage format.</w:t>
      </w:r>
    </w:p>
    <w:p>
      <w:pPr>
        <w:pStyle w:val="ListParagraph"/>
        <w:numPr>
          <w:ilvl w:val="0"/>
          <w:numId w:val="2"/>
        </w:numPr>
        <w:spacing w:after="80" w:line="280"/>
      </w:pPr>
      <w:r>
        <w:rPr>
          <w:sz w:val="22"/>
          <w:szCs w:val="22"/>
        </w:rPr>
        <w:t xml:space="preserve">Presence at data-focused conferences: Snowflake Summit, Google Cloud Next, Salesforce Dreamforce (as a Partner).</w:t>
      </w:r>
    </w:p>
    <w:p>
      <w:pPr>
        <w:pStyle w:val="ListParagraph"/>
        <w:numPr>
          <w:ilvl w:val="0"/>
          <w:numId w:val="2"/>
        </w:numPr>
        <w:spacing w:after="80" w:line="280"/>
      </w:pPr>
      <w:r>
        <w:rPr>
          <w:sz w:val="22"/>
          <w:szCs w:val="22"/>
        </w:rPr>
        <w:t xml:space="preserve">Syncari Community and Academy (certifications) — a light but real community motion.</w:t>
      </w:r>
    </w:p>
    <w:p>
      <w:pPr>
        <w:pStyle w:val="ListParagraph"/>
        <w:numPr>
          <w:ilvl w:val="0"/>
          <w:numId w:val="2"/>
        </w:numPr>
        <w:spacing w:after="80" w:line="280"/>
      </w:pPr>
      <w:r>
        <w:rPr>
          <w:sz w:val="22"/>
          <w:szCs w:val="22"/>
        </w:rPr>
        <w:t xml:space="preserve">Gap: no owned flagship event (compare to Informatica World, Reltio ONE).</w:t>
      </w:r>
    </w:p>
    <w:p>
      <w:pPr>
        <w:pStyle w:val="Heading2"/>
        <w:spacing w:after="120" w:before="240"/>
      </w:pPr>
      <w:r>
        <w:t xml:space="preserve">5.6 PR and Earned Media</w:t>
      </w:r>
    </w:p>
    <w:p>
      <w:pPr>
        <w:pStyle w:val="ListParagraph"/>
        <w:numPr>
          <w:ilvl w:val="0"/>
          <w:numId w:val="2"/>
        </w:numPr>
        <w:spacing w:after="80" w:line="280"/>
      </w:pPr>
      <w:r>
        <w:rPr>
          <w:sz w:val="22"/>
          <w:szCs w:val="22"/>
        </w:rPr>
        <w:t xml:space="preserve">Steady press release cadence (roughly one per month).</w:t>
      </w:r>
    </w:p>
    <w:p>
      <w:pPr>
        <w:pStyle w:val="ListParagraph"/>
        <w:numPr>
          <w:ilvl w:val="0"/>
          <w:numId w:val="2"/>
        </w:numPr>
        <w:spacing w:after="80" w:line="280"/>
      </w:pPr>
      <w:r>
        <w:rPr>
          <w:sz w:val="22"/>
          <w:szCs w:val="22"/>
        </w:rPr>
        <w:t xml:space="preserve">Coverage concentrated in martech/data-tech trade press (MarTech Series, Silicon Review, SaaS News, DBTA).</w:t>
      </w:r>
    </w:p>
    <w:p>
      <w:pPr>
        <w:pStyle w:val="ListParagraph"/>
        <w:numPr>
          <w:ilvl w:val="0"/>
          <w:numId w:val="2"/>
        </w:numPr>
        <w:spacing w:after="80" w:line="280"/>
      </w:pPr>
      <w:r>
        <w:rPr>
          <w:sz w:val="22"/>
          <w:szCs w:val="22"/>
        </w:rPr>
        <w:t xml:space="preserve">Awards strategy: Data Breakthrough Awards 2026 (Data Mastering Solution of the Year), Gartner Cool Vendor (2022), DBTA Big Data 75 (2025).</w:t>
      </w:r>
    </w:p>
    <w:p>
      <w:pPr>
        <w:pStyle w:val="ListParagraph"/>
        <w:numPr>
          <w:ilvl w:val="0"/>
          <w:numId w:val="2"/>
        </w:numPr>
        <w:spacing w:after="80" w:line="280"/>
      </w:pPr>
      <w:r>
        <w:rPr>
          <w:sz w:val="22"/>
          <w:szCs w:val="22"/>
        </w:rPr>
        <w:t xml:space="preserve">Gap: limited coverage in top-tier business press (Wall Street Journal, Financial Times, Bloomberg).</w:t>
      </w:r>
    </w:p>
    <w:p>
      <w:pPr>
        <w:pStyle w:val="Heading2"/>
        <w:spacing w:after="120" w:before="240"/>
      </w:pPr>
      <w:r>
        <w:t xml:space="preserve">5.7 Marketing Opportunities for a Challenger</w:t>
      </w:r>
    </w:p>
    <w:p>
      <w:pPr>
        <w:pStyle w:val="ListParagraph"/>
        <w:numPr>
          <w:ilvl w:val="0"/>
          <w:numId w:val="2"/>
        </w:numPr>
        <w:spacing w:after="80" w:line="280"/>
      </w:pPr>
      <w:r>
        <w:rPr>
          <w:b/>
          <w:bCs/>
          <w:sz w:val="22"/>
          <w:szCs w:val="22"/>
        </w:rPr>
        <w:t xml:space="preserve">Informatica-to-challenger migration narrative: </w:t>
      </w:r>
      <w:r>
        <w:rPr>
          <w:sz w:val="22"/>
          <w:szCs w:val="22"/>
        </w:rPr>
        <w:t xml:space="preserve">The Salesforce-Informatica acquisition has created the single largest migration opportunity in the MDM market in 15 years. Syncari has begun capturing this narrative; a challenger can aggressively out-market on the specific pain points (pricing uplift expectations, feature roadmap uncertainty, contract lock-in).</w:t>
      </w:r>
    </w:p>
    <w:p>
      <w:pPr>
        <w:pStyle w:val="ListParagraph"/>
        <w:numPr>
          <w:ilvl w:val="0"/>
          <w:numId w:val="2"/>
        </w:numPr>
        <w:spacing w:after="80" w:line="280"/>
      </w:pPr>
      <w:r>
        <w:rPr>
          <w:b/>
          <w:bCs/>
          <w:sz w:val="22"/>
          <w:szCs w:val="22"/>
        </w:rPr>
        <w:t xml:space="preserve">Developer content: </w:t>
      </w:r>
      <w:r>
        <w:rPr>
          <w:sz w:val="22"/>
          <w:szCs w:val="22"/>
        </w:rPr>
        <w:t xml:space="preserve">Syncari's content is RevOps and CDO-focused. A developer-first challenger can own technical SEO on 'MDM API', 'master data TypeScript', 'data quality Python library' — terms with less competition but meaningful pipeline potential.</w:t>
      </w:r>
    </w:p>
    <w:p>
      <w:pPr>
        <w:pStyle w:val="ListParagraph"/>
        <w:numPr>
          <w:ilvl w:val="0"/>
          <w:numId w:val="2"/>
        </w:numPr>
        <w:spacing w:after="80" w:line="280"/>
      </w:pPr>
      <w:r>
        <w:rPr>
          <w:b/>
          <w:bCs/>
          <w:sz w:val="22"/>
          <w:szCs w:val="22"/>
        </w:rPr>
        <w:t xml:space="preserve">Vertical narrative: </w:t>
      </w:r>
      <w:r>
        <w:rPr>
          <w:sz w:val="22"/>
          <w:szCs w:val="22"/>
        </w:rPr>
        <w:t xml:space="preserve">No MDM vendor has a distinctive vertical-first narrative. A healthcare-first or financial-services-first challenger can dominate vertical search and conference circuits.</w:t>
      </w:r>
    </w:p>
    <w:p>
      <w:pPr>
        <w:pStyle w:val="Heading1"/>
        <w:pageBreakBefore/>
        <w:spacing w:after="200" w:before="200"/>
      </w:pPr>
      <w:r>
        <w:t xml:space="preserve">6. Customer Intelligence</w:t>
      </w:r>
    </w:p>
    <w:p>
      <w:pPr>
        <w:pStyle w:val="Heading2"/>
        <w:spacing w:after="120" w:before="240"/>
      </w:pPr>
      <w:r>
        <w:t xml:space="preserve">6.1 Identified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Customer</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Industry</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Size</w:t>
            </w:r>
          </w:p>
        </w:tc>
        <w:tc>
          <w:tcPr>
            <w:tcW w:type="dxa" w:w="3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Use Case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Monotype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Design and typography software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Mid-market</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Multi-Salesforce unification, AI-ready data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GoTo</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Communications and IT software</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Enterprise</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RevOps data model, partner data</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Impartner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Partner relationship management</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Mid-market</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Embedded integration layer for customers on multiple CRMs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Trimble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Industrial technology</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Enterprise</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Multi-domain enterprise MDM</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Yardi</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Real estate software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Enterprise</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Enterprise data unification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Antech Diagnostics (Mars)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Veterinary diagnostics</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Enterprise</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Enterprise MDM and governance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Eakes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Office products and services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Mid-market</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Unified customer view in six weeks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Quarq (SRAM)</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Cycling components</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Mid-market</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Agentic MDM deployment</w:t>
            </w:r>
          </w:p>
        </w:tc>
      </w:tr>
    </w:tbl>
    <w:p>
      <w:pPr>
        <w:spacing w:after="120"/>
      </w:pPr>
      <w:r>
        <w:t xml:space="preserve"/>
      </w:r>
    </w:p>
    <w:p>
      <w:pPr>
        <w:spacing w:after="120" w:line="300"/>
        <w:jc w:val="both"/>
      </w:pPr>
      <w:r>
        <w:rPr>
          <w:sz w:val="22"/>
          <w:szCs w:val="22"/>
        </w:rPr>
        <w:t xml:space="preserve">Observed reference-ability is high (eight named public references is strong for a Series B company). Customer quotes emphasize three consistent themes: reduction in engineering overhead, enabling AI initiatives, and unifying data across disparate Salesforce instances post-acquisition.</w:t>
      </w:r>
    </w:p>
    <w:p>
      <w:pPr>
        <w:pStyle w:val="Heading2"/>
        <w:spacing w:after="120" w:before="240"/>
      </w:pPr>
      <w:r>
        <w:t xml:space="preserve">6.2 Estimated Customer Base Size</w:t>
      </w:r>
    </w:p>
    <w:p>
      <w:pPr>
        <w:spacing w:after="120" w:line="300"/>
        <w:jc w:val="both"/>
      </w:pPr>
      <w:r>
        <w:rPr>
          <w:sz w:val="22"/>
          <w:szCs w:val="22"/>
        </w:rPr>
        <w:t xml:space="preserve">Public data points:</w:t>
      </w:r>
    </w:p>
    <w:p>
      <w:pPr>
        <w:pStyle w:val="ListParagraph"/>
        <w:numPr>
          <w:ilvl w:val="0"/>
          <w:numId w:val="2"/>
        </w:numPr>
        <w:spacing w:after="80" w:line="280"/>
      </w:pPr>
      <w:r>
        <w:rPr>
          <w:sz w:val="22"/>
          <w:szCs w:val="22"/>
        </w:rPr>
        <w:t xml:space="preserve">7,000+ users on the platform (per Syncari homepage).</w:t>
      </w:r>
    </w:p>
    <w:p>
      <w:pPr>
        <w:pStyle w:val="ListParagraph"/>
        <w:numPr>
          <w:ilvl w:val="0"/>
          <w:numId w:val="2"/>
        </w:numPr>
        <w:spacing w:after="80" w:line="280"/>
      </w:pPr>
      <w:r>
        <w:rPr>
          <w:sz w:val="22"/>
          <w:szCs w:val="22"/>
        </w:rPr>
        <w:t xml:space="preserve">Company self-reports 'Fortune 1000 enterprises' among customers.</w:t>
      </w:r>
    </w:p>
    <w:p>
      <w:pPr>
        <w:pStyle w:val="ListParagraph"/>
        <w:numPr>
          <w:ilvl w:val="0"/>
          <w:numId w:val="2"/>
        </w:numPr>
        <w:spacing w:after="80" w:line="280"/>
      </w:pPr>
      <w:r>
        <w:rPr>
          <w:sz w:val="22"/>
          <w:szCs w:val="22"/>
        </w:rPr>
        <w:t xml:space="preserve">Pitchbook indicates 62 employees; typical Series B SaaS company with that team size supports 80 to 200 paying customer accounts.</w:t>
      </w:r>
    </w:p>
    <w:p>
      <w:pPr>
        <w:pStyle w:val="ListParagraph"/>
        <w:numPr>
          <w:ilvl w:val="0"/>
          <w:numId w:val="2"/>
        </w:numPr>
        <w:spacing w:after="80" w:line="280"/>
      </w:pPr>
      <w:r>
        <w:rPr>
          <w:sz w:val="22"/>
          <w:szCs w:val="22"/>
        </w:rPr>
        <w:t xml:space="preserve">Public case studies and reference customers: 15 to 20 identifiable; total customer count estimated at 100 to 180 paying accounts.</w:t>
      </w:r>
    </w:p>
    <w:p>
      <w:pPr>
        <w:pStyle w:val="Heading2"/>
        <w:spacing w:after="120" w:before="240"/>
      </w:pPr>
      <w:r>
        <w:t xml:space="preserve">6.3 Segmentation and Expansion Patterns</w:t>
      </w:r>
    </w:p>
    <w:p>
      <w:pPr>
        <w:spacing w:after="120" w:line="300"/>
        <w:jc w:val="both"/>
      </w:pPr>
      <w:r>
        <w:rPr>
          <w:sz w:val="22"/>
          <w:szCs w:val="22"/>
        </w:rPr>
        <w:t xml:space="preserve">Typical Syncari account expansion trajectory, inferred from case studies:</w:t>
      </w:r>
    </w:p>
    <w:p>
      <w:pPr>
        <w:pStyle w:val="ListParagraph"/>
        <w:numPr>
          <w:ilvl w:val="0"/>
          <w:numId w:val="2"/>
        </w:numPr>
        <w:spacing w:after="80" w:line="280"/>
      </w:pPr>
      <w:r>
        <w:rPr>
          <w:sz w:val="22"/>
          <w:szCs w:val="22"/>
        </w:rPr>
        <w:t xml:space="preserve">Year 1: Single domain (usually customer data), two to four connectors, landing ACV in the 50k to 120k USD range.</w:t>
      </w:r>
    </w:p>
    <w:p>
      <w:pPr>
        <w:pStyle w:val="ListParagraph"/>
        <w:numPr>
          <w:ilvl w:val="0"/>
          <w:numId w:val="2"/>
        </w:numPr>
        <w:spacing w:after="80" w:line="280"/>
      </w:pPr>
      <w:r>
        <w:rPr>
          <w:sz w:val="22"/>
          <w:szCs w:val="22"/>
        </w:rPr>
        <w:t xml:space="preserve">Year 2: Additional domain (account hierarchy, product data), additional connectors, expansion to 120k to 250k USD ACV.</w:t>
      </w:r>
    </w:p>
    <w:p>
      <w:pPr>
        <w:pStyle w:val="ListParagraph"/>
        <w:numPr>
          <w:ilvl w:val="0"/>
          <w:numId w:val="2"/>
        </w:numPr>
        <w:spacing w:after="80" w:line="280"/>
      </w:pPr>
      <w:r>
        <w:rPr>
          <w:sz w:val="22"/>
          <w:szCs w:val="22"/>
        </w:rPr>
        <w:t xml:space="preserve">Year 3: Multi-domain full deployment, AI and agent access, 250k to 600k+ USD ACV.</w:t>
      </w:r>
    </w:p>
    <w:p>
      <w:pPr>
        <w:pStyle w:val="Heading2"/>
        <w:spacing w:after="120" w:before="240"/>
      </w:pPr>
      <w:r>
        <w:t xml:space="preserve">6.4 Churn and Competitive Loss Analysis</w:t>
      </w:r>
    </w:p>
    <w:p>
      <w:pPr>
        <w:spacing w:after="120" w:line="300"/>
        <w:jc w:val="both"/>
      </w:pPr>
      <w:r>
        <w:rPr>
          <w:sz w:val="22"/>
          <w:szCs w:val="22"/>
        </w:rPr>
        <w:t xml:space="preserve">Direct churn data is not publicly available. Based on Vendr marketplace negotiation patterns (renewal caps, removal of auto-renewal clauses, budget-driven renegotiation), we infer:</w:t>
      </w:r>
    </w:p>
    <w:p>
      <w:pPr>
        <w:pStyle w:val="ListParagraph"/>
        <w:numPr>
          <w:ilvl w:val="0"/>
          <w:numId w:val="2"/>
        </w:numPr>
        <w:spacing w:after="80" w:line="280"/>
      </w:pPr>
      <w:r>
        <w:rPr>
          <w:sz w:val="22"/>
          <w:szCs w:val="22"/>
        </w:rPr>
        <w:t xml:space="preserve">Gross retention: estimated 88 to 93 percent, which is average to slightly below average for enterprise SaaS.</w:t>
      </w:r>
    </w:p>
    <w:p>
      <w:pPr>
        <w:pStyle w:val="ListParagraph"/>
        <w:numPr>
          <w:ilvl w:val="0"/>
          <w:numId w:val="2"/>
        </w:numPr>
        <w:spacing w:after="80" w:line="280"/>
      </w:pPr>
      <w:r>
        <w:rPr>
          <w:sz w:val="22"/>
          <w:szCs w:val="22"/>
        </w:rPr>
        <w:t xml:space="preserve">Typical loss reasons: budget cuts, executive turnover (sponsor leaves), decision to build in-house on Snowflake + dbt, or consolidation into Informatica/Reltio.</w:t>
      </w:r>
    </w:p>
    <w:p>
      <w:pPr>
        <w:pStyle w:val="ListParagraph"/>
        <w:numPr>
          <w:ilvl w:val="0"/>
          <w:numId w:val="2"/>
        </w:numPr>
        <w:spacing w:after="80" w:line="280"/>
      </w:pPr>
      <w:r>
        <w:rPr>
          <w:sz w:val="22"/>
          <w:szCs w:val="22"/>
        </w:rPr>
        <w:t xml:space="preserve">Shelfware risk: the platform is powerful but requires active stewardship. Accounts without a dedicated data steward are at elevated churn risk.</w:t>
      </w:r>
    </w:p>
    <w:p>
      <w:pPr>
        <w:pStyle w:val="Heading2"/>
        <w:spacing w:after="120" w:before="240"/>
      </w:pPr>
      <w:r>
        <w:t xml:space="preserve">6.5 Customer Pain Points to Exploit</w:t>
      </w:r>
    </w:p>
    <w:p>
      <w:pPr>
        <w:spacing w:after="120" w:line="300"/>
        <w:jc w:val="both"/>
      </w:pPr>
      <w:r>
        <w:rPr>
          <w:sz w:val="22"/>
          <w:szCs w:val="22"/>
        </w:rPr>
        <w:t xml:space="preserve">Top reviewer and customer criticisms (G2, TrustRadius, Vendr):</w:t>
      </w:r>
    </w:p>
    <w:p>
      <w:pPr>
        <w:pStyle w:val="ListParagraph"/>
        <w:numPr>
          <w:ilvl w:val="0"/>
          <w:numId w:val="2"/>
        </w:numPr>
        <w:spacing w:after="80" w:line="280"/>
      </w:pPr>
      <w:r>
        <w:rPr>
          <w:b/>
          <w:bCs/>
          <w:sz w:val="22"/>
          <w:szCs w:val="22"/>
        </w:rPr>
        <w:t xml:space="preserve">Learning curve: </w:t>
      </w:r>
      <w:r>
        <w:rPr>
          <w:sz w:val="22"/>
          <w:szCs w:val="22"/>
        </w:rPr>
        <w:t xml:space="preserve">Non-engineering users struggle with advanced features despite the no-code framing.</w:t>
      </w:r>
    </w:p>
    <w:p>
      <w:pPr>
        <w:pStyle w:val="ListParagraph"/>
        <w:numPr>
          <w:ilvl w:val="0"/>
          <w:numId w:val="2"/>
        </w:numPr>
        <w:spacing w:after="80" w:line="280"/>
      </w:pPr>
      <w:r>
        <w:rPr>
          <w:b/>
          <w:bCs/>
          <w:sz w:val="22"/>
          <w:szCs w:val="22"/>
        </w:rPr>
        <w:t xml:space="preserve">Custom Synapses require code: </w:t>
      </w:r>
      <w:r>
        <w:rPr>
          <w:sz w:val="22"/>
          <w:szCs w:val="22"/>
        </w:rPr>
        <w:t xml:space="preserve">When a pre-built connector doesn't exist, custom engineering is required.</w:t>
      </w:r>
    </w:p>
    <w:p>
      <w:pPr>
        <w:pStyle w:val="ListParagraph"/>
        <w:numPr>
          <w:ilvl w:val="0"/>
          <w:numId w:val="2"/>
        </w:numPr>
        <w:spacing w:after="80" w:line="280"/>
      </w:pPr>
      <w:r>
        <w:rPr>
          <w:b/>
          <w:bCs/>
          <w:sz w:val="22"/>
          <w:szCs w:val="22"/>
        </w:rPr>
        <w:t xml:space="preserve">Implementation complexity at the enterprise tier: </w:t>
      </w:r>
      <w:r>
        <w:rPr>
          <w:sz w:val="22"/>
          <w:szCs w:val="22"/>
        </w:rPr>
        <w:t xml:space="preserve">Twelve-plus-week implementations are common for Fortune 1000 deployments.</w:t>
      </w:r>
    </w:p>
    <w:p>
      <w:pPr>
        <w:pStyle w:val="ListParagraph"/>
        <w:numPr>
          <w:ilvl w:val="0"/>
          <w:numId w:val="2"/>
        </w:numPr>
        <w:spacing w:after="80" w:line="280"/>
      </w:pPr>
      <w:r>
        <w:rPr>
          <w:b/>
          <w:bCs/>
          <w:sz w:val="22"/>
          <w:szCs w:val="22"/>
        </w:rPr>
        <w:t xml:space="preserve">Pricing transparency: </w:t>
      </w:r>
      <w:r>
        <w:rPr>
          <w:sz w:val="22"/>
          <w:szCs w:val="22"/>
        </w:rPr>
        <w:t xml:space="preserve">Enterprise pricing is opaque; customers report significant variation in what they pay.</w:t>
      </w:r>
    </w:p>
    <w:p>
      <w:pPr>
        <w:pStyle w:val="ListParagraph"/>
        <w:numPr>
          <w:ilvl w:val="0"/>
          <w:numId w:val="2"/>
        </w:numPr>
        <w:spacing w:after="80" w:line="280"/>
      </w:pPr>
      <w:r>
        <w:rPr>
          <w:b/>
          <w:bCs/>
          <w:sz w:val="22"/>
          <w:szCs w:val="22"/>
        </w:rPr>
        <w:t xml:space="preserve">Analytics depth: </w:t>
      </w:r>
      <w:r>
        <w:rPr>
          <w:sz w:val="22"/>
          <w:szCs w:val="22"/>
        </w:rPr>
        <w:t xml:space="preserve">Native analytics are thin; most customers pair Syncari with Tableau, Looker, or Snowflake for reporting.</w:t>
      </w:r>
    </w:p>
    <w:p>
      <w:pPr>
        <w:pStyle w:val="Heading1"/>
        <w:pageBreakBefore/>
        <w:spacing w:after="200" w:before="200"/>
      </w:pPr>
      <w:r>
        <w:t xml:space="preserve">7. Competitive Landscape Map</w:t>
      </w:r>
    </w:p>
    <w:p>
      <w:pPr>
        <w:pStyle w:val="Heading2"/>
        <w:spacing w:after="120" w:before="240"/>
      </w:pPr>
      <w:r>
        <w:t xml:space="preserve">7.1 Gartner 2026 MDM Magic Quadrant Peer Set</w:t>
      </w:r>
    </w:p>
    <w:p>
      <w:pPr>
        <w:spacing w:after="120" w:line="300"/>
        <w:jc w:val="both"/>
      </w:pPr>
      <w:r>
        <w:rPr>
          <w:sz w:val="22"/>
          <w:szCs w:val="22"/>
        </w:rPr>
        <w:t xml:space="preserve">The 2026 Gartner Magic Quadrant for MDM, published in April 2026, includes 20 vendors. The key peer set relevant to Syncari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Vendor</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Ownership</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Segment Focus</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Gartner Position</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Informatica</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Salesforce (acquired May 2025 for 8B USD)</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Enterprise, all domains</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Leader</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Reltio</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Private (VC-backed)</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Cloud-native, customer/life sciences</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Leader</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Stibo Systems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Private equity</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PIM and product data dominant</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Leader</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Profisee</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Private (Pamlico Capital)</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Microsoft-aligned, mid-market</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Leader</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Ataccama</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Private (Bain Capital)</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 quality + MDM</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Leader</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Syndigo (Riversand)</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Private equity</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Product / retail data</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Challenger</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IBM</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IBM</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Enterprise, legacy</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Challenger</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Semarchy</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Private</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Agile MDM, mid-market</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Challenger</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Pimcore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Private (open source)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PIM / DAM</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Niche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PiLog</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Private</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Enterprise, industrial</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Niche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Viamedici</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Private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Product data, manufacturing</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Niche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Precisely</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Private equity</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Data integrity</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Niche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Boomi</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Private (Francisco Partners + TPG)</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iPaaS with MDM module</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Visionary</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TIBCO</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Cloud Software Group</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Data management suite</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Visionary</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Syncari</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Independent (VC-backed)</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Agentic MDM, real-time</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Visionary</w:t>
            </w:r>
          </w:p>
        </w:tc>
      </w:tr>
    </w:tbl>
    <w:p>
      <w:pPr>
        <w:spacing w:after="120"/>
      </w:pPr>
      <w:r>
        <w:t xml:space="preserve"/>
      </w:r>
    </w:p>
    <w:p>
      <w:pPr>
        <w:pStyle w:val="Heading2"/>
        <w:spacing w:after="120" w:before="240"/>
      </w:pPr>
      <w:r>
        <w:t xml:space="preserve">7.2 Why Syncari Wins and Why They 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Competitor</w:t>
            </w:r>
          </w:p>
        </w:tc>
        <w:tc>
          <w:tcPr>
            <w:tcW w:type="dxa" w:w="37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Why Syncari Wins</w:t>
            </w:r>
          </w:p>
        </w:tc>
        <w:tc>
          <w:tcPr>
            <w:tcW w:type="dxa" w:w="37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Why Syncari Loses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Informatica</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Cloud-native; faster TTV; real-time</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Depth of features; enterprise references; partner ecosystem</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Reltio</w:t>
            </w:r>
          </w:p>
        </w:tc>
        <w:tc>
          <w:tcPr>
            <w:tcW w:type="dxa" w:w="37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Easier to deploy; more modern UX</w:t>
            </w:r>
          </w:p>
        </w:tc>
        <w:tc>
          <w:tcPr>
            <w:tcW w:type="dxa" w:w="37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Life sciences vertical depth; mature multi-domain</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Stibo</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Generic multi-domain; not PIM-specific</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PIM use cases specifically</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Profisee</w:t>
            </w:r>
          </w:p>
        </w:tc>
        <w:tc>
          <w:tcPr>
            <w:tcW w:type="dxa" w:w="37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Non-Microsoft stacks</w:t>
            </w:r>
          </w:p>
        </w:tc>
        <w:tc>
          <w:tcPr>
            <w:tcW w:type="dxa" w:w="37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Microsoft-native customers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Ataccama</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Sync and automation focus</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 quality-heavy use cases</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Boomi / Workato</w:t>
            </w:r>
          </w:p>
        </w:tc>
        <w:tc>
          <w:tcPr>
            <w:tcW w:type="dxa" w:w="37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Governed master data, not just pipes</w:t>
            </w:r>
          </w:p>
        </w:tc>
        <w:tc>
          <w:tcPr>
            <w:tcW w:type="dxa" w:w="37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Pure integration-only needs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DIY on Snowflake + dbt</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Time-to-value; pre-built governance</w:t>
            </w:r>
          </w:p>
        </w:tc>
        <w:tc>
          <w:tcPr>
            <w:tcW w:type="dxa" w:w="37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Customers with strong data engineering teams</w:t>
            </w:r>
          </w:p>
        </w:tc>
      </w:tr>
    </w:tbl>
    <w:p>
      <w:pPr>
        <w:spacing w:after="120"/>
      </w:pPr>
      <w:r>
        <w:t xml:space="preserve"/>
      </w:r>
    </w:p>
    <w:p>
      <w:pPr>
        <w:pStyle w:val="Heading2"/>
        <w:spacing w:after="120" w:before="240"/>
      </w:pPr>
      <w:r>
        <w:t xml:space="preserve">7.3 Adjacent Threats and Category Convergence</w:t>
      </w:r>
    </w:p>
    <w:p>
      <w:pPr>
        <w:pStyle w:val="ListParagraph"/>
        <w:numPr>
          <w:ilvl w:val="0"/>
          <w:numId w:val="2"/>
        </w:numPr>
        <w:spacing w:after="80" w:line="280"/>
      </w:pPr>
      <w:r>
        <w:rPr>
          <w:b/>
          <w:bCs/>
          <w:sz w:val="22"/>
          <w:szCs w:val="22"/>
        </w:rPr>
        <w:t xml:space="preserve">Reverse-ETL (Hightouch, Census): </w:t>
      </w:r>
      <w:r>
        <w:rPr>
          <w:sz w:val="22"/>
          <w:szCs w:val="22"/>
        </w:rPr>
        <w:t xml:space="preserve">Moving from activation into light MDM; could converge from below.</w:t>
      </w:r>
    </w:p>
    <w:p>
      <w:pPr>
        <w:pStyle w:val="ListParagraph"/>
        <w:numPr>
          <w:ilvl w:val="0"/>
          <w:numId w:val="2"/>
        </w:numPr>
        <w:spacing w:after="80" w:line="280"/>
      </w:pPr>
      <w:r>
        <w:rPr>
          <w:b/>
          <w:bCs/>
          <w:sz w:val="22"/>
          <w:szCs w:val="22"/>
        </w:rPr>
        <w:t xml:space="preserve">Customer Data Platforms (Segment, mParticle, Twilio): </w:t>
      </w:r>
      <w:r>
        <w:rPr>
          <w:sz w:val="22"/>
          <w:szCs w:val="22"/>
        </w:rPr>
        <w:t xml:space="preserve">B2C-dominant, but Segment's enterprise push overlaps Syncari's B2B core.</w:t>
      </w:r>
    </w:p>
    <w:p>
      <w:pPr>
        <w:pStyle w:val="ListParagraph"/>
        <w:numPr>
          <w:ilvl w:val="0"/>
          <w:numId w:val="2"/>
        </w:numPr>
        <w:spacing w:after="80" w:line="280"/>
      </w:pPr>
      <w:r>
        <w:rPr>
          <w:b/>
          <w:bCs/>
          <w:sz w:val="22"/>
          <w:szCs w:val="22"/>
        </w:rPr>
        <w:t xml:space="preserve">Data Observability (Monte Carlo, Bigeye, Acceldata): </w:t>
      </w:r>
      <w:r>
        <w:rPr>
          <w:sz w:val="22"/>
          <w:szCs w:val="22"/>
        </w:rPr>
        <w:t xml:space="preserve">Increasingly adding data quality and lineage.</w:t>
      </w:r>
    </w:p>
    <w:p>
      <w:pPr>
        <w:pStyle w:val="ListParagraph"/>
        <w:numPr>
          <w:ilvl w:val="0"/>
          <w:numId w:val="2"/>
        </w:numPr>
        <w:spacing w:after="80" w:line="280"/>
      </w:pPr>
      <w:r>
        <w:rPr>
          <w:b/>
          <w:bCs/>
          <w:sz w:val="22"/>
          <w:szCs w:val="22"/>
        </w:rPr>
        <w:t xml:space="preserve">iPaaS (Boomi, Workato, Tray.io, MuleSoft): </w:t>
      </w:r>
      <w:r>
        <w:rPr>
          <w:sz w:val="22"/>
          <w:szCs w:val="22"/>
        </w:rPr>
        <w:t xml:space="preserve">Adding governance and master data modules as upsells.</w:t>
      </w:r>
    </w:p>
    <w:p>
      <w:pPr>
        <w:pStyle w:val="ListParagraph"/>
        <w:numPr>
          <w:ilvl w:val="0"/>
          <w:numId w:val="2"/>
        </w:numPr>
        <w:spacing w:after="80" w:line="280"/>
      </w:pPr>
      <w:r>
        <w:rPr>
          <w:b/>
          <w:bCs/>
          <w:sz w:val="22"/>
          <w:szCs w:val="22"/>
        </w:rPr>
        <w:t xml:space="preserve">Native-on-Snowflake or Databricks (Tamr, Anomalo, Coalesce): </w:t>
      </w:r>
      <w:r>
        <w:rPr>
          <w:sz w:val="22"/>
          <w:szCs w:val="22"/>
        </w:rPr>
        <w:t xml:space="preserve">Lowest-cost DIY-adjacent pattern; expanding rapidly.</w:t>
      </w:r>
    </w:p>
    <w:p>
      <w:pPr>
        <w:pStyle w:val="ListParagraph"/>
        <w:numPr>
          <w:ilvl w:val="0"/>
          <w:numId w:val="2"/>
        </w:numPr>
        <w:spacing w:after="80" w:line="280"/>
      </w:pPr>
      <w:r>
        <w:rPr>
          <w:b/>
          <w:bCs/>
          <w:sz w:val="22"/>
          <w:szCs w:val="22"/>
        </w:rPr>
        <w:t xml:space="preserve">Hyperscaler native: </w:t>
      </w:r>
      <w:r>
        <w:rPr>
          <w:sz w:val="22"/>
          <w:szCs w:val="22"/>
        </w:rPr>
        <w:t xml:space="preserve">Salesforce Data Cloud, Microsoft Purview, Google Dataplex. The largest existential threat.</w:t>
      </w:r>
    </w:p>
    <w:p>
      <w:pPr>
        <w:pStyle w:val="Heading2"/>
        <w:spacing w:after="120" w:before="240"/>
      </w:pPr>
      <w:r>
        <w:t xml:space="preserve">7.4 The Salesforce-Informatica Scenario</w:t>
      </w:r>
    </w:p>
    <w:p>
      <w:pPr>
        <w:spacing w:after="120" w:line="300"/>
        <w:jc w:val="both"/>
      </w:pPr>
      <w:r>
        <w:rPr>
          <w:sz w:val="22"/>
          <w:szCs w:val="22"/>
        </w:rPr>
        <w:t xml:space="preserve">Salesforce's 8 billion dollar acquisition of Informatica, announced in May 2025, is the single most important competitive event in the MDM market in the past decade. Three likely scenarios play out over the next 24 months:</w:t>
      </w:r>
    </w:p>
    <w:p>
      <w:pPr>
        <w:pStyle w:val="ListParagraph"/>
        <w:numPr>
          <w:ilvl w:val="0"/>
          <w:numId w:val="2"/>
        </w:numPr>
        <w:spacing w:after="80" w:line="280"/>
      </w:pPr>
      <w:r>
        <w:rPr>
          <w:b/>
          <w:bCs/>
          <w:sz w:val="22"/>
          <w:szCs w:val="22"/>
        </w:rPr>
        <w:t xml:space="preserve">Scenario A — Integration Success (probability: ~30 percent): </w:t>
      </w:r>
      <w:r>
        <w:rPr>
          <w:sz w:val="22"/>
          <w:szCs w:val="22"/>
        </w:rPr>
        <w:t xml:space="preserve">Salesforce successfully integrates Informatica as 'Data Cloud + Governance', creating a dominant bundled offer. Impact on Syncari and challengers: severe; market compresses.</w:t>
      </w:r>
    </w:p>
    <w:p>
      <w:pPr>
        <w:pStyle w:val="ListParagraph"/>
        <w:numPr>
          <w:ilvl w:val="0"/>
          <w:numId w:val="2"/>
        </w:numPr>
        <w:spacing w:after="80" w:line="280"/>
      </w:pPr>
      <w:r>
        <w:rPr>
          <w:b/>
          <w:bCs/>
          <w:sz w:val="22"/>
          <w:szCs w:val="22"/>
        </w:rPr>
        <w:t xml:space="preserve">Scenario B — Integration Stall (probability: ~50 percent): </w:t>
      </w:r>
      <w:r>
        <w:rPr>
          <w:sz w:val="22"/>
          <w:szCs w:val="22"/>
        </w:rPr>
        <w:t xml:space="preserve">Integration stalls due to technology, culture, and pricing complexity; Informatica becomes distracted for 12 to 24 months. Impact: huge opportunity for Syncari and well-positioned challengers.</w:t>
      </w:r>
    </w:p>
    <w:p>
      <w:pPr>
        <w:pStyle w:val="ListParagraph"/>
        <w:numPr>
          <w:ilvl w:val="0"/>
          <w:numId w:val="2"/>
        </w:numPr>
        <w:spacing w:after="80" w:line="280"/>
      </w:pPr>
      <w:r>
        <w:rPr>
          <w:b/>
          <w:bCs/>
          <w:sz w:val="22"/>
          <w:szCs w:val="22"/>
        </w:rPr>
        <w:t xml:space="preserve">Scenario C — Customer Revolt (probability: ~20 percent): </w:t>
      </w:r>
      <w:r>
        <w:rPr>
          <w:sz w:val="22"/>
          <w:szCs w:val="22"/>
        </w:rPr>
        <w:t xml:space="preserve">Informatica customers perceive pricing uplift or forced platform consolidation and actively seek alternatives. Impact: a 'land grab' moment for all independents.</w:t>
      </w:r>
    </w:p>
    <w:p>
      <w:pPr>
        <w:spacing w:after="120" w:line="300"/>
        <w:jc w:val="both"/>
      </w:pPr>
      <w:r>
        <w:rPr>
          <w:sz w:val="22"/>
          <w:szCs w:val="22"/>
        </w:rPr>
        <w:t xml:space="preserve">Recommendation: plan for Scenario B as the base case; this is a 24-month opportunity window.</w:t>
      </w:r>
    </w:p>
    <w:p>
      <w:pPr>
        <w:pStyle w:val="Heading1"/>
        <w:pageBreakBefore/>
        <w:spacing w:after="200" w:before="200"/>
      </w:pPr>
      <w:r>
        <w:t xml:space="preserve">8. Financial Intelligence</w:t>
      </w:r>
    </w:p>
    <w:p>
      <w:pPr>
        <w:pStyle w:val="Heading2"/>
        <w:spacing w:after="120" w:before="240"/>
      </w:pPr>
      <w:r>
        <w:t xml:space="preserve">8.1 Revenue Triangulation</w:t>
      </w:r>
    </w:p>
    <w:p>
      <w:pPr>
        <w:spacing w:after="120" w:line="300"/>
        <w:jc w:val="both"/>
      </w:pPr>
      <w:r>
        <w:rPr>
          <w:sz w:val="22"/>
          <w:szCs w:val="22"/>
        </w:rPr>
        <w:t xml:space="preserve">Syncari has not published revenue figures. Public data points that allow triangulation:</w:t>
      </w:r>
    </w:p>
    <w:p>
      <w:pPr>
        <w:pStyle w:val="ListParagraph"/>
        <w:numPr>
          <w:ilvl w:val="0"/>
          <w:numId w:val="2"/>
        </w:numPr>
        <w:spacing w:after="80" w:line="280"/>
      </w:pPr>
      <w:r>
        <w:rPr>
          <w:sz w:val="22"/>
          <w:szCs w:val="22"/>
        </w:rPr>
        <w:t xml:space="preserve">Latka database (2024): approximately 1.8 million USD ARR on a 37-person team.</w:t>
      </w:r>
    </w:p>
    <w:p>
      <w:pPr>
        <w:pStyle w:val="ListParagraph"/>
        <w:numPr>
          <w:ilvl w:val="0"/>
          <w:numId w:val="2"/>
        </w:numPr>
        <w:spacing w:after="80" w:line="280"/>
      </w:pPr>
      <w:r>
        <w:rPr>
          <w:sz w:val="22"/>
          <w:szCs w:val="22"/>
        </w:rPr>
        <w:t xml:space="preserve">Employee growth: 37 (2024) to 62 (2025, Pitchbook) to an estimated 65 to 75 (mid-2026).</w:t>
      </w:r>
    </w:p>
    <w:p>
      <w:pPr>
        <w:pStyle w:val="ListParagraph"/>
        <w:numPr>
          <w:ilvl w:val="0"/>
          <w:numId w:val="2"/>
        </w:numPr>
        <w:spacing w:after="80" w:line="280"/>
      </w:pPr>
      <w:r>
        <w:rPr>
          <w:sz w:val="22"/>
          <w:szCs w:val="22"/>
        </w:rPr>
        <w:t xml:space="preserve">Fortune 1000 customer additions in 2025 (Monotype, Trimble, Yardi, Antech) suggest materially larger deals than earlier mid-market cohort.</w:t>
      </w:r>
    </w:p>
    <w:p>
      <w:pPr>
        <w:pStyle w:val="ListParagraph"/>
        <w:numPr>
          <w:ilvl w:val="0"/>
          <w:numId w:val="2"/>
        </w:numPr>
        <w:spacing w:after="80" w:line="280"/>
      </w:pPr>
      <w:r>
        <w:rPr>
          <w:sz w:val="22"/>
          <w:szCs w:val="22"/>
        </w:rPr>
        <w:t xml:space="preserve">Series B timing (September 2025) typically requires 8 to 15 million USD ARR for a quality round.</w:t>
      </w:r>
    </w:p>
    <w:p>
      <w:pPr>
        <w:pStyle w:val="Heading3"/>
        <w:spacing w:after="80" w:before="160"/>
      </w:pPr>
      <w:r>
        <w:t xml:space="preserve">Our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80"/>
        <w:gridCol w:w="228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Year</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Estimated ARR (USD)</w:t>
            </w:r>
          </w:p>
        </w:tc>
        <w:tc>
          <w:tcPr>
            <w:tcW w:type="dxa" w:w="28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Estimated YoY Growth</w:t>
            </w:r>
          </w:p>
        </w:tc>
        <w:tc>
          <w:tcPr>
            <w:tcW w:type="dxa" w:w="22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Headcount</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2023</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 to 1.5 million</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N/A</w:t>
            </w:r>
          </w:p>
        </w:tc>
        <w:tc>
          <w:tcPr>
            <w:tcW w:type="dxa" w:w="2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~30</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2024</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1.8 to 2.5 million</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50 to 70 percent</w:t>
            </w:r>
          </w:p>
        </w:tc>
        <w:tc>
          <w:tcPr>
            <w:tcW w:type="dxa" w:w="22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~37</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2025</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5.0 to 9.0 million</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150 to 250 percent</w:t>
            </w:r>
          </w:p>
        </w:tc>
        <w:tc>
          <w:tcPr>
            <w:tcW w:type="dxa" w:w="2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~62</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2026 (E)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12 to 20 million</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100 to 150 percent</w:t>
            </w:r>
          </w:p>
        </w:tc>
        <w:tc>
          <w:tcPr>
            <w:tcW w:type="dxa" w:w="228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~70</w:t>
            </w:r>
          </w:p>
        </w:tc>
      </w:tr>
    </w:tbl>
    <w:p>
      <w:pPr>
        <w:spacing w:after="120"/>
      </w:pPr>
      <w:r>
        <w:t xml:space="preserve"/>
      </w:r>
    </w:p>
    <w:p>
      <w:pPr>
        <w:spacing w:after="120" w:line="300"/>
        <w:jc w:val="both"/>
      </w:pPr>
      <w:r>
        <w:rPr>
          <w:sz w:val="22"/>
          <w:szCs w:val="22"/>
        </w:rPr>
        <w:t xml:space="preserve">Caveat: these are analyst triangulations with a plus-or-minus 40 percent confidence interval. The 2025 acceleration is driven by enterprise deal land-and-expand and the repositioning to Agentic MDM.</w:t>
      </w:r>
    </w:p>
    <w:p>
      <w:pPr>
        <w:pStyle w:val="Heading2"/>
        <w:spacing w:after="120" w:before="240"/>
      </w:pPr>
      <w:r>
        <w:t xml:space="preserve">8.2 Burn, Runway, and Funding Math</w:t>
      </w:r>
    </w:p>
    <w:p>
      <w:pPr>
        <w:pStyle w:val="ListParagraph"/>
        <w:numPr>
          <w:ilvl w:val="0"/>
          <w:numId w:val="2"/>
        </w:numPr>
        <w:spacing w:after="80" w:line="280"/>
      </w:pPr>
      <w:r>
        <w:rPr>
          <w:sz w:val="22"/>
          <w:szCs w:val="22"/>
        </w:rPr>
        <w:t xml:space="preserve">Cumulative capital raised: approximately 28.3 million USD.</w:t>
      </w:r>
    </w:p>
    <w:p>
      <w:pPr>
        <w:pStyle w:val="ListParagraph"/>
        <w:numPr>
          <w:ilvl w:val="0"/>
          <w:numId w:val="2"/>
        </w:numPr>
        <w:spacing w:after="80" w:line="280"/>
      </w:pPr>
      <w:r>
        <w:rPr>
          <w:sz w:val="22"/>
          <w:szCs w:val="22"/>
        </w:rPr>
        <w:t xml:space="preserve">Estimated cumulative operating spend through 2026: 25 to 32 million USD.</w:t>
      </w:r>
    </w:p>
    <w:p>
      <w:pPr>
        <w:pStyle w:val="ListParagraph"/>
        <w:numPr>
          <w:ilvl w:val="0"/>
          <w:numId w:val="2"/>
        </w:numPr>
        <w:spacing w:after="80" w:line="280"/>
      </w:pPr>
      <w:r>
        <w:rPr>
          <w:sz w:val="22"/>
          <w:szCs w:val="22"/>
        </w:rPr>
        <w:t xml:space="preserve">Estimated runway: 12 to 24 months at current burn.</w:t>
      </w:r>
    </w:p>
    <w:p>
      <w:pPr>
        <w:pStyle w:val="ListParagraph"/>
        <w:numPr>
          <w:ilvl w:val="0"/>
          <w:numId w:val="2"/>
        </w:numPr>
        <w:spacing w:after="80" w:line="280"/>
      </w:pPr>
      <w:r>
        <w:rPr>
          <w:sz w:val="22"/>
          <w:szCs w:val="22"/>
        </w:rPr>
        <w:t xml:space="preserve">Likely next funding event: a larger Series B or Series C in the 35 to 60 million USD range within 12 to 18 months, or acquisition.</w:t>
      </w:r>
    </w:p>
    <w:p>
      <w:pPr>
        <w:pStyle w:val="Heading2"/>
        <w:spacing w:after="120" w:before="240"/>
      </w:pPr>
      <w:r>
        <w:t xml:space="preserve">8.3 Estimated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Category</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Percent of Spend (Est.)</w:t>
            </w:r>
          </w:p>
        </w:tc>
        <w:tc>
          <w:tcPr>
            <w:tcW w:type="dxa" w:w="3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Approximate USD / Year</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R&amp;D (Engineering, Product, Data Science)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45 to 55 percent</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7 to 9 million</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Sales and Marketing</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30 to 40 percent</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5 to 6 million</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G&amp;A (Finance, Legal, Ops)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 to 15 percent</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1.5 to 2.5 million</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Cloud infrastructure (AWS + others)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5 to 8 percent</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0.8 to 1.2 million</w:t>
            </w:r>
          </w:p>
        </w:tc>
      </w:tr>
    </w:tbl>
    <w:p>
      <w:pPr>
        <w:spacing w:after="120"/>
      </w:pPr>
      <w:r>
        <w:t xml:space="preserve"/>
      </w:r>
    </w:p>
    <w:p>
      <w:pPr>
        <w:pStyle w:val="Heading2"/>
        <w:spacing w:after="120" w:before="240"/>
      </w:pPr>
      <w:r>
        <w:t xml:space="preserve">8.4 Valuation Estimate</w:t>
      </w:r>
    </w:p>
    <w:p>
      <w:pPr>
        <w:spacing w:after="120" w:line="300"/>
        <w:jc w:val="both"/>
      </w:pPr>
      <w:r>
        <w:rPr>
          <w:sz w:val="22"/>
          <w:szCs w:val="22"/>
        </w:rPr>
        <w:t xml:space="preserve">Based on the Series B round in September 2025, comparable Series B MDM and data infra valuations (Reltio at approximately 1.7 billion USD, Monte Carlo at 1.6 billion USD, Ataccama at approximately 2 billion USD), and modest revenue scale, we estimate Syncari's post-money valuation in the 120 to 220 million USD range — a Series B at 15 to 25 times ARR. An acquisition scenario (Salesforce, Snowflake, Adobe, ServiceNow, Microsoft) could price meaningfully higher if the MCP and Agentic MDM narrative captures strategic interest.</w:t>
      </w:r>
    </w:p>
    <w:p>
      <w:pPr>
        <w:pStyle w:val="Heading1"/>
        <w:pageBreakBefore/>
        <w:spacing w:after="200" w:before="200"/>
      </w:pPr>
      <w:r>
        <w:t xml:space="preserve">9. Organizational Design &amp; Talent</w:t>
      </w:r>
    </w:p>
    <w:p>
      <w:pPr>
        <w:pStyle w:val="Heading2"/>
        <w:spacing w:after="120" w:before="240"/>
      </w:pPr>
      <w:r>
        <w:t xml:space="preserve">9.1 Leadership and Functional Org</w:t>
      </w:r>
    </w:p>
    <w:p>
      <w:pPr>
        <w:spacing w:after="120" w:line="300"/>
        <w:jc w:val="both"/>
      </w:pPr>
      <w:r>
        <w:rPr>
          <w:sz w:val="22"/>
          <w:szCs w:val="22"/>
        </w:rPr>
        <w:t xml:space="preserve">Syncari's executive bench is tightly held by the two co-founders plus a small senior leadership team. Based on LinkedIn scans and press releases, the team structure is approximately: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Function</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Estimated Headcount</w:t>
            </w:r>
          </w:p>
        </w:tc>
        <w:tc>
          <w:tcPr>
            <w:tcW w:type="dxa" w:w="5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Leadership</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Executive (C-suite)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 to 5</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Nick Bonfiglio (CEO); Neelesh Shastry (CTO); plus likely CRO, CMO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Engineering</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25 to 35</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CTO direct; distributed-systems, platform, integrations teams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Product and Design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 to 7</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Product lead reporting to CEO or CPO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Sales (AE, SE, SDR)</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8 to 12</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CRO; 5 to 7 quota-carrying AEs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Marketing</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 to 6</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CMO or head of marketing; demand, content, AR</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Customer Success and Support</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6 to 10</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VP of Customer Success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G&amp;A (Finance, Legal, HR, Ops)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 to 5</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CFO or head of finance</w:t>
            </w:r>
          </w:p>
        </w:tc>
      </w:tr>
    </w:tbl>
    <w:p>
      <w:pPr>
        <w:spacing w:after="120"/>
      </w:pPr>
      <w:r>
        <w:t xml:space="preserve"/>
      </w:r>
    </w:p>
    <w:p>
      <w:pPr>
        <w:pStyle w:val="Heading2"/>
        <w:spacing w:after="120" w:before="240"/>
      </w:pPr>
      <w:r>
        <w:t xml:space="preserve">9.2 Recent Hires as Strategic Signal</w:t>
      </w:r>
    </w:p>
    <w:p>
      <w:pPr>
        <w:spacing w:after="120" w:line="300"/>
        <w:jc w:val="both"/>
      </w:pPr>
      <w:r>
        <w:rPr>
          <w:sz w:val="22"/>
          <w:szCs w:val="22"/>
        </w:rPr>
        <w:t xml:space="preserve">Recent hiring patterns, inferred from LinkedIn posts and job listings, suggest three priorities:</w:t>
      </w:r>
    </w:p>
    <w:p>
      <w:pPr>
        <w:pStyle w:val="ListParagraph"/>
        <w:numPr>
          <w:ilvl w:val="0"/>
          <w:numId w:val="2"/>
        </w:numPr>
        <w:spacing w:after="80" w:line="280"/>
      </w:pPr>
      <w:r>
        <w:rPr>
          <w:sz w:val="22"/>
          <w:szCs w:val="22"/>
        </w:rPr>
        <w:t xml:space="preserve">Senior enterprise sales talent — signaling move upmarket into Fortune 1000.</w:t>
      </w:r>
    </w:p>
    <w:p>
      <w:pPr>
        <w:pStyle w:val="ListParagraph"/>
        <w:numPr>
          <w:ilvl w:val="0"/>
          <w:numId w:val="2"/>
        </w:numPr>
        <w:spacing w:after="80" w:line="280"/>
      </w:pPr>
      <w:r>
        <w:rPr>
          <w:sz w:val="22"/>
          <w:szCs w:val="22"/>
        </w:rPr>
        <w:t xml:space="preserve">ML and AI engineering — signaling investment in the Agentic MDM and MCP server capabilities.</w:t>
      </w:r>
    </w:p>
    <w:p>
      <w:pPr>
        <w:pStyle w:val="ListParagraph"/>
        <w:numPr>
          <w:ilvl w:val="0"/>
          <w:numId w:val="2"/>
        </w:numPr>
        <w:spacing w:after="80" w:line="280"/>
      </w:pPr>
      <w:r>
        <w:rPr>
          <w:sz w:val="22"/>
          <w:szCs w:val="22"/>
        </w:rPr>
        <w:t xml:space="preserve">Analyst relations and product marketing — signaling a continued push for analyst validation.</w:t>
      </w:r>
    </w:p>
    <w:p>
      <w:pPr>
        <w:pStyle w:val="Heading2"/>
        <w:spacing w:after="120" w:before="240"/>
      </w:pPr>
      <w:r>
        <w:t xml:space="preserve">9.3 Glassdoor and Cultural Signal</w:t>
      </w:r>
    </w:p>
    <w:p>
      <w:pPr>
        <w:spacing w:after="120" w:line="300"/>
        <w:jc w:val="both"/>
      </w:pPr>
      <w:r>
        <w:rPr>
          <w:sz w:val="22"/>
          <w:szCs w:val="22"/>
        </w:rPr>
        <w:t xml:space="preserve">Publicly observable signals suggest a typical Series B engineering-heavy culture: strong engineering leadership, fast-moving product, moderate work intensity, tight-knit smaller teams. Attrition is not publicly disclosed; LinkedIn movement suggests healthy but not exceptional retention.</w:t>
      </w:r>
    </w:p>
    <w:p>
      <w:pPr>
        <w:pStyle w:val="Heading2"/>
        <w:spacing w:after="120" w:before="240"/>
      </w:pPr>
      <w:r>
        <w:t xml:space="preserve">9.4 Key-Person Risk</w:t>
      </w:r>
    </w:p>
    <w:p>
      <w:pPr>
        <w:pStyle w:val="ListParagraph"/>
        <w:numPr>
          <w:ilvl w:val="0"/>
          <w:numId w:val="2"/>
        </w:numPr>
        <w:spacing w:after="80" w:line="280"/>
      </w:pPr>
      <w:r>
        <w:rPr>
          <w:b/>
          <w:bCs/>
          <w:sz w:val="22"/>
          <w:szCs w:val="22"/>
        </w:rPr>
        <w:t xml:space="preserve">Nick Bonfiglio (CEO): </w:t>
      </w:r>
      <w:r>
        <w:rPr>
          <w:sz w:val="22"/>
          <w:szCs w:val="22"/>
        </w:rPr>
        <w:t xml:space="preserve">Primary spokesperson, analyst face, and fundraising lead. Departure would be highly disruptive.</w:t>
      </w:r>
    </w:p>
    <w:p>
      <w:pPr>
        <w:pStyle w:val="ListParagraph"/>
        <w:numPr>
          <w:ilvl w:val="0"/>
          <w:numId w:val="2"/>
        </w:numPr>
        <w:spacing w:after="80" w:line="280"/>
      </w:pPr>
      <w:r>
        <w:rPr>
          <w:b/>
          <w:bCs/>
          <w:sz w:val="22"/>
          <w:szCs w:val="22"/>
        </w:rPr>
        <w:t xml:space="preserve">Neelesh Shastry (CTO): </w:t>
      </w:r>
      <w:r>
        <w:rPr>
          <w:sz w:val="22"/>
          <w:szCs w:val="22"/>
        </w:rPr>
        <w:t xml:space="preserve">Core architect of MultiSync; the single most operationally critical person in the company.</w:t>
      </w:r>
    </w:p>
    <w:p>
      <w:pPr>
        <w:pStyle w:val="ListParagraph"/>
        <w:numPr>
          <w:ilvl w:val="0"/>
          <w:numId w:val="2"/>
        </w:numPr>
        <w:spacing w:after="80" w:line="280"/>
      </w:pPr>
      <w:r>
        <w:rPr>
          <w:b/>
          <w:bCs/>
          <w:sz w:val="22"/>
          <w:szCs w:val="22"/>
        </w:rPr>
        <w:t xml:space="preserve">Mitigating factor: </w:t>
      </w:r>
      <w:r>
        <w:rPr>
          <w:sz w:val="22"/>
          <w:szCs w:val="22"/>
        </w:rPr>
        <w:t xml:space="preserve">Both founders are experienced operators with prior successful exits, not first-timers.</w:t>
      </w:r>
    </w:p>
    <w:p>
      <w:pPr>
        <w:pStyle w:val="Heading2"/>
        <w:spacing w:after="120" w:before="240"/>
      </w:pPr>
      <w:r>
        <w:t xml:space="preserve">9.5 Talent Acquisition Opportunity for a Challenger</w:t>
      </w:r>
    </w:p>
    <w:p>
      <w:pPr>
        <w:spacing w:after="120" w:line="300"/>
        <w:jc w:val="both"/>
      </w:pPr>
      <w:r>
        <w:rPr>
          <w:sz w:val="22"/>
          <w:szCs w:val="22"/>
        </w:rPr>
        <w:t xml:space="preserve">The most targetable talent profiles for a well-funded challenger are former Reltio senior engineers, former Informatica cloud architects (particularly those uncomfortable with the Salesforce acquisition), and Syncari mid-level engineers two to three years post-hire. Expected compensation range to attract senior talent: 230k to 400k USD base plus meaningful founder-equivalent equity.</w:t>
      </w:r>
    </w:p>
    <w:p>
      <w:pPr>
        <w:pStyle w:val="Heading1"/>
        <w:pageBreakBefore/>
        <w:spacing w:after="200" w:before="200"/>
      </w:pPr>
      <w:r>
        <w:t xml:space="preserve">10. Operations &amp; Delivery</w:t>
      </w:r>
    </w:p>
    <w:p>
      <w:pPr>
        <w:pStyle w:val="Heading2"/>
        <w:spacing w:after="120" w:before="240"/>
      </w:pPr>
      <w:r>
        <w:t xml:space="preserve">10.1 Implementation Model</w:t>
      </w:r>
    </w:p>
    <w:p>
      <w:pPr>
        <w:spacing w:after="120" w:line="300"/>
        <w:jc w:val="both"/>
      </w:pPr>
      <w:r>
        <w:rPr>
          <w:sz w:val="22"/>
          <w:szCs w:val="22"/>
        </w:rPr>
        <w:t xml:space="preserve">Syncari runs a three-tier implementation model:</w:t>
      </w:r>
    </w:p>
    <w:p>
      <w:pPr>
        <w:pStyle w:val="ListParagraph"/>
        <w:numPr>
          <w:ilvl w:val="0"/>
          <w:numId w:val="2"/>
        </w:numPr>
        <w:spacing w:after="80" w:line="280"/>
      </w:pPr>
      <w:r>
        <w:rPr>
          <w:b/>
          <w:bCs/>
          <w:sz w:val="22"/>
          <w:szCs w:val="22"/>
        </w:rPr>
        <w:t xml:space="preserve">Self-serve: </w:t>
      </w:r>
      <w:r>
        <w:rPr>
          <w:sz w:val="22"/>
          <w:szCs w:val="22"/>
        </w:rPr>
        <w:t xml:space="preserve">Free trial plus self-guided onboarding for SMB and evaluation accounts. Time to first pipeline: minutes to hours.</w:t>
      </w:r>
    </w:p>
    <w:p>
      <w:pPr>
        <w:pStyle w:val="ListParagraph"/>
        <w:numPr>
          <w:ilvl w:val="0"/>
          <w:numId w:val="2"/>
        </w:numPr>
        <w:spacing w:after="80" w:line="280"/>
      </w:pPr>
      <w:r>
        <w:rPr>
          <w:b/>
          <w:bCs/>
          <w:sz w:val="22"/>
          <w:szCs w:val="22"/>
        </w:rPr>
        <w:t xml:space="preserve">Syncari-led: </w:t>
      </w:r>
      <w:r>
        <w:rPr>
          <w:sz w:val="22"/>
          <w:szCs w:val="22"/>
        </w:rPr>
        <w:t xml:space="preserve">Professional services engagement for mid-market and enterprise. Time to live: four to twelve weeks.</w:t>
      </w:r>
    </w:p>
    <w:p>
      <w:pPr>
        <w:pStyle w:val="ListParagraph"/>
        <w:numPr>
          <w:ilvl w:val="0"/>
          <w:numId w:val="2"/>
        </w:numPr>
        <w:spacing w:after="80" w:line="280"/>
      </w:pPr>
      <w:r>
        <w:rPr>
          <w:b/>
          <w:bCs/>
          <w:sz w:val="22"/>
          <w:szCs w:val="22"/>
        </w:rPr>
        <w:t xml:space="preserve">Partner-led: </w:t>
      </w:r>
      <w:r>
        <w:rPr>
          <w:sz w:val="22"/>
          <w:szCs w:val="22"/>
        </w:rPr>
        <w:t xml:space="preserve">Nascent but emerging model; most commonly via SI partners or embedded in customer-specific integrations (Impartner case).</w:t>
      </w:r>
    </w:p>
    <w:p>
      <w:pPr>
        <w:pStyle w:val="Heading2"/>
        <w:spacing w:after="120" w:before="240"/>
      </w:pPr>
      <w:r>
        <w:t xml:space="preserve">10.2 Professional Services</w:t>
      </w:r>
    </w:p>
    <w:p>
      <w:pPr>
        <w:pStyle w:val="ListParagraph"/>
        <w:numPr>
          <w:ilvl w:val="0"/>
          <w:numId w:val="2"/>
        </w:numPr>
        <w:spacing w:after="80" w:line="280"/>
      </w:pPr>
      <w:r>
        <w:rPr>
          <w:sz w:val="22"/>
          <w:szCs w:val="22"/>
        </w:rPr>
        <w:t xml:space="preserve">Estimated PS attach rate: 40 to 60 percent of Enterprise deals.</w:t>
      </w:r>
    </w:p>
    <w:p>
      <w:pPr>
        <w:pStyle w:val="ListParagraph"/>
        <w:numPr>
          <w:ilvl w:val="0"/>
          <w:numId w:val="2"/>
        </w:numPr>
        <w:spacing w:after="80" w:line="280"/>
      </w:pPr>
      <w:r>
        <w:rPr>
          <w:sz w:val="22"/>
          <w:szCs w:val="22"/>
        </w:rPr>
        <w:t xml:space="preserve">Estimated PS revenue as percent of total: 12 to 18 percent.</w:t>
      </w:r>
    </w:p>
    <w:p>
      <w:pPr>
        <w:pStyle w:val="ListParagraph"/>
        <w:numPr>
          <w:ilvl w:val="0"/>
          <w:numId w:val="2"/>
        </w:numPr>
        <w:spacing w:after="80" w:line="280"/>
      </w:pPr>
      <w:r>
        <w:rPr>
          <w:sz w:val="22"/>
          <w:szCs w:val="22"/>
        </w:rPr>
        <w:t xml:space="preserve">Estimated PS margin: 25 to 45 percent — typical for a Series B SaaS.</w:t>
      </w:r>
    </w:p>
    <w:p>
      <w:pPr>
        <w:pStyle w:val="Heading2"/>
        <w:spacing w:after="120" w:before="240"/>
      </w:pPr>
      <w:r>
        <w:t xml:space="preserve">10.3 Customer Success</w:t>
      </w:r>
    </w:p>
    <w:p>
      <w:pPr>
        <w:pStyle w:val="ListParagraph"/>
        <w:numPr>
          <w:ilvl w:val="0"/>
          <w:numId w:val="2"/>
        </w:numPr>
        <w:spacing w:after="80" w:line="280"/>
      </w:pPr>
      <w:r>
        <w:rPr>
          <w:sz w:val="22"/>
          <w:szCs w:val="22"/>
        </w:rPr>
        <w:t xml:space="preserve">Estimated CSM coverage: approximately one CSM per 1 to 1.5 million USD ARR at the Enterprise tier.</w:t>
      </w:r>
    </w:p>
    <w:p>
      <w:pPr>
        <w:pStyle w:val="ListParagraph"/>
        <w:numPr>
          <w:ilvl w:val="0"/>
          <w:numId w:val="2"/>
        </w:numPr>
        <w:spacing w:after="80" w:line="280"/>
      </w:pPr>
      <w:r>
        <w:rPr>
          <w:sz w:val="22"/>
          <w:szCs w:val="22"/>
        </w:rPr>
        <w:t xml:space="preserve">Strong support ratings (9.9 on G2) suggest a support-led rather than scaled CSM motion.</w:t>
      </w:r>
    </w:p>
    <w:p>
      <w:pPr>
        <w:pStyle w:val="ListParagraph"/>
        <w:numPr>
          <w:ilvl w:val="0"/>
          <w:numId w:val="2"/>
        </w:numPr>
        <w:spacing w:after="80" w:line="280"/>
      </w:pPr>
      <w:r>
        <w:rPr>
          <w:sz w:val="22"/>
          <w:szCs w:val="22"/>
        </w:rPr>
        <w:t xml:space="preserve">Academy and certifications provide a lightweight self-enablement layer.</w:t>
      </w:r>
    </w:p>
    <w:p>
      <w:pPr>
        <w:pStyle w:val="Heading2"/>
        <w:spacing w:after="120" w:before="240"/>
      </w:pPr>
      <w:r>
        <w:t xml:space="preserve">10.4 Support SLA Structure</w:t>
      </w:r>
    </w:p>
    <w:p>
      <w:pPr>
        <w:pStyle w:val="ListParagraph"/>
        <w:numPr>
          <w:ilvl w:val="0"/>
          <w:numId w:val="2"/>
        </w:numPr>
        <w:spacing w:after="80" w:line="280"/>
      </w:pPr>
      <w:r>
        <w:rPr>
          <w:sz w:val="22"/>
          <w:szCs w:val="22"/>
        </w:rPr>
        <w:t xml:space="preserve">Tier 1 (Starter): email support, standard business hours.</w:t>
      </w:r>
    </w:p>
    <w:p>
      <w:pPr>
        <w:pStyle w:val="ListParagraph"/>
        <w:numPr>
          <w:ilvl w:val="0"/>
          <w:numId w:val="2"/>
        </w:numPr>
        <w:spacing w:after="80" w:line="280"/>
      </w:pPr>
      <w:r>
        <w:rPr>
          <w:sz w:val="22"/>
          <w:szCs w:val="22"/>
        </w:rPr>
        <w:t xml:space="preserve">Tier 2 (Growth): priority email and chat, extended hours.</w:t>
      </w:r>
    </w:p>
    <w:p>
      <w:pPr>
        <w:pStyle w:val="ListParagraph"/>
        <w:numPr>
          <w:ilvl w:val="0"/>
          <w:numId w:val="2"/>
        </w:numPr>
        <w:spacing w:after="80" w:line="280"/>
      </w:pPr>
      <w:r>
        <w:rPr>
          <w:sz w:val="22"/>
          <w:szCs w:val="22"/>
        </w:rPr>
        <w:t xml:space="preserve">Tier 3 (Enterprise): dedicated CSM, 24/7 support, custom SLAs with uptime guarantees.</w:t>
      </w:r>
    </w:p>
    <w:p>
      <w:pPr>
        <w:pStyle w:val="Heading2"/>
        <w:spacing w:after="120" w:before="240"/>
      </w:pPr>
      <w:r>
        <w:t xml:space="preserve">10.5 Delivery Opportunity for a Challenger</w:t>
      </w:r>
    </w:p>
    <w:p>
      <w:pPr>
        <w:pStyle w:val="ListParagraph"/>
        <w:numPr>
          <w:ilvl w:val="0"/>
          <w:numId w:val="2"/>
        </w:numPr>
        <w:spacing w:after="80" w:line="280"/>
      </w:pPr>
      <w:r>
        <w:rPr>
          <w:b/>
          <w:bCs/>
          <w:sz w:val="22"/>
          <w:szCs w:val="22"/>
        </w:rPr>
        <w:t xml:space="preserve">Vertical accelerators: </w:t>
      </w:r>
      <w:r>
        <w:rPr>
          <w:sz w:val="22"/>
          <w:szCs w:val="22"/>
        </w:rPr>
        <w:t xml:space="preserve">No MDM vendor offers a strong vertical-specific implementation playbook. A healthcare MDM challenger could ship a pre-built data model and HIPAA-compliant deployment in two to three weeks versus the industry standard eight to twelve.</w:t>
      </w:r>
    </w:p>
    <w:p>
      <w:pPr>
        <w:pStyle w:val="ListParagraph"/>
        <w:numPr>
          <w:ilvl w:val="0"/>
          <w:numId w:val="2"/>
        </w:numPr>
        <w:spacing w:after="80" w:line="280"/>
      </w:pPr>
      <w:r>
        <w:rPr>
          <w:b/>
          <w:bCs/>
          <w:sz w:val="22"/>
          <w:szCs w:val="22"/>
        </w:rPr>
        <w:t xml:space="preserve">AI-driven implementation: </w:t>
      </w:r>
      <w:r>
        <w:rPr>
          <w:sz w:val="22"/>
          <w:szCs w:val="22"/>
        </w:rPr>
        <w:t xml:space="preserve">Use AI agents to automate the schema-mapping and data-quality-rule configuration phases — the two most labor-intensive parts of MDM deployment. Credible TTV reduction target: 60 to 75 percent.</w:t>
      </w:r>
    </w:p>
    <w:p>
      <w:pPr>
        <w:pStyle w:val="ListParagraph"/>
        <w:numPr>
          <w:ilvl w:val="0"/>
          <w:numId w:val="2"/>
        </w:numPr>
        <w:spacing w:after="80" w:line="280"/>
      </w:pPr>
      <w:r>
        <w:rPr>
          <w:b/>
          <w:bCs/>
          <w:sz w:val="22"/>
          <w:szCs w:val="22"/>
        </w:rPr>
        <w:t xml:space="preserve">SI partnership vacuum: </w:t>
      </w:r>
      <w:r>
        <w:rPr>
          <w:sz w:val="22"/>
          <w:szCs w:val="22"/>
        </w:rPr>
        <w:t xml:space="preserve">Syncari has minimal Deloitte, Accenture, Slalom, or DXC relationships. A challenger that invests early in SI relationships can secure structural distribution advantage.</w:t>
      </w:r>
    </w:p>
    <w:p>
      <w:pPr>
        <w:pStyle w:val="Heading1"/>
        <w:pageBreakBefore/>
        <w:spacing w:after="200" w:before="200"/>
      </w:pPr>
      <w:r>
        <w:t xml:space="preserve">11. Regulatory, Security &amp; Compliance Moat</w:t>
      </w:r>
    </w:p>
    <w:p>
      <w:pPr>
        <w:pStyle w:val="Heading2"/>
        <w:spacing w:after="120" w:before="240"/>
      </w:pPr>
      <w:r>
        <w:t xml:space="preserve">11.1 Certifications and Posture</w:t>
      </w:r>
    </w:p>
    <w:p>
      <w:pPr>
        <w:pStyle w:val="ListParagraph"/>
        <w:numPr>
          <w:ilvl w:val="0"/>
          <w:numId w:val="2"/>
        </w:numPr>
        <w:spacing w:after="80" w:line="280"/>
      </w:pPr>
      <w:r>
        <w:rPr>
          <w:b/>
          <w:bCs/>
          <w:sz w:val="22"/>
          <w:szCs w:val="22"/>
        </w:rPr>
        <w:t xml:space="preserve">SOC 2 Type II: </w:t>
      </w:r>
      <w:r>
        <w:rPr>
          <w:sz w:val="22"/>
          <w:szCs w:val="22"/>
        </w:rPr>
        <w:t xml:space="preserve">Confirmed.</w:t>
      </w:r>
    </w:p>
    <w:p>
      <w:pPr>
        <w:pStyle w:val="ListParagraph"/>
        <w:numPr>
          <w:ilvl w:val="0"/>
          <w:numId w:val="2"/>
        </w:numPr>
        <w:spacing w:after="80" w:line="280"/>
      </w:pPr>
      <w:r>
        <w:rPr>
          <w:b/>
          <w:bCs/>
          <w:sz w:val="22"/>
          <w:szCs w:val="22"/>
        </w:rPr>
        <w:t xml:space="preserve">ISO 27001: </w:t>
      </w:r>
      <w:r>
        <w:rPr>
          <w:sz w:val="22"/>
          <w:szCs w:val="22"/>
        </w:rPr>
        <w:t xml:space="preserve">Likely but not publicly prominent.</w:t>
      </w:r>
    </w:p>
    <w:p>
      <w:pPr>
        <w:pStyle w:val="ListParagraph"/>
        <w:numPr>
          <w:ilvl w:val="0"/>
          <w:numId w:val="2"/>
        </w:numPr>
        <w:spacing w:after="80" w:line="280"/>
      </w:pPr>
      <w:r>
        <w:rPr>
          <w:b/>
          <w:bCs/>
          <w:sz w:val="22"/>
          <w:szCs w:val="22"/>
        </w:rPr>
        <w:t xml:space="preserve">GDPR: </w:t>
      </w:r>
      <w:r>
        <w:rPr>
          <w:sz w:val="22"/>
          <w:szCs w:val="22"/>
        </w:rPr>
        <w:t xml:space="preserve">Supported via data residency options.</w:t>
      </w:r>
    </w:p>
    <w:p>
      <w:pPr>
        <w:pStyle w:val="ListParagraph"/>
        <w:numPr>
          <w:ilvl w:val="0"/>
          <w:numId w:val="2"/>
        </w:numPr>
        <w:spacing w:after="80" w:line="280"/>
      </w:pPr>
      <w:r>
        <w:rPr>
          <w:b/>
          <w:bCs/>
          <w:sz w:val="22"/>
          <w:szCs w:val="22"/>
        </w:rPr>
        <w:t xml:space="preserve">HIPAA: </w:t>
      </w:r>
      <w:r>
        <w:rPr>
          <w:sz w:val="22"/>
          <w:szCs w:val="22"/>
        </w:rPr>
        <w:t xml:space="preserve">Supported for eligible use cases but not a primary marketing message.</w:t>
      </w:r>
    </w:p>
    <w:p>
      <w:pPr>
        <w:pStyle w:val="ListParagraph"/>
        <w:numPr>
          <w:ilvl w:val="0"/>
          <w:numId w:val="2"/>
        </w:numPr>
        <w:spacing w:after="80" w:line="280"/>
      </w:pPr>
      <w:r>
        <w:rPr>
          <w:b/>
          <w:bCs/>
          <w:sz w:val="22"/>
          <w:szCs w:val="22"/>
        </w:rPr>
        <w:t xml:space="preserve">FedRAMP: </w:t>
      </w:r>
      <w:r>
        <w:rPr>
          <w:sz w:val="22"/>
          <w:szCs w:val="22"/>
        </w:rPr>
        <w:t xml:space="preserve">Not evident — a gap for a federal or regulated-industry challenger.</w:t>
      </w:r>
    </w:p>
    <w:p>
      <w:pPr>
        <w:pStyle w:val="ListParagraph"/>
        <w:numPr>
          <w:ilvl w:val="0"/>
          <w:numId w:val="2"/>
        </w:numPr>
        <w:spacing w:after="80" w:line="280"/>
      </w:pPr>
      <w:r>
        <w:rPr>
          <w:b/>
          <w:bCs/>
          <w:sz w:val="22"/>
          <w:szCs w:val="22"/>
        </w:rPr>
        <w:t xml:space="preserve">SOX: </w:t>
      </w:r>
      <w:r>
        <w:rPr>
          <w:sz w:val="22"/>
          <w:szCs w:val="22"/>
        </w:rPr>
        <w:t xml:space="preserve">Supported via audit and lineage features.</w:t>
      </w:r>
    </w:p>
    <w:p>
      <w:pPr>
        <w:pStyle w:val="Heading2"/>
        <w:spacing w:after="120" w:before="240"/>
      </w:pPr>
      <w:r>
        <w:t xml:space="preserve">11.2 Data Residency and Regional Posture</w:t>
      </w:r>
    </w:p>
    <w:p>
      <w:pPr>
        <w:pStyle w:val="ListParagraph"/>
        <w:numPr>
          <w:ilvl w:val="0"/>
          <w:numId w:val="2"/>
        </w:numPr>
        <w:spacing w:after="80" w:line="280"/>
      </w:pPr>
      <w:r>
        <w:rPr>
          <w:sz w:val="22"/>
          <w:szCs w:val="22"/>
        </w:rPr>
        <w:t xml:space="preserve">Primary deployment: US AWS regions.</w:t>
      </w:r>
    </w:p>
    <w:p>
      <w:pPr>
        <w:pStyle w:val="ListParagraph"/>
        <w:numPr>
          <w:ilvl w:val="0"/>
          <w:numId w:val="2"/>
        </w:numPr>
        <w:spacing w:after="80" w:line="280"/>
      </w:pPr>
      <w:r>
        <w:rPr>
          <w:sz w:val="22"/>
          <w:szCs w:val="22"/>
        </w:rPr>
        <w:t xml:space="preserve">EU data residency: available on request, not heavily promoted.</w:t>
      </w:r>
    </w:p>
    <w:p>
      <w:pPr>
        <w:pStyle w:val="ListParagraph"/>
        <w:numPr>
          <w:ilvl w:val="0"/>
          <w:numId w:val="2"/>
        </w:numPr>
        <w:spacing w:after="80" w:line="280"/>
      </w:pPr>
      <w:r>
        <w:rPr>
          <w:sz w:val="22"/>
          <w:szCs w:val="22"/>
        </w:rPr>
        <w:t xml:space="preserve">APAC, UK, Middle East: limited public messaging.</w:t>
      </w:r>
    </w:p>
    <w:p>
      <w:pPr>
        <w:pStyle w:val="Heading2"/>
        <w:spacing w:after="120" w:before="240"/>
      </w:pPr>
      <w:r>
        <w:t xml:space="preserve">11.3 IP Moat Assessment</w:t>
      </w:r>
    </w:p>
    <w:p>
      <w:pPr>
        <w:pStyle w:val="ListParagraph"/>
        <w:numPr>
          <w:ilvl w:val="0"/>
          <w:numId w:val="2"/>
        </w:numPr>
        <w:spacing w:after="80" w:line="280"/>
      </w:pPr>
      <w:r>
        <w:rPr>
          <w:sz w:val="22"/>
          <w:szCs w:val="22"/>
        </w:rPr>
        <w:t xml:space="preserve">One or more patents granted and pending for stateful multi-directional sync — narrow claims.</w:t>
      </w:r>
    </w:p>
    <w:p>
      <w:pPr>
        <w:pStyle w:val="ListParagraph"/>
        <w:numPr>
          <w:ilvl w:val="0"/>
          <w:numId w:val="2"/>
        </w:numPr>
        <w:spacing w:after="80" w:line="280"/>
      </w:pPr>
      <w:r>
        <w:rPr>
          <w:sz w:val="22"/>
          <w:szCs w:val="22"/>
        </w:rPr>
        <w:t xml:space="preserve">Trademark portfolio covers Syncari, Synapses, MultiSync, Agentic MDM (likely contested).</w:t>
      </w:r>
    </w:p>
    <w:p>
      <w:pPr>
        <w:pStyle w:val="ListParagraph"/>
        <w:numPr>
          <w:ilvl w:val="0"/>
          <w:numId w:val="2"/>
        </w:numPr>
        <w:spacing w:after="80" w:line="280"/>
      </w:pPr>
      <w:r>
        <w:rPr>
          <w:sz w:val="22"/>
          <w:szCs w:val="22"/>
        </w:rPr>
        <w:t xml:space="preserve">No evidence of aggressive patent enforcement or litigation.</w:t>
      </w:r>
    </w:p>
    <w:p>
      <w:pPr>
        <w:pStyle w:val="Heading2"/>
        <w:spacing w:after="120" w:before="240"/>
      </w:pPr>
      <w:r>
        <w:t xml:space="preserve">11.4 Regulatory Opportunities for a Challenger</w:t>
      </w:r>
    </w:p>
    <w:p>
      <w:pPr>
        <w:pStyle w:val="ListParagraph"/>
        <w:numPr>
          <w:ilvl w:val="0"/>
          <w:numId w:val="2"/>
        </w:numPr>
        <w:spacing w:after="80" w:line="280"/>
      </w:pPr>
      <w:r>
        <w:rPr>
          <w:b/>
          <w:bCs/>
          <w:sz w:val="22"/>
          <w:szCs w:val="22"/>
        </w:rPr>
        <w:t xml:space="preserve">FedRAMP Moderate or High: </w:t>
      </w:r>
      <w:r>
        <w:rPr>
          <w:sz w:val="22"/>
          <w:szCs w:val="22"/>
        </w:rPr>
        <w:t xml:space="preserve">A challenger that pursues FedRAMP authorization from day one can address the federal and defense MDM market — estimated 1.5 to 3 billion USD annual TAM — where Syncari is absent.</w:t>
      </w:r>
    </w:p>
    <w:p>
      <w:pPr>
        <w:pStyle w:val="ListParagraph"/>
        <w:numPr>
          <w:ilvl w:val="0"/>
          <w:numId w:val="2"/>
        </w:numPr>
        <w:spacing w:after="80" w:line="280"/>
      </w:pPr>
      <w:r>
        <w:rPr>
          <w:b/>
          <w:bCs/>
          <w:sz w:val="22"/>
          <w:szCs w:val="22"/>
        </w:rPr>
        <w:t xml:space="preserve">HIPAA-first healthcare posture: </w:t>
      </w:r>
      <w:r>
        <w:rPr>
          <w:sz w:val="22"/>
          <w:szCs w:val="22"/>
        </w:rPr>
        <w:t xml:space="preserve">A healthcare-specialized challenger with BAA-ready deployment can dominate the provider and payer market.</w:t>
      </w:r>
    </w:p>
    <w:p>
      <w:pPr>
        <w:pStyle w:val="ListParagraph"/>
        <w:numPr>
          <w:ilvl w:val="0"/>
          <w:numId w:val="2"/>
        </w:numPr>
        <w:spacing w:after="80" w:line="280"/>
      </w:pPr>
      <w:r>
        <w:rPr>
          <w:b/>
          <w:bCs/>
          <w:sz w:val="22"/>
          <w:szCs w:val="22"/>
        </w:rPr>
        <w:t xml:space="preserve">EU AI Act and Data Act compliance: </w:t>
      </w:r>
      <w:r>
        <w:rPr>
          <w:sz w:val="22"/>
          <w:szCs w:val="22"/>
        </w:rPr>
        <w:t xml:space="preserve">As the EU AI Act phases in through 2026 and 2027, a European-headquartered or EU-data-residency-first challenger has a credible differentiator.</w:t>
      </w:r>
    </w:p>
    <w:p>
      <w:pPr>
        <w:pStyle w:val="ListParagraph"/>
        <w:numPr>
          <w:ilvl w:val="0"/>
          <w:numId w:val="2"/>
        </w:numPr>
        <w:spacing w:after="80" w:line="280"/>
      </w:pPr>
      <w:r>
        <w:rPr>
          <w:b/>
          <w:bCs/>
          <w:sz w:val="22"/>
          <w:szCs w:val="22"/>
        </w:rPr>
        <w:t xml:space="preserve">PCI DSS: </w:t>
      </w:r>
      <w:r>
        <w:rPr>
          <w:sz w:val="22"/>
          <w:szCs w:val="22"/>
        </w:rPr>
        <w:t xml:space="preserve">Not a prominent Syncari posture — an opening for financial services MDM.</w:t>
      </w:r>
    </w:p>
    <w:p>
      <w:pPr>
        <w:pStyle w:val="Heading1"/>
        <w:pageBreakBefore/>
        <w:spacing w:after="200" w:before="200"/>
      </w:pPr>
      <w:r>
        <w:t xml:space="preserve">12. Vulnerabilities &amp; Attack Surface</w:t>
      </w:r>
    </w:p>
    <w:p>
      <w:pPr>
        <w:pStyle w:val="Heading2"/>
        <w:spacing w:after="120" w:before="240"/>
      </w:pPr>
      <w:r>
        <w:t xml:space="preserve">12.1 Where Customers Complain (Most to Least)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Complaint</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Severity</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Exploit Path</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Learning curve and complexity for non-engineers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Ship an AI-assisted configuration copilot</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 Synapses still need code</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4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Ship an LLM-driven connector generator</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Long enterprise implementation times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Ship vertical pre-built data models</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Pricing opacity at Enterprise</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4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Ship transparent, published enterprise pricing</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Thin native analytics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Low</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Bundle tighter with Snowflake, Looker, or ship native viz</w:t>
            </w:r>
          </w:p>
        </w:tc>
      </w:tr>
      <w:tr>
        <w:tc>
          <w:tcPr>
            <w:tcW w:type="dxa" w:w="3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Status page history: occasional outages</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Low to Medium</w:t>
            </w:r>
          </w:p>
        </w:tc>
        <w:tc>
          <w:tcPr>
            <w:tcW w:type="dxa" w:w="4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Invest in five-nines SLA story</w:t>
            </w:r>
          </w:p>
        </w:tc>
      </w:tr>
    </w:tbl>
    <w:p>
      <w:pPr>
        <w:spacing w:after="120"/>
      </w:pPr>
      <w:r>
        <w:t xml:space="preserve"/>
      </w:r>
    </w:p>
    <w:p>
      <w:pPr>
        <w:pStyle w:val="Heading2"/>
        <w:spacing w:after="120" w:before="240"/>
      </w:pPr>
      <w:r>
        <w:t xml:space="preserve">12.2 Strategic Weaknesses</w:t>
      </w:r>
    </w:p>
    <w:p>
      <w:pPr>
        <w:pStyle w:val="ListParagraph"/>
        <w:numPr>
          <w:ilvl w:val="0"/>
          <w:numId w:val="2"/>
        </w:numPr>
        <w:spacing w:after="80" w:line="280"/>
      </w:pPr>
      <w:r>
        <w:rPr>
          <w:b/>
          <w:bCs/>
          <w:sz w:val="22"/>
          <w:szCs w:val="22"/>
        </w:rPr>
        <w:t xml:space="preserve">Vertical absence: </w:t>
      </w:r>
      <w:r>
        <w:rPr>
          <w:sz w:val="22"/>
          <w:szCs w:val="22"/>
        </w:rPr>
        <w:t xml:space="preserve">Pure horizontal play; no healthcare, financial services, or manufacturing pre-packaging. A focused vertical challenger faces little incumbent pressure.</w:t>
      </w:r>
    </w:p>
    <w:p>
      <w:pPr>
        <w:pStyle w:val="ListParagraph"/>
        <w:numPr>
          <w:ilvl w:val="0"/>
          <w:numId w:val="2"/>
        </w:numPr>
        <w:spacing w:after="80" w:line="280"/>
      </w:pPr>
      <w:r>
        <w:rPr>
          <w:b/>
          <w:bCs/>
          <w:sz w:val="22"/>
          <w:szCs w:val="22"/>
        </w:rPr>
        <w:t xml:space="preserve">Geographic concentration: </w:t>
      </w:r>
      <w:r>
        <w:rPr>
          <w:sz w:val="22"/>
          <w:szCs w:val="22"/>
        </w:rPr>
        <w:t xml:space="preserve">US-centric. EMEA and APAC are open markets; regulated-region messaging is weak.</w:t>
      </w:r>
    </w:p>
    <w:p>
      <w:pPr>
        <w:pStyle w:val="ListParagraph"/>
        <w:numPr>
          <w:ilvl w:val="0"/>
          <w:numId w:val="2"/>
        </w:numPr>
        <w:spacing w:after="80" w:line="280"/>
      </w:pPr>
      <w:r>
        <w:rPr>
          <w:b/>
          <w:bCs/>
          <w:sz w:val="22"/>
          <w:szCs w:val="22"/>
        </w:rPr>
        <w:t xml:space="preserve">Product data (PIM) and reference data gaps: </w:t>
      </w:r>
      <w:r>
        <w:rPr>
          <w:sz w:val="22"/>
          <w:szCs w:val="22"/>
        </w:rPr>
        <w:t xml:space="preserve">Customer and account strong; product data weak. Stibo and Syndigo dominate adjacent PIM — but a unified MDM-plus-PIM challenger can differentiate.</w:t>
      </w:r>
    </w:p>
    <w:p>
      <w:pPr>
        <w:pStyle w:val="ListParagraph"/>
        <w:numPr>
          <w:ilvl w:val="0"/>
          <w:numId w:val="2"/>
        </w:numPr>
        <w:spacing w:after="80" w:line="280"/>
      </w:pPr>
      <w:r>
        <w:rPr>
          <w:b/>
          <w:bCs/>
          <w:sz w:val="22"/>
          <w:szCs w:val="22"/>
        </w:rPr>
        <w:t xml:space="preserve">SI channel vacuum: </w:t>
      </w:r>
      <w:r>
        <w:rPr>
          <w:sz w:val="22"/>
          <w:szCs w:val="22"/>
        </w:rPr>
        <w:t xml:space="preserve">Minimal large SI relationships. A challenger that invests early in Deloitte, Accenture, or Slalom relationships captures a structural moat.</w:t>
      </w:r>
    </w:p>
    <w:p>
      <w:pPr>
        <w:pStyle w:val="ListParagraph"/>
        <w:numPr>
          <w:ilvl w:val="0"/>
          <w:numId w:val="2"/>
        </w:numPr>
        <w:spacing w:after="80" w:line="280"/>
      </w:pPr>
      <w:r>
        <w:rPr>
          <w:b/>
          <w:bCs/>
          <w:sz w:val="22"/>
          <w:szCs w:val="22"/>
        </w:rPr>
        <w:t xml:space="preserve">Developer experience: </w:t>
      </w:r>
      <w:r>
        <w:rPr>
          <w:sz w:val="22"/>
          <w:szCs w:val="22"/>
        </w:rPr>
        <w:t xml:space="preserve">The product is RevOps-first, not API-first. An API-first, developer-first challenger (think 'MDM as a Stripe-like primitive') has a clean positioning opening.</w:t>
      </w:r>
    </w:p>
    <w:p>
      <w:pPr>
        <w:pStyle w:val="ListParagraph"/>
        <w:numPr>
          <w:ilvl w:val="0"/>
          <w:numId w:val="2"/>
        </w:numPr>
        <w:spacing w:after="80" w:line="280"/>
      </w:pPr>
      <w:r>
        <w:rPr>
          <w:b/>
          <w:bCs/>
          <w:sz w:val="22"/>
          <w:szCs w:val="22"/>
        </w:rPr>
        <w:t xml:space="preserve">Capital depth: </w:t>
      </w:r>
      <w:r>
        <w:rPr>
          <w:sz w:val="22"/>
          <w:szCs w:val="22"/>
        </w:rPr>
        <w:t xml:space="preserve">28 million USD cumulative is thin relative to Reltio (250+ million USD) and Informatica's parent (Salesforce). A 30 to 50 million USD funded challenger can match or exceed Syncari's commercial momentum.</w:t>
      </w:r>
    </w:p>
    <w:p>
      <w:pPr>
        <w:pStyle w:val="Heading2"/>
        <w:spacing w:after="120" w:before="240"/>
      </w:pPr>
      <w:r>
        <w:t xml:space="preserve">12.3 Organizational Risk</w:t>
      </w:r>
    </w:p>
    <w:p>
      <w:pPr>
        <w:pStyle w:val="ListParagraph"/>
        <w:numPr>
          <w:ilvl w:val="0"/>
          <w:numId w:val="2"/>
        </w:numPr>
        <w:spacing w:after="80" w:line="280"/>
      </w:pPr>
      <w:r>
        <w:rPr>
          <w:b/>
          <w:bCs/>
          <w:sz w:val="22"/>
          <w:szCs w:val="22"/>
        </w:rPr>
        <w:t xml:space="preserve">Founder-dependent: </w:t>
      </w:r>
      <w:r>
        <w:rPr>
          <w:sz w:val="22"/>
          <w:szCs w:val="22"/>
        </w:rPr>
        <w:t xml:space="preserve">Both co-founders are central to narrative, product, and fundraising.</w:t>
      </w:r>
    </w:p>
    <w:p>
      <w:pPr>
        <w:pStyle w:val="ListParagraph"/>
        <w:numPr>
          <w:ilvl w:val="0"/>
          <w:numId w:val="2"/>
        </w:numPr>
        <w:spacing w:after="80" w:line="280"/>
      </w:pPr>
      <w:r>
        <w:rPr>
          <w:b/>
          <w:bCs/>
          <w:sz w:val="22"/>
          <w:szCs w:val="22"/>
        </w:rPr>
        <w:t xml:space="preserve">Logo concentration: </w:t>
      </w:r>
      <w:r>
        <w:rPr>
          <w:sz w:val="22"/>
          <w:szCs w:val="22"/>
        </w:rPr>
        <w:t xml:space="preserve">Top 10 to 20 customers likely represent 40 to 60 percent of ARR. A single large logo loss is material.</w:t>
      </w:r>
    </w:p>
    <w:p>
      <w:pPr>
        <w:pStyle w:val="ListParagraph"/>
        <w:numPr>
          <w:ilvl w:val="0"/>
          <w:numId w:val="2"/>
        </w:numPr>
        <w:spacing w:after="80" w:line="280"/>
      </w:pPr>
      <w:r>
        <w:rPr>
          <w:b/>
          <w:bCs/>
          <w:sz w:val="22"/>
          <w:szCs w:val="22"/>
        </w:rPr>
        <w:t xml:space="preserve">Investor composition: </w:t>
      </w:r>
      <w:r>
        <w:rPr>
          <w:sz w:val="22"/>
          <w:szCs w:val="22"/>
        </w:rPr>
        <w:t xml:space="preserve">No tier-1 growth-stage investor (Insight, Accel, Sequoia, Bessemer) yet. The next round will be critical for credibility.</w:t>
      </w:r>
    </w:p>
    <w:p>
      <w:pPr>
        <w:pStyle w:val="ListParagraph"/>
        <w:numPr>
          <w:ilvl w:val="0"/>
          <w:numId w:val="2"/>
        </w:numPr>
        <w:spacing w:after="80" w:line="280"/>
      </w:pPr>
      <w:r>
        <w:rPr>
          <w:b/>
          <w:bCs/>
          <w:sz w:val="22"/>
          <w:szCs w:val="22"/>
        </w:rPr>
        <w:t xml:space="preserve">Competitive positioning pressure: </w:t>
      </w:r>
      <w:r>
        <w:rPr>
          <w:sz w:val="22"/>
          <w:szCs w:val="22"/>
        </w:rPr>
        <w:t xml:space="preserve">Reltio, Profisee, and Ataccama are all racing to claim the Agentic MDM narrative. First-mover advantage is eroding.</w:t>
      </w:r>
    </w:p>
    <w:p>
      <w:pPr>
        <w:pStyle w:val="Heading2"/>
        <w:spacing w:after="120" w:before="240"/>
      </w:pPr>
      <w:r>
        <w:t xml:space="preserve">12.4 Ranked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Attack Vector</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Attractiveness (1 to 10)</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Time to Execute</w:t>
            </w:r>
          </w:p>
        </w:tc>
        <w:tc>
          <w:tcPr>
            <w:tcW w:type="dxa" w:w="2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Capital Required</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Vertical-specific MDM (healthcare)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 to 15 months to MVP</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12 to 18 million USD</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Developer-first open-core MDM</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8</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6 to 12 months to MVP</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8 to 15 million USD</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EMEA-headquartered GDPR-first MDM</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8</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 to 12 months to MVP</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 to 15 million USD</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SI-channel-led enterprise MDM</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7</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12 to 18 months</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15 to 25 million USD</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PIM + MDM unified play</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12 to 18 months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15 to 25 million USD</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FedRAMP-first federal MDM</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6</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18 to 30 months (FedRAMP)</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 to 35 million USD</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Direct head-on MDM clone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18 to 24 months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35 to 60 million USD</w:t>
            </w:r>
          </w:p>
        </w:tc>
      </w:tr>
    </w:tbl>
    <w:p>
      <w:pPr>
        <w:pStyle w:val="Heading1"/>
        <w:pageBreakBefore/>
        <w:spacing w:after="200" w:before="200"/>
      </w:pPr>
      <w:r>
        <w:t xml:space="preserve">13. Strategic Roadmap &amp; Moves</w:t>
      </w:r>
    </w:p>
    <w:p>
      <w:pPr>
        <w:pStyle w:val="Heading2"/>
        <w:spacing w:after="120" w:before="240"/>
      </w:pPr>
      <w:r>
        <w:t xml:space="preserve">13.1 Inferred 12-to-24 Month Roadmap</w:t>
      </w:r>
    </w:p>
    <w:p>
      <w:pPr>
        <w:spacing w:after="120" w:line="300"/>
        <w:jc w:val="both"/>
      </w:pPr>
      <w:r>
        <w:rPr>
          <w:sz w:val="22"/>
          <w:szCs w:val="22"/>
        </w:rPr>
        <w:t xml:space="preserve">Based on product announcements (Business Studio, MCP Server, Hierarchy/Ontology module), job postings, and public statements, the following is our best estimate of Syncari's forward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Timeframe</w:t>
            </w:r>
          </w:p>
        </w:tc>
        <w:tc>
          <w:tcPr>
            <w:tcW w:type="dxa" w:w="3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Likely Move</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Strategic Intent</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Q2 2026</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Expanded MCP server capabilities; deeper agent governance</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Lead Agentic MDM narrative</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Q3 2026</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Vertical-specific starter packs (first one likely B2B SaaS or partner data)</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Address long implementation times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Q4 2026</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Expanded Snowflake and Databricks native integration</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Compete with DIY-on-warehouse pattern</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Q1 2027</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Larger Series B extension or Series C (35 to 60 million USD)</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Fund enterprise sales scale-up</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2027</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Possible PIM/product-data module addition</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Address Stibo/Syndigo overlap</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2027-2028</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Likely M&amp;A target or primary acquirer</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Market consolidation</w:t>
            </w:r>
          </w:p>
        </w:tc>
      </w:tr>
    </w:tbl>
    <w:p>
      <w:pPr>
        <w:spacing w:after="120"/>
      </w:pPr>
      <w:r>
        <w:t xml:space="preserve"/>
      </w:r>
    </w:p>
    <w:p>
      <w:pPr>
        <w:pStyle w:val="Heading2"/>
        <w:spacing w:after="120" w:before="240"/>
      </w:pPr>
      <w:r>
        <w:t xml:space="preserve">13.2 Likely Acquirers</w:t>
      </w:r>
    </w:p>
    <w:p>
      <w:pPr>
        <w:spacing w:after="120" w:line="300"/>
        <w:jc w:val="both"/>
      </w:pPr>
      <w:r>
        <w:rPr>
          <w:sz w:val="22"/>
          <w:szCs w:val="22"/>
        </w:rPr>
        <w:t xml:space="preserve">Ranked by strategic fit and financial capacity:</w:t>
      </w:r>
    </w:p>
    <w:p>
      <w:pPr>
        <w:pStyle w:val="ListParagraph"/>
        <w:numPr>
          <w:ilvl w:val="0"/>
          <w:numId w:val="2"/>
        </w:numPr>
        <w:spacing w:after="80" w:line="280"/>
      </w:pPr>
      <w:r>
        <w:rPr>
          <w:b/>
          <w:bCs/>
          <w:sz w:val="22"/>
          <w:szCs w:val="22"/>
        </w:rPr>
        <w:t xml:space="preserve">Snowflake: </w:t>
      </w:r>
      <w:r>
        <w:rPr>
          <w:sz w:val="22"/>
          <w:szCs w:val="22"/>
        </w:rPr>
        <w:t xml:space="preserve">Most strategic fit. Snowflake is building its application and MDM surface area; Syncari's real-time hub-and-spoke design aligns perfectly.</w:t>
      </w:r>
    </w:p>
    <w:p>
      <w:pPr>
        <w:pStyle w:val="ListParagraph"/>
        <w:numPr>
          <w:ilvl w:val="0"/>
          <w:numId w:val="2"/>
        </w:numPr>
        <w:spacing w:after="80" w:line="280"/>
      </w:pPr>
      <w:r>
        <w:rPr>
          <w:b/>
          <w:bCs/>
          <w:sz w:val="22"/>
          <w:szCs w:val="22"/>
        </w:rPr>
        <w:t xml:space="preserve">Adobe: </w:t>
      </w:r>
      <w:r>
        <w:rPr>
          <w:sz w:val="22"/>
          <w:szCs w:val="22"/>
        </w:rPr>
        <w:t xml:space="preserve">Founder alumni. Strong fit with Adobe Experience Platform and Real-Time CDP. Natural home for the Marketo-adjacent team.</w:t>
      </w:r>
    </w:p>
    <w:p>
      <w:pPr>
        <w:pStyle w:val="ListParagraph"/>
        <w:numPr>
          <w:ilvl w:val="0"/>
          <w:numId w:val="2"/>
        </w:numPr>
        <w:spacing w:after="80" w:line="280"/>
      </w:pPr>
      <w:r>
        <w:rPr>
          <w:b/>
          <w:bCs/>
          <w:sz w:val="22"/>
          <w:szCs w:val="22"/>
        </w:rPr>
        <w:t xml:space="preserve">ServiceNow: </w:t>
      </w:r>
      <w:r>
        <w:rPr>
          <w:sz w:val="22"/>
          <w:szCs w:val="22"/>
        </w:rPr>
        <w:t xml:space="preserve">Growing data focus; logical fit for workflow and data unification.</w:t>
      </w:r>
    </w:p>
    <w:p>
      <w:pPr>
        <w:pStyle w:val="ListParagraph"/>
        <w:numPr>
          <w:ilvl w:val="0"/>
          <w:numId w:val="2"/>
        </w:numPr>
        <w:spacing w:after="80" w:line="280"/>
      </w:pPr>
      <w:r>
        <w:rPr>
          <w:b/>
          <w:bCs/>
          <w:sz w:val="22"/>
          <w:szCs w:val="22"/>
        </w:rPr>
        <w:t xml:space="preserve">Databricks: </w:t>
      </w:r>
      <w:r>
        <w:rPr>
          <w:sz w:val="22"/>
          <w:szCs w:val="22"/>
        </w:rPr>
        <w:t xml:space="preserve">Less obvious but possible as Databricks builds out governance.</w:t>
      </w:r>
    </w:p>
    <w:p>
      <w:pPr>
        <w:pStyle w:val="ListParagraph"/>
        <w:numPr>
          <w:ilvl w:val="0"/>
          <w:numId w:val="2"/>
        </w:numPr>
        <w:spacing w:after="80" w:line="280"/>
      </w:pPr>
      <w:r>
        <w:rPr>
          <w:b/>
          <w:bCs/>
          <w:sz w:val="22"/>
          <w:szCs w:val="22"/>
        </w:rPr>
        <w:t xml:space="preserve">Microsoft: </w:t>
      </w:r>
      <w:r>
        <w:rPr>
          <w:sz w:val="22"/>
          <w:szCs w:val="22"/>
        </w:rPr>
        <w:t xml:space="preserve">Purview expansion pathway.</w:t>
      </w:r>
    </w:p>
    <w:p>
      <w:pPr>
        <w:pStyle w:val="ListParagraph"/>
        <w:numPr>
          <w:ilvl w:val="0"/>
          <w:numId w:val="2"/>
        </w:numPr>
        <w:spacing w:after="80" w:line="280"/>
      </w:pPr>
      <w:r>
        <w:rPr>
          <w:b/>
          <w:bCs/>
          <w:sz w:val="22"/>
          <w:szCs w:val="22"/>
        </w:rPr>
        <w:t xml:space="preserve">Salesforce: </w:t>
      </w:r>
      <w:r>
        <w:rPr>
          <w:sz w:val="22"/>
          <w:szCs w:val="22"/>
        </w:rPr>
        <w:t xml:space="preserve">Unlikely given the Informatica acquisition, unless Syncari occupies a distinct niche.</w:t>
      </w:r>
    </w:p>
    <w:p>
      <w:pPr>
        <w:pStyle w:val="ListParagraph"/>
        <w:numPr>
          <w:ilvl w:val="0"/>
          <w:numId w:val="2"/>
        </w:numPr>
        <w:spacing w:after="80" w:line="280"/>
      </w:pPr>
      <w:r>
        <w:rPr>
          <w:b/>
          <w:bCs/>
          <w:sz w:val="22"/>
          <w:szCs w:val="22"/>
        </w:rPr>
        <w:t xml:space="preserve">Google Cloud: </w:t>
      </w:r>
      <w:r>
        <w:rPr>
          <w:sz w:val="22"/>
          <w:szCs w:val="22"/>
        </w:rPr>
        <w:t xml:space="preserve">Possible, especially given the existing MDM-on-GCP partnership.</w:t>
      </w:r>
    </w:p>
    <w:p>
      <w:pPr>
        <w:pStyle w:val="Heading2"/>
        <w:spacing w:after="120" w:before="240"/>
      </w:pPr>
      <w:r>
        <w:t xml:space="preserve">13.3 Platform-vs-Feature Risk</w:t>
      </w:r>
    </w:p>
    <w:p>
      <w:pPr>
        <w:spacing w:after="120" w:line="300"/>
        <w:jc w:val="both"/>
      </w:pPr>
      <w:r>
        <w:rPr>
          <w:sz w:val="22"/>
          <w:szCs w:val="22"/>
        </w:rPr>
        <w:t xml:space="preserve">The existential platform risk for Syncari — and for any MDM challenger — is that a hyperscaler or a major SaaS platform natively embeds Agentic MDM capabilities. Probability and impact assessment over 24 months: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9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Hyperscaler Move</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Probability</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Impact on Independent MDM</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Salesforce Data Cloud + Informatica integration</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Severe for Salesforce-centric ICP</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Snowflake adds native MDM primitive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 to High</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Severe for DIY-on-Snowflake cohort</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Databricks adds native MDM</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Microsoft Purview adds MDM</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Severe for Microsoft-centric customers</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Google Cloud adds native MDM</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Low to Medium</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r>
    </w:tbl>
    <w:p>
      <w:pPr>
        <w:spacing w:after="120"/>
      </w:pPr>
      <w:r>
        <w:t xml:space="preserve"/>
      </w:r>
    </w:p>
    <w:p>
      <w:pPr>
        <w:spacing w:after="120" w:line="300"/>
        <w:jc w:val="both"/>
      </w:pPr>
      <w:r>
        <w:rPr>
          <w:sz w:val="22"/>
          <w:szCs w:val="22"/>
        </w:rPr>
        <w:t xml:space="preserve">Strategic implication: any MDM challenger must plan for a hyperscaler convergence scenario. The winning defensive posture is (a) embed deeply with one hyperscaler as a preferred partner, (b) differentiate on a cross-platform, agent-first, or vertical dimension that the hyperscaler will not build natively, or (c) build fast enough to be acquired before commoditization.</w:t>
      </w:r>
    </w:p>
    <w:p>
      <w:pPr>
        <w:pStyle w:val="Heading1"/>
        <w:pageBreakBefore/>
        <w:spacing w:after="200" w:before="200"/>
      </w:pPr>
      <w:r>
        <w:t xml:space="preserve">14. Build-a-Clone Playbook — Synthesis</w:t>
      </w:r>
    </w:p>
    <w:p>
      <w:pPr>
        <w:pStyle w:val="Heading2"/>
        <w:spacing w:after="120" w:before="240"/>
      </w:pPr>
      <w:r>
        <w:t xml:space="preserve">14.1 Strategic Recommendation</w:t>
      </w:r>
    </w:p>
    <w:p>
      <w:pPr>
        <w:spacing w:after="120" w:line="300"/>
        <w:jc w:val="both"/>
      </w:pPr>
      <w:r>
        <w:rPr>
          <w:sz w:val="22"/>
          <w:szCs w:val="22"/>
        </w:rPr>
        <w:t xml:space="preserve">A direct head-on Syncari clone is not the recommended strategy. Cloning is capital-intensive, structurally disadvantaged against incumbent analyst recognition, and races against the shrinking Salesforce-Informatica opportunity window. We instead recommend a focused wedge strategy with two credible primary paths.</w:t>
      </w:r>
    </w:p>
    <w:p>
      <w:pPr>
        <w:pStyle w:val="Heading3"/>
        <w:spacing w:after="80" w:before="160"/>
      </w:pPr>
      <w:r>
        <w:t xml:space="preserve">Recommended Path A — Vertical Agentic MDM</w:t>
      </w:r>
    </w:p>
    <w:p>
      <w:pPr>
        <w:pStyle w:val="ListParagraph"/>
        <w:numPr>
          <w:ilvl w:val="0"/>
          <w:numId w:val="2"/>
        </w:numPr>
        <w:spacing w:after="80" w:line="280"/>
      </w:pPr>
      <w:r>
        <w:rPr>
          <w:b/>
          <w:bCs/>
          <w:sz w:val="22"/>
          <w:szCs w:val="22"/>
        </w:rPr>
        <w:t xml:space="preserve">Wedge: </w:t>
      </w:r>
      <w:r>
        <w:rPr>
          <w:sz w:val="22"/>
          <w:szCs w:val="22"/>
        </w:rPr>
        <w:t xml:space="preserve">Healthcare provider and payer data, OR financial services counterparty and customer data.</w:t>
      </w:r>
    </w:p>
    <w:p>
      <w:pPr>
        <w:pStyle w:val="ListParagraph"/>
        <w:numPr>
          <w:ilvl w:val="0"/>
          <w:numId w:val="2"/>
        </w:numPr>
        <w:spacing w:after="80" w:line="280"/>
      </w:pPr>
      <w:r>
        <w:rPr>
          <w:b/>
          <w:bCs/>
          <w:sz w:val="22"/>
          <w:szCs w:val="22"/>
        </w:rPr>
        <w:t xml:space="preserve">Why: </w:t>
      </w:r>
      <w:r>
        <w:rPr>
          <w:sz w:val="22"/>
          <w:szCs w:val="22"/>
        </w:rPr>
        <w:t xml:space="preserve">No MDM vendor has strong vertical pre-packaging. Healthcare MDM alone is an estimated 2 to 3 billion USD TAM within the broader MDM market.</w:t>
      </w:r>
    </w:p>
    <w:p>
      <w:pPr>
        <w:pStyle w:val="ListParagraph"/>
        <w:numPr>
          <w:ilvl w:val="0"/>
          <w:numId w:val="2"/>
        </w:numPr>
        <w:spacing w:after="80" w:line="280"/>
      </w:pPr>
      <w:r>
        <w:rPr>
          <w:b/>
          <w:bCs/>
          <w:sz w:val="22"/>
          <w:szCs w:val="22"/>
        </w:rPr>
        <w:t xml:space="preserve">Differentiator: </w:t>
      </w:r>
      <w:r>
        <w:rPr>
          <w:sz w:val="22"/>
          <w:szCs w:val="22"/>
        </w:rPr>
        <w:t xml:space="preserve">Pre-built HIPAA-compliant or financial-services-compliant data model, pre-configured connectors for industry-specific systems (Epic, Cerner, Salesforce Financial Services Cloud, nCino), and a two-to-three-week time-to-live versus the industry norm of eight to twelve weeks.</w:t>
      </w:r>
    </w:p>
    <w:p>
      <w:pPr>
        <w:pStyle w:val="ListParagraph"/>
        <w:numPr>
          <w:ilvl w:val="0"/>
          <w:numId w:val="2"/>
        </w:numPr>
        <w:spacing w:after="80" w:line="280"/>
      </w:pPr>
      <w:r>
        <w:rPr>
          <w:b/>
          <w:bCs/>
          <w:sz w:val="22"/>
          <w:szCs w:val="22"/>
        </w:rPr>
        <w:t xml:space="preserve">Go-to-market: </w:t>
      </w:r>
      <w:r>
        <w:rPr>
          <w:sz w:val="22"/>
          <w:szCs w:val="22"/>
        </w:rPr>
        <w:t xml:space="preserve">Direct sales into health systems and regional banks; partner with HL7 consultants or banking SI firms.</w:t>
      </w:r>
    </w:p>
    <w:p>
      <w:pPr>
        <w:pStyle w:val="Heading3"/>
        <w:spacing w:after="80" w:before="160"/>
      </w:pPr>
      <w:r>
        <w:t xml:space="preserve">Recommended Path B — Developer-First Open-Core Agentic MDM</w:t>
      </w:r>
    </w:p>
    <w:p>
      <w:pPr>
        <w:pStyle w:val="ListParagraph"/>
        <w:numPr>
          <w:ilvl w:val="0"/>
          <w:numId w:val="2"/>
        </w:numPr>
        <w:spacing w:after="80" w:line="280"/>
      </w:pPr>
      <w:r>
        <w:rPr>
          <w:b/>
          <w:bCs/>
          <w:sz w:val="22"/>
          <w:szCs w:val="22"/>
        </w:rPr>
        <w:t xml:space="preserve">Wedge: </w:t>
      </w:r>
      <w:r>
        <w:rPr>
          <w:sz w:val="22"/>
          <w:szCs w:val="22"/>
        </w:rPr>
        <w:t xml:space="preserve">MDM primitive as a developer-accessible API and SDK; 'Stripe for master data'.</w:t>
      </w:r>
    </w:p>
    <w:p>
      <w:pPr>
        <w:pStyle w:val="ListParagraph"/>
        <w:numPr>
          <w:ilvl w:val="0"/>
          <w:numId w:val="2"/>
        </w:numPr>
        <w:spacing w:after="80" w:line="280"/>
      </w:pPr>
      <w:r>
        <w:rPr>
          <w:b/>
          <w:bCs/>
          <w:sz w:val="22"/>
          <w:szCs w:val="22"/>
        </w:rPr>
        <w:t xml:space="preserve">Why: </w:t>
      </w:r>
      <w:r>
        <w:rPr>
          <w:sz w:val="22"/>
          <w:szCs w:val="22"/>
        </w:rPr>
        <w:t xml:space="preserve">Syncari is RevOps-first; no incumbent owns the developer audience. Open-source distribution flywheel is underexploited in MDM.</w:t>
      </w:r>
    </w:p>
    <w:p>
      <w:pPr>
        <w:pStyle w:val="ListParagraph"/>
        <w:numPr>
          <w:ilvl w:val="0"/>
          <w:numId w:val="2"/>
        </w:numPr>
        <w:spacing w:after="80" w:line="280"/>
      </w:pPr>
      <w:r>
        <w:rPr>
          <w:b/>
          <w:bCs/>
          <w:sz w:val="22"/>
          <w:szCs w:val="22"/>
        </w:rPr>
        <w:t xml:space="preserve">Differentiator: </w:t>
      </w:r>
      <w:r>
        <w:rPr>
          <w:sz w:val="22"/>
          <w:szCs w:val="22"/>
        </w:rPr>
        <w:t xml:space="preserve">Open-source core (MIT or Apache licensed), paid cloud managed service, transparent consumption-based pricing, native TypeScript and Python SDKs, deep MCP server integration from day one.</w:t>
      </w:r>
    </w:p>
    <w:p>
      <w:pPr>
        <w:pStyle w:val="ListParagraph"/>
        <w:numPr>
          <w:ilvl w:val="0"/>
          <w:numId w:val="2"/>
        </w:numPr>
        <w:spacing w:after="80" w:line="280"/>
      </w:pPr>
      <w:r>
        <w:rPr>
          <w:b/>
          <w:bCs/>
          <w:sz w:val="22"/>
          <w:szCs w:val="22"/>
        </w:rPr>
        <w:t xml:space="preserve">Go-to-market: </w:t>
      </w:r>
      <w:r>
        <w:rPr>
          <w:sz w:val="22"/>
          <w:szCs w:val="22"/>
        </w:rPr>
        <w:t xml:space="preserve">GitHub-first; developer community; bottoms-up PLG with enterprise upsell later.</w:t>
      </w:r>
    </w:p>
    <w:p>
      <w:pPr>
        <w:pStyle w:val="Heading2"/>
        <w:spacing w:after="120" w:before="240"/>
      </w:pPr>
      <w:r>
        <w:t xml:space="preserve">14.2 MVP Feature Set — The 20 Percent That Drives 80 Percent of Deals</w:t>
      </w:r>
    </w:p>
    <w:p>
      <w:pPr>
        <w:pStyle w:val="ListParagraph"/>
        <w:numPr>
          <w:ilvl w:val="0"/>
          <w:numId w:val="2"/>
        </w:numPr>
        <w:spacing w:after="80" w:line="280"/>
      </w:pPr>
      <w:r>
        <w:rPr>
          <w:sz w:val="22"/>
          <w:szCs w:val="22"/>
        </w:rPr>
        <w:t xml:space="preserve">Bi-directional, stateful sync engine — table-stakes, must be credible on day one.</w:t>
      </w:r>
    </w:p>
    <w:p>
      <w:pPr>
        <w:pStyle w:val="ListParagraph"/>
        <w:numPr>
          <w:ilvl w:val="0"/>
          <w:numId w:val="2"/>
        </w:numPr>
        <w:spacing w:after="80" w:line="280"/>
      </w:pPr>
      <w:r>
        <w:rPr>
          <w:sz w:val="22"/>
          <w:szCs w:val="22"/>
        </w:rPr>
        <w:t xml:space="preserve">Ten to fifteen core connectors covering Salesforce, HubSpot, Snowflake, PostgreSQL, Segment, and the two most critical vertical systems (e.g., Epic, Cerner for healthcare).</w:t>
      </w:r>
    </w:p>
    <w:p>
      <w:pPr>
        <w:pStyle w:val="ListParagraph"/>
        <w:numPr>
          <w:ilvl w:val="0"/>
          <w:numId w:val="2"/>
        </w:numPr>
        <w:spacing w:after="80" w:line="280"/>
      </w:pPr>
      <w:r>
        <w:rPr>
          <w:sz w:val="22"/>
          <w:szCs w:val="22"/>
        </w:rPr>
        <w:t xml:space="preserve">Configurable matching and survivorship with deterministic and probabilistic matching.</w:t>
      </w:r>
    </w:p>
    <w:p>
      <w:pPr>
        <w:pStyle w:val="ListParagraph"/>
        <w:numPr>
          <w:ilvl w:val="0"/>
          <w:numId w:val="2"/>
        </w:numPr>
        <w:spacing w:after="80" w:line="280"/>
      </w:pPr>
      <w:r>
        <w:rPr>
          <w:sz w:val="22"/>
          <w:szCs w:val="22"/>
        </w:rPr>
        <w:t xml:space="preserve">Audit and lineage tracking out of the box.</w:t>
      </w:r>
    </w:p>
    <w:p>
      <w:pPr>
        <w:pStyle w:val="ListParagraph"/>
        <w:numPr>
          <w:ilvl w:val="0"/>
          <w:numId w:val="2"/>
        </w:numPr>
        <w:spacing w:after="80" w:line="280"/>
      </w:pPr>
      <w:r>
        <w:rPr>
          <w:sz w:val="22"/>
          <w:szCs w:val="22"/>
        </w:rPr>
        <w:t xml:space="preserve">MCP server with governed agent access — this is the must-have 2026 feature.</w:t>
      </w:r>
    </w:p>
    <w:p>
      <w:pPr>
        <w:pStyle w:val="ListParagraph"/>
        <w:numPr>
          <w:ilvl w:val="0"/>
          <w:numId w:val="2"/>
        </w:numPr>
        <w:spacing w:after="80" w:line="280"/>
      </w:pPr>
      <w:r>
        <w:rPr>
          <w:sz w:val="22"/>
          <w:szCs w:val="22"/>
        </w:rPr>
        <w:t xml:space="preserve">Pre-built data model for the target vertical.</w:t>
      </w:r>
    </w:p>
    <w:p>
      <w:pPr>
        <w:pStyle w:val="ListParagraph"/>
        <w:numPr>
          <w:ilvl w:val="0"/>
          <w:numId w:val="2"/>
        </w:numPr>
        <w:spacing w:after="80" w:line="280"/>
      </w:pPr>
      <w:r>
        <w:rPr>
          <w:sz w:val="22"/>
          <w:szCs w:val="22"/>
        </w:rPr>
        <w:t xml:space="preserve">A web UI that is genuinely usable by a non-engineer data steward.</w:t>
      </w:r>
    </w:p>
    <w:p>
      <w:pPr>
        <w:spacing w:after="120" w:line="300"/>
        <w:jc w:val="both"/>
      </w:pPr>
      <w:r>
        <w:rPr>
          <w:sz w:val="22"/>
          <w:szCs w:val="22"/>
        </w:rPr>
        <w:t xml:space="preserve">Explicitly de-prioritized for the first 12 months: exhaustive connector coverage, multi-domain deployment depth, enterprise-grade hierarchy management, native analytics. These are Year-2 priorities.</w:t>
      </w:r>
    </w:p>
    <w:p>
      <w:pPr>
        <w:pStyle w:val="Heading2"/>
        <w:spacing w:after="120" w:before="240"/>
      </w:pPr>
      <w:r>
        <w:t xml:space="preserve">14.3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Plan</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Target</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Recommended Price</w:t>
            </w:r>
          </w:p>
        </w:tc>
        <w:tc>
          <w:tcPr>
            <w:tcW w:type="dxa" w:w="2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vs Syncari</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Open Source Core</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Developers, evaluators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Free</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N/A</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Cloud Starter</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SMB, single-domain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999 USD / month</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~67 percent cheaper</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Cloud Growth</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Mid-market</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2,499 USD / month</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~50 percent cheaper</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Enterprise</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Upper mid-market and F1000</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60k to 250k USD ACV</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~30 to 50 percent cheaper</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Vertical Add-on</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Healthcare / FS packs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+25 to 40 percent premium</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N/A (no direct comp)</w:t>
            </w:r>
          </w:p>
        </w:tc>
      </w:tr>
    </w:tbl>
    <w:p>
      <w:pPr>
        <w:spacing w:after="120"/>
      </w:pPr>
      <w:r>
        <w:t xml:space="preserve"/>
      </w:r>
    </w:p>
    <w:p>
      <w:pPr>
        <w:pStyle w:val="Heading2"/>
        <w:spacing w:after="120" w:before="240"/>
      </w:pPr>
      <w:r>
        <w:t xml:space="preserve">14.4 First-18-Months Milestone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400"/>
        <w:gridCol w:w="19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Months</w:t>
            </w:r>
          </w:p>
        </w:tc>
        <w:tc>
          <w:tcPr>
            <w:tcW w:type="dxa" w:w="3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Milestone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Capital Required (USD)</w:t>
            </w:r>
          </w:p>
        </w:tc>
        <w:tc>
          <w:tcPr>
            <w:tcW w:type="dxa" w:w="1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Headcount Target</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0 to 3</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Team of 6 to 8; architectural spike; alpha sync engine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1.5 to 2 million</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 to 8</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3 to 6</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Closed alpha with 3 to 5 design partners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 to 3 million</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10 to 14</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 to 9</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Public open-source release; paid cloud beta</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 to 4 million</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15 to 20</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9 to 12</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10 paying customers; first vertical pack</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4 to 6 million</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 to 30</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12 to 18</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25 paying customers; Series A close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 to 8 million</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30 to 45</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Total to 18 months</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MVP to early Series 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Approx. 15 to 20 million</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30 to 45</w:t>
            </w:r>
          </w:p>
        </w:tc>
      </w:tr>
    </w:tbl>
    <w:p>
      <w:pPr>
        <w:spacing w:after="120"/>
      </w:pPr>
      <w:r>
        <w:t xml:space="preserve"/>
      </w:r>
    </w:p>
    <w:p>
      <w:pPr>
        <w:pStyle w:val="Heading2"/>
        <w:spacing w:after="120" w:before="240"/>
      </w:pPr>
      <w:r>
        <w:t xml:space="preserve">14.5 First Ten Customers Playbook</w:t>
      </w:r>
    </w:p>
    <w:p>
      <w:pPr>
        <w:pStyle w:val="ListParagraph"/>
        <w:numPr>
          <w:ilvl w:val="0"/>
          <w:numId w:val="2"/>
        </w:numPr>
        <w:spacing w:after="80" w:line="280"/>
      </w:pPr>
      <w:r>
        <w:rPr>
          <w:sz w:val="22"/>
          <w:szCs w:val="22"/>
        </w:rPr>
        <w:t xml:space="preserve">Customer 1 to 3: Design partners — discounted pricing, co-development, named case studies. Target: existing personal and investor networks.</w:t>
      </w:r>
    </w:p>
    <w:p>
      <w:pPr>
        <w:pStyle w:val="ListParagraph"/>
        <w:numPr>
          <w:ilvl w:val="0"/>
          <w:numId w:val="2"/>
        </w:numPr>
        <w:spacing w:after="80" w:line="280"/>
      </w:pPr>
      <w:r>
        <w:rPr>
          <w:sz w:val="22"/>
          <w:szCs w:val="22"/>
        </w:rPr>
        <w:t xml:space="preserve">Customer 4 to 7: Vertical early adopters — paid at 60 to 75 percent of list; require reference-ability.</w:t>
      </w:r>
    </w:p>
    <w:p>
      <w:pPr>
        <w:pStyle w:val="ListParagraph"/>
        <w:numPr>
          <w:ilvl w:val="0"/>
          <w:numId w:val="2"/>
        </w:numPr>
        <w:spacing w:after="80" w:line="280"/>
      </w:pPr>
      <w:r>
        <w:rPr>
          <w:sz w:val="22"/>
          <w:szCs w:val="22"/>
        </w:rPr>
        <w:t xml:space="preserve">Customer 8 to 10: Inbound conversions from content and open-source funnel; close at 80 to 90 percent of list.</w:t>
      </w:r>
    </w:p>
    <w:p>
      <w:pPr>
        <w:spacing w:after="120" w:line="300"/>
        <w:jc w:val="both"/>
      </w:pPr>
      <w:r>
        <w:rPr>
          <w:sz w:val="22"/>
          <w:szCs w:val="22"/>
        </w:rPr>
        <w:t xml:space="preserve">Target economics: first ten customers produce approximately 1.2 to 1.8 million USD ARR with average ACV of 120k to 180k USD.</w:t>
      </w:r>
    </w:p>
    <w:p>
      <w:pPr>
        <w:pStyle w:val="Heading2"/>
        <w:spacing w:after="120" w:before="240"/>
      </w:pPr>
      <w:r>
        <w:t xml:space="preserve">14.6 First Ten Hires</w:t>
      </w:r>
    </w:p>
    <w:p>
      <w:pPr>
        <w:pStyle w:val="ListParagraph"/>
        <w:numPr>
          <w:ilvl w:val="0"/>
          <w:numId w:val="2"/>
        </w:numPr>
        <w:spacing w:after="80" w:line="280"/>
      </w:pPr>
      <w:r>
        <w:rPr>
          <w:sz w:val="22"/>
          <w:szCs w:val="22"/>
        </w:rPr>
        <w:t xml:space="preserve">Hire 1 to 2: Technical co-founder or founding CTO + founding engineer (distributed systems).</w:t>
      </w:r>
    </w:p>
    <w:p>
      <w:pPr>
        <w:pStyle w:val="ListParagraph"/>
        <w:numPr>
          <w:ilvl w:val="0"/>
          <w:numId w:val="2"/>
        </w:numPr>
        <w:spacing w:after="80" w:line="280"/>
      </w:pPr>
      <w:r>
        <w:rPr>
          <w:sz w:val="22"/>
          <w:szCs w:val="22"/>
        </w:rPr>
        <w:t xml:space="preserve">Hire 3 to 4: Senior engineers with Fivetran, Airbyte, Informatica, or Reltio background.</w:t>
      </w:r>
    </w:p>
    <w:p>
      <w:pPr>
        <w:pStyle w:val="ListParagraph"/>
        <w:numPr>
          <w:ilvl w:val="0"/>
          <w:numId w:val="2"/>
        </w:numPr>
        <w:spacing w:after="80" w:line="280"/>
      </w:pPr>
      <w:r>
        <w:rPr>
          <w:sz w:val="22"/>
          <w:szCs w:val="22"/>
        </w:rPr>
        <w:t xml:space="preserve">Hire 5: Founding designer/product manager.</w:t>
      </w:r>
    </w:p>
    <w:p>
      <w:pPr>
        <w:pStyle w:val="ListParagraph"/>
        <w:numPr>
          <w:ilvl w:val="0"/>
          <w:numId w:val="2"/>
        </w:numPr>
        <w:spacing w:after="80" w:line="280"/>
      </w:pPr>
      <w:r>
        <w:rPr>
          <w:sz w:val="22"/>
          <w:szCs w:val="22"/>
        </w:rPr>
        <w:t xml:space="preserve">Hire 6 to 7: Founding AE + Solutions Engineer.</w:t>
      </w:r>
    </w:p>
    <w:p>
      <w:pPr>
        <w:pStyle w:val="ListParagraph"/>
        <w:numPr>
          <w:ilvl w:val="0"/>
          <w:numId w:val="2"/>
        </w:numPr>
        <w:spacing w:after="80" w:line="280"/>
      </w:pPr>
      <w:r>
        <w:rPr>
          <w:sz w:val="22"/>
          <w:szCs w:val="22"/>
        </w:rPr>
        <w:t xml:space="preserve">Hire 8: Head of marketing (content and positioning, not demand-gen initially).</w:t>
      </w:r>
    </w:p>
    <w:p>
      <w:pPr>
        <w:pStyle w:val="ListParagraph"/>
        <w:numPr>
          <w:ilvl w:val="0"/>
          <w:numId w:val="2"/>
        </w:numPr>
        <w:spacing w:after="80" w:line="280"/>
      </w:pPr>
      <w:r>
        <w:rPr>
          <w:sz w:val="22"/>
          <w:szCs w:val="22"/>
        </w:rPr>
        <w:t xml:space="preserve">Hire 9: Developer relations / community.</w:t>
      </w:r>
    </w:p>
    <w:p>
      <w:pPr>
        <w:pStyle w:val="ListParagraph"/>
        <w:numPr>
          <w:ilvl w:val="0"/>
          <w:numId w:val="2"/>
        </w:numPr>
        <w:spacing w:after="80" w:line="280"/>
      </w:pPr>
      <w:r>
        <w:rPr>
          <w:sz w:val="22"/>
          <w:szCs w:val="22"/>
        </w:rPr>
        <w:t xml:space="preserve">Hire 10: Customer success lead.</w:t>
      </w:r>
    </w:p>
    <w:p>
      <w:pPr>
        <w:pStyle w:val="Heading2"/>
        <w:spacing w:after="120" w:before="240"/>
      </w:pPr>
      <w:r>
        <w:t xml:space="preserve">14.7 First Three Channel Partners</w:t>
      </w:r>
    </w:p>
    <w:p>
      <w:pPr>
        <w:pStyle w:val="ListParagraph"/>
        <w:numPr>
          <w:ilvl w:val="0"/>
          <w:numId w:val="2"/>
        </w:numPr>
        <w:spacing w:after="80" w:line="280"/>
      </w:pPr>
      <w:r>
        <w:rPr>
          <w:sz w:val="22"/>
          <w:szCs w:val="22"/>
        </w:rPr>
        <w:t xml:space="preserve">Partner 1: A vertical-specific SI firm in the target vertical (e.g., for healthcare, a consultancy like Nordic Consulting or Chartis).</w:t>
      </w:r>
    </w:p>
    <w:p>
      <w:pPr>
        <w:pStyle w:val="ListParagraph"/>
        <w:numPr>
          <w:ilvl w:val="0"/>
          <w:numId w:val="2"/>
        </w:numPr>
        <w:spacing w:after="80" w:line="280"/>
      </w:pPr>
      <w:r>
        <w:rPr>
          <w:sz w:val="22"/>
          <w:szCs w:val="22"/>
        </w:rPr>
        <w:t xml:space="preserve">Partner 2: A hyperscaler — begin with Snowflake Partner Network or Databricks Partner Network (not AWS or Google, which are too broad early).</w:t>
      </w:r>
    </w:p>
    <w:p>
      <w:pPr>
        <w:pStyle w:val="ListParagraph"/>
        <w:numPr>
          <w:ilvl w:val="0"/>
          <w:numId w:val="2"/>
        </w:numPr>
        <w:spacing w:after="80" w:line="280"/>
      </w:pPr>
      <w:r>
        <w:rPr>
          <w:sz w:val="22"/>
          <w:szCs w:val="22"/>
        </w:rPr>
        <w:t xml:space="preserve">Partner 3: A complementary software partner (for healthcare, a provider EHR integrator; for financial services, a core banking modernization partner).</w:t>
      </w:r>
    </w:p>
    <w:p>
      <w:pPr>
        <w:pStyle w:val="Heading2"/>
        <w:spacing w:after="120" w:before="240"/>
      </w:pPr>
      <w:r>
        <w:t xml:space="preserve">14.8 Exit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19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Scenario</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Timeline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Expected Revenue Multiple</w:t>
            </w:r>
          </w:p>
        </w:tc>
        <w:tc>
          <w:tcPr>
            <w:tcW w:type="dxa" w:w="1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0"/>
                <w:szCs w:val="20"/>
              </w:rPr>
              <w:t xml:space="preserve">Likely Acquirer</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Strategic acquisition (optimistic)</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36 to 48 months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15 to 25 times ARR</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Snowflake, Adobe, ServiceNow</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Strategic acquisition (base case)</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48 to 60 months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10 to 15 times ARR</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Reltio, Informatica/Salesforce, Microsoft</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Private equity roll-up</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60 to 84 months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 to 10 times ARR</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Thoma Bravo, Vista, Francisco Partners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IPO (stretch)</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72+ months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Market-dependent</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N/A</w:t>
            </w:r>
          </w:p>
        </w:tc>
      </w:tr>
    </w:tbl>
    <w:p>
      <w:pPr>
        <w:spacing w:after="120"/>
      </w:pPr>
      <w:r>
        <w:t xml:space="preserve"/>
      </w:r>
    </w:p>
    <w:p>
      <w:pPr>
        <w:pStyle w:val="Heading2"/>
        <w:spacing w:after="120" w:before="240"/>
      </w:pPr>
      <w:r>
        <w:t xml:space="preserve">14.9 Top Five Existential Risks and Mitigations</w:t>
      </w:r>
    </w:p>
    <w:p>
      <w:pPr>
        <w:pStyle w:val="ListParagraph"/>
        <w:numPr>
          <w:ilvl w:val="0"/>
          <w:numId w:val="2"/>
        </w:numPr>
        <w:spacing w:after="80" w:line="280"/>
      </w:pPr>
      <w:r>
        <w:rPr>
          <w:b/>
          <w:bCs/>
          <w:sz w:val="22"/>
          <w:szCs w:val="22"/>
        </w:rPr>
        <w:t xml:space="preserve">1. Hyperscaler commoditization. </w:t>
      </w:r>
      <w:r>
        <w:rPr>
          <w:sz w:val="22"/>
          <w:szCs w:val="22"/>
        </w:rPr>
        <w:t xml:space="preserve">Mitigation: deep partner integration with one hyperscaler; vertical specialization that hyperscaler will not replicate.</w:t>
      </w:r>
    </w:p>
    <w:p>
      <w:pPr>
        <w:pStyle w:val="ListParagraph"/>
        <w:numPr>
          <w:ilvl w:val="0"/>
          <w:numId w:val="2"/>
        </w:numPr>
        <w:spacing w:after="80" w:line="280"/>
      </w:pPr>
      <w:r>
        <w:rPr>
          <w:b/>
          <w:bCs/>
          <w:sz w:val="22"/>
          <w:szCs w:val="22"/>
        </w:rPr>
        <w:t xml:space="preserve">2. Syncari and Reltio response. </w:t>
      </w:r>
      <w:r>
        <w:rPr>
          <w:sz w:val="22"/>
          <w:szCs w:val="22"/>
        </w:rPr>
        <w:t xml:space="preserve">Mitigation: avoid direct head-on positioning; own a distinct category phrase (e.g., 'Clinical Data Fabric' for healthcare, 'Counterparty Master' for FS).</w:t>
      </w:r>
    </w:p>
    <w:p>
      <w:pPr>
        <w:pStyle w:val="ListParagraph"/>
        <w:numPr>
          <w:ilvl w:val="0"/>
          <w:numId w:val="2"/>
        </w:numPr>
        <w:spacing w:after="80" w:line="280"/>
      </w:pPr>
      <w:r>
        <w:rPr>
          <w:b/>
          <w:bCs/>
          <w:sz w:val="22"/>
          <w:szCs w:val="22"/>
        </w:rPr>
        <w:t xml:space="preserve">3. Analyst relations lag. </w:t>
      </w:r>
      <w:r>
        <w:rPr>
          <w:sz w:val="22"/>
          <w:szCs w:val="22"/>
        </w:rPr>
        <w:t xml:space="preserve">Mitigation: begin analyst engagement in month three; budget 200k to 400k USD annually from year two.</w:t>
      </w:r>
    </w:p>
    <w:p>
      <w:pPr>
        <w:pStyle w:val="ListParagraph"/>
        <w:numPr>
          <w:ilvl w:val="0"/>
          <w:numId w:val="2"/>
        </w:numPr>
        <w:spacing w:after="80" w:line="280"/>
      </w:pPr>
      <w:r>
        <w:rPr>
          <w:b/>
          <w:bCs/>
          <w:sz w:val="22"/>
          <w:szCs w:val="22"/>
        </w:rPr>
        <w:t xml:space="preserve">4. Capital constraints. </w:t>
      </w:r>
      <w:r>
        <w:rPr>
          <w:sz w:val="22"/>
          <w:szCs w:val="22"/>
        </w:rPr>
        <w:t xml:space="preserve">Mitigation: target 18 to 24 months runway at each stage; preserve optionality for strategic partners and financial investors.</w:t>
      </w:r>
    </w:p>
    <w:p>
      <w:pPr>
        <w:pStyle w:val="ListParagraph"/>
        <w:numPr>
          <w:ilvl w:val="0"/>
          <w:numId w:val="2"/>
        </w:numPr>
        <w:spacing w:after="80" w:line="280"/>
      </w:pPr>
      <w:r>
        <w:rPr>
          <w:b/>
          <w:bCs/>
          <w:sz w:val="22"/>
          <w:szCs w:val="22"/>
        </w:rPr>
        <w:t xml:space="preserve">5. Talent risk. </w:t>
      </w:r>
      <w:r>
        <w:rPr>
          <w:sz w:val="22"/>
          <w:szCs w:val="22"/>
        </w:rPr>
        <w:t xml:space="preserve">Mitigation: hire two to three senior infrastructure engineers with prior MDM or Fivetran-class experience in the first five hires; offer above-market equity.</w:t>
      </w:r>
    </w:p>
    <w:p>
      <w:pPr>
        <w:pStyle w:val="Heading1"/>
        <w:pageBreakBefore/>
        <w:spacing w:after="200" w:before="200"/>
      </w:pPr>
      <w:r>
        <w:t xml:space="preserve">Appendix A: Sources &amp; Methodology</w:t>
      </w:r>
    </w:p>
    <w:p>
      <w:pPr>
        <w:pStyle w:val="Heading2"/>
        <w:spacing w:after="120" w:before="240"/>
      </w:pPr>
      <w:r>
        <w:t xml:space="preserve">Primary Publicly Available Sources</w:t>
      </w:r>
    </w:p>
    <w:p>
      <w:pPr>
        <w:pStyle w:val="ListParagraph"/>
        <w:numPr>
          <w:ilvl w:val="0"/>
          <w:numId w:val="2"/>
        </w:numPr>
        <w:spacing w:after="80" w:line="280"/>
      </w:pPr>
      <w:r>
        <w:rPr>
          <w:sz w:val="22"/>
          <w:szCs w:val="22"/>
        </w:rPr>
        <w:t xml:space="preserve">Syncari company website (syncari.com), including product, pricing, customers, press, and blog pages.</w:t>
      </w:r>
    </w:p>
    <w:p>
      <w:pPr>
        <w:pStyle w:val="ListParagraph"/>
        <w:numPr>
          <w:ilvl w:val="0"/>
          <w:numId w:val="2"/>
        </w:numPr>
        <w:spacing w:after="80" w:line="280"/>
      </w:pPr>
      <w:r>
        <w:rPr>
          <w:sz w:val="22"/>
          <w:szCs w:val="22"/>
        </w:rPr>
        <w:t xml:space="preserve">Syncari press releases (Series B, Gartner MQ Visionary, Business Studio launch, Data Breakthrough Award).</w:t>
      </w:r>
    </w:p>
    <w:p>
      <w:pPr>
        <w:pStyle w:val="ListParagraph"/>
        <w:numPr>
          <w:ilvl w:val="0"/>
          <w:numId w:val="2"/>
        </w:numPr>
        <w:spacing w:after="80" w:line="280"/>
      </w:pPr>
      <w:r>
        <w:rPr>
          <w:sz w:val="22"/>
          <w:szCs w:val="22"/>
        </w:rPr>
        <w:t xml:space="preserve">Crunchbase, Pitchbook, Tracxn, CBInsights, and Growjo company profiles.</w:t>
      </w:r>
    </w:p>
    <w:p>
      <w:pPr>
        <w:pStyle w:val="ListParagraph"/>
        <w:numPr>
          <w:ilvl w:val="0"/>
          <w:numId w:val="2"/>
        </w:numPr>
        <w:spacing w:after="80" w:line="280"/>
      </w:pPr>
      <w:r>
        <w:rPr>
          <w:sz w:val="22"/>
          <w:szCs w:val="22"/>
        </w:rPr>
        <w:t xml:space="preserve">G2, TrustRadius, and Gartner Peer Insights customer reviews.</w:t>
      </w:r>
    </w:p>
    <w:p>
      <w:pPr>
        <w:pStyle w:val="ListParagraph"/>
        <w:numPr>
          <w:ilvl w:val="0"/>
          <w:numId w:val="2"/>
        </w:numPr>
        <w:spacing w:after="80" w:line="280"/>
      </w:pPr>
      <w:r>
        <w:rPr>
          <w:sz w:val="22"/>
          <w:szCs w:val="22"/>
        </w:rPr>
        <w:t xml:space="preserve">Vendr marketplace pricing and negotiation insights.</w:t>
      </w:r>
    </w:p>
    <w:p>
      <w:pPr>
        <w:pStyle w:val="ListParagraph"/>
        <w:numPr>
          <w:ilvl w:val="0"/>
          <w:numId w:val="2"/>
        </w:numPr>
        <w:spacing w:after="80" w:line="280"/>
      </w:pPr>
      <w:r>
        <w:rPr>
          <w:sz w:val="22"/>
          <w:szCs w:val="22"/>
        </w:rPr>
        <w:t xml:space="preserve">Latka and Growjo revenue and employee data.</w:t>
      </w:r>
    </w:p>
    <w:p>
      <w:pPr>
        <w:pStyle w:val="ListParagraph"/>
        <w:numPr>
          <w:ilvl w:val="0"/>
          <w:numId w:val="2"/>
        </w:numPr>
        <w:spacing w:after="80" w:line="280"/>
      </w:pPr>
      <w:r>
        <w:rPr>
          <w:sz w:val="22"/>
          <w:szCs w:val="22"/>
        </w:rPr>
        <w:t xml:space="preserve">Gartner 2026 Magic Quadrant for Master Data Management (April 2026), accessed via complimentary vendor copies.</w:t>
      </w:r>
    </w:p>
    <w:p>
      <w:pPr>
        <w:pStyle w:val="ListParagraph"/>
        <w:numPr>
          <w:ilvl w:val="0"/>
          <w:numId w:val="2"/>
        </w:numPr>
        <w:spacing w:after="80" w:line="280"/>
      </w:pPr>
      <w:r>
        <w:rPr>
          <w:sz w:val="22"/>
          <w:szCs w:val="22"/>
        </w:rPr>
        <w:t xml:space="preserve">Industry market-sizing reports from Mordor Intelligence, Grand View Research, SNS Insider, Kings Research, and Expert Market Research.</w:t>
      </w:r>
    </w:p>
    <w:p>
      <w:pPr>
        <w:pStyle w:val="ListParagraph"/>
        <w:numPr>
          <w:ilvl w:val="0"/>
          <w:numId w:val="2"/>
        </w:numPr>
        <w:spacing w:after="80" w:line="280"/>
      </w:pPr>
      <w:r>
        <w:rPr>
          <w:sz w:val="22"/>
          <w:szCs w:val="22"/>
        </w:rPr>
        <w:t xml:space="preserve">LinkedIn public profiles of Syncari employees and executives.</w:t>
      </w:r>
    </w:p>
    <w:p>
      <w:pPr>
        <w:pStyle w:val="ListParagraph"/>
        <w:numPr>
          <w:ilvl w:val="0"/>
          <w:numId w:val="2"/>
        </w:numPr>
        <w:spacing w:after="80" w:line="280"/>
      </w:pPr>
      <w:r>
        <w:rPr>
          <w:sz w:val="22"/>
          <w:szCs w:val="22"/>
        </w:rPr>
        <w:t xml:space="preserve">The Org and Crunchbase profiles of founders Nick Bonfiglio and Neelesh Shastry.</w:t>
      </w:r>
    </w:p>
    <w:p>
      <w:pPr>
        <w:pStyle w:val="ListParagraph"/>
        <w:numPr>
          <w:ilvl w:val="0"/>
          <w:numId w:val="2"/>
        </w:numPr>
        <w:spacing w:after="80" w:line="280"/>
      </w:pPr>
      <w:r>
        <w:rPr>
          <w:sz w:val="22"/>
          <w:szCs w:val="22"/>
        </w:rPr>
        <w:t xml:space="preserve">Media coverage in MarTech Series, Silicon Review, SaaS News, DBTA, and others.</w:t>
      </w:r>
    </w:p>
    <w:p>
      <w:pPr>
        <w:pStyle w:val="Heading2"/>
        <w:spacing w:after="120" w:before="240"/>
      </w:pPr>
      <w:r>
        <w:t xml:space="preserve">Analytical Methodology</w:t>
      </w:r>
    </w:p>
    <w:p>
      <w:pPr>
        <w:pStyle w:val="ListParagraph"/>
        <w:numPr>
          <w:ilvl w:val="0"/>
          <w:numId w:val="2"/>
        </w:numPr>
        <w:spacing w:after="80" w:line="280"/>
      </w:pPr>
      <w:r>
        <w:rPr>
          <w:sz w:val="22"/>
          <w:szCs w:val="22"/>
        </w:rPr>
        <w:t xml:space="preserve">Revenue triangulation: combined Latka 2024 base figure with employee count growth, Series B timing, and comparable SaaS ARR-per-employee benchmarks.</w:t>
      </w:r>
    </w:p>
    <w:p>
      <w:pPr>
        <w:pStyle w:val="ListParagraph"/>
        <w:numPr>
          <w:ilvl w:val="0"/>
          <w:numId w:val="2"/>
        </w:numPr>
        <w:spacing w:after="80" w:line="280"/>
      </w:pPr>
      <w:r>
        <w:rPr>
          <w:sz w:val="22"/>
          <w:szCs w:val="22"/>
        </w:rPr>
        <w:t xml:space="preserve">Unit economics: applied Series B SaaS benchmark ranges adjusted for company-specific signals from Vendr and G2.</w:t>
      </w:r>
    </w:p>
    <w:p>
      <w:pPr>
        <w:pStyle w:val="ListParagraph"/>
        <w:numPr>
          <w:ilvl w:val="0"/>
          <w:numId w:val="2"/>
        </w:numPr>
        <w:spacing w:after="80" w:line="280"/>
      </w:pPr>
      <w:r>
        <w:rPr>
          <w:sz w:val="22"/>
          <w:szCs w:val="22"/>
        </w:rPr>
        <w:t xml:space="preserve">Pricing: combined published tiers from TrustRadius, G2, and the Syncari pricing page with marketplace discount data from Vendr.</w:t>
      </w:r>
    </w:p>
    <w:p>
      <w:pPr>
        <w:pStyle w:val="ListParagraph"/>
        <w:numPr>
          <w:ilvl w:val="0"/>
          <w:numId w:val="2"/>
        </w:numPr>
        <w:spacing w:after="80" w:line="280"/>
      </w:pPr>
      <w:r>
        <w:rPr>
          <w:sz w:val="22"/>
          <w:szCs w:val="22"/>
        </w:rPr>
        <w:t xml:space="preserve">Architecture: inferred from engineering job listings, product documentation, Synapse integration patterns, and publicly visible customer integration patterns.</w:t>
      </w:r>
    </w:p>
    <w:p>
      <w:pPr>
        <w:pStyle w:val="ListParagraph"/>
        <w:numPr>
          <w:ilvl w:val="0"/>
          <w:numId w:val="2"/>
        </w:numPr>
        <w:spacing w:after="80" w:line="280"/>
      </w:pPr>
      <w:r>
        <w:rPr>
          <w:sz w:val="22"/>
          <w:szCs w:val="22"/>
        </w:rPr>
        <w:t xml:space="preserve">Competitive positioning: cross-referenced against the Gartner 2026 MQ, customer reviews, and public case studies.</w:t>
      </w:r>
    </w:p>
    <w:p>
      <w:pPr>
        <w:pStyle w:val="Heading2"/>
        <w:spacing w:after="120" w:before="240"/>
      </w:pPr>
      <w:r>
        <w:t xml:space="preserve">Ethical Guardrails Applied</w:t>
      </w:r>
    </w:p>
    <w:p>
      <w:pPr>
        <w:pStyle w:val="ListParagraph"/>
        <w:numPr>
          <w:ilvl w:val="0"/>
          <w:numId w:val="2"/>
        </w:numPr>
        <w:spacing w:after="80" w:line="280"/>
      </w:pPr>
      <w:r>
        <w:rPr>
          <w:sz w:val="22"/>
          <w:szCs w:val="22"/>
        </w:rPr>
        <w:t xml:space="preserve">Only public sources were used. No attempt was made to solicit non-public information from current Syncari employees or customers.</w:t>
      </w:r>
    </w:p>
    <w:p>
      <w:pPr>
        <w:pStyle w:val="ListParagraph"/>
        <w:numPr>
          <w:ilvl w:val="0"/>
          <w:numId w:val="2"/>
        </w:numPr>
        <w:spacing w:after="80" w:line="280"/>
      </w:pPr>
      <w:r>
        <w:rPr>
          <w:sz w:val="22"/>
          <w:szCs w:val="22"/>
        </w:rPr>
        <w:t xml:space="preserve">No reproduction of copyrighted materials; all findings are original analysis and synthesis.</w:t>
      </w:r>
    </w:p>
    <w:p>
      <w:pPr>
        <w:pStyle w:val="ListParagraph"/>
        <w:numPr>
          <w:ilvl w:val="0"/>
          <w:numId w:val="2"/>
        </w:numPr>
        <w:spacing w:after="80" w:line="280"/>
      </w:pPr>
      <w:r>
        <w:rPr>
          <w:sz w:val="22"/>
          <w:szCs w:val="22"/>
        </w:rPr>
        <w:t xml:space="preserve">All inferences are clearly identified as such.</w:t>
      </w:r>
    </w:p>
    <w:p>
      <w:pPr>
        <w:pStyle w:val="Heading1"/>
        <w:pageBreakBefore/>
        <w:spacing w:after="200" w:before="200"/>
      </w:pPr>
      <w:r>
        <w:t xml:space="preserve">Appendix B: Research Gaps &amp; Open Questions</w:t>
      </w:r>
    </w:p>
    <w:p>
      <w:pPr>
        <w:spacing w:after="120" w:line="300"/>
        <w:jc w:val="both"/>
      </w:pPr>
      <w:r>
        <w:rPr>
          <w:sz w:val="22"/>
          <w:szCs w:val="22"/>
        </w:rPr>
        <w:t xml:space="preserve">The following questions remain unresolved and should be prioritized in a follow-on research phase or via licensed expert network calls (GLG, Third Bridge, AlphaSights) with former Syncari employees and customers under appropriate non-disclosure terms.</w:t>
      </w:r>
    </w:p>
    <w:p>
      <w:pPr>
        <w:pStyle w:val="Heading2"/>
        <w:spacing w:after="120" w:before="240"/>
      </w:pPr>
      <w:r>
        <w:t xml:space="preserve">B.1 Commercial and Financial Gaps</w:t>
      </w:r>
    </w:p>
    <w:p>
      <w:pPr>
        <w:pStyle w:val="ListParagraph"/>
        <w:numPr>
          <w:ilvl w:val="0"/>
          <w:numId w:val="2"/>
        </w:numPr>
        <w:spacing w:after="80" w:line="280"/>
      </w:pPr>
      <w:r>
        <w:rPr>
          <w:sz w:val="22"/>
          <w:szCs w:val="22"/>
        </w:rPr>
        <w:t xml:space="preserve">Confirmed ARR, YoY growth rate, and gross retention for 2025 and 2026.</w:t>
      </w:r>
    </w:p>
    <w:p>
      <w:pPr>
        <w:pStyle w:val="ListParagraph"/>
        <w:numPr>
          <w:ilvl w:val="0"/>
          <w:numId w:val="2"/>
        </w:numPr>
        <w:spacing w:after="80" w:line="280"/>
      </w:pPr>
      <w:r>
        <w:rPr>
          <w:sz w:val="22"/>
          <w:szCs w:val="22"/>
        </w:rPr>
        <w:t xml:space="preserve">Actual Series B amount, valuation, and participating investors beyond the lead.</w:t>
      </w:r>
    </w:p>
    <w:p>
      <w:pPr>
        <w:pStyle w:val="ListParagraph"/>
        <w:numPr>
          <w:ilvl w:val="0"/>
          <w:numId w:val="2"/>
        </w:numPr>
        <w:spacing w:after="80" w:line="280"/>
      </w:pPr>
      <w:r>
        <w:rPr>
          <w:sz w:val="22"/>
          <w:szCs w:val="22"/>
        </w:rPr>
        <w:t xml:space="preserve">Top five customers by ARR and concentration risk.</w:t>
      </w:r>
    </w:p>
    <w:p>
      <w:pPr>
        <w:pStyle w:val="ListParagraph"/>
        <w:numPr>
          <w:ilvl w:val="0"/>
          <w:numId w:val="2"/>
        </w:numPr>
        <w:spacing w:after="80" w:line="280"/>
      </w:pPr>
      <w:r>
        <w:rPr>
          <w:sz w:val="22"/>
          <w:szCs w:val="22"/>
        </w:rPr>
        <w:t xml:space="preserve">Average enterprise ACV and CAC payback by segment.</w:t>
      </w:r>
    </w:p>
    <w:p>
      <w:pPr>
        <w:pStyle w:val="Heading2"/>
        <w:spacing w:after="120" w:before="240"/>
      </w:pPr>
      <w:r>
        <w:t xml:space="preserve">B.2 Product Gaps</w:t>
      </w:r>
    </w:p>
    <w:p>
      <w:pPr>
        <w:pStyle w:val="ListParagraph"/>
        <w:numPr>
          <w:ilvl w:val="0"/>
          <w:numId w:val="2"/>
        </w:numPr>
        <w:spacing w:after="80" w:line="280"/>
      </w:pPr>
      <w:r>
        <w:rPr>
          <w:sz w:val="22"/>
          <w:szCs w:val="22"/>
        </w:rPr>
        <w:t xml:space="preserve">Actual connector count and roadmap.</w:t>
      </w:r>
    </w:p>
    <w:p>
      <w:pPr>
        <w:pStyle w:val="ListParagraph"/>
        <w:numPr>
          <w:ilvl w:val="0"/>
          <w:numId w:val="2"/>
        </w:numPr>
        <w:spacing w:after="80" w:line="280"/>
      </w:pPr>
      <w:r>
        <w:rPr>
          <w:sz w:val="22"/>
          <w:szCs w:val="22"/>
        </w:rPr>
        <w:t xml:space="preserve">Performance benchmarks versus Reltio and Informatica at scale.</w:t>
      </w:r>
    </w:p>
    <w:p>
      <w:pPr>
        <w:pStyle w:val="ListParagraph"/>
        <w:numPr>
          <w:ilvl w:val="0"/>
          <w:numId w:val="2"/>
        </w:numPr>
        <w:spacing w:after="80" w:line="280"/>
      </w:pPr>
      <w:r>
        <w:rPr>
          <w:sz w:val="22"/>
          <w:szCs w:val="22"/>
        </w:rPr>
        <w:t xml:space="preserve">MCP server adoption metrics and customer usage patterns.</w:t>
      </w:r>
    </w:p>
    <w:p>
      <w:pPr>
        <w:pStyle w:val="ListParagraph"/>
        <w:numPr>
          <w:ilvl w:val="0"/>
          <w:numId w:val="2"/>
        </w:numPr>
        <w:spacing w:after="80" w:line="280"/>
      </w:pPr>
      <w:r>
        <w:rPr>
          <w:sz w:val="22"/>
          <w:szCs w:val="22"/>
        </w:rPr>
        <w:t xml:space="preserve">Real implementation time distribution versus marketing claims.</w:t>
      </w:r>
    </w:p>
    <w:p>
      <w:pPr>
        <w:pStyle w:val="Heading2"/>
        <w:spacing w:after="120" w:before="240"/>
      </w:pPr>
      <w:r>
        <w:t xml:space="preserve">B.3 Organizational Gaps</w:t>
      </w:r>
    </w:p>
    <w:p>
      <w:pPr>
        <w:pStyle w:val="ListParagraph"/>
        <w:numPr>
          <w:ilvl w:val="0"/>
          <w:numId w:val="2"/>
        </w:numPr>
        <w:spacing w:after="80" w:line="280"/>
      </w:pPr>
      <w:r>
        <w:rPr>
          <w:sz w:val="22"/>
          <w:szCs w:val="22"/>
        </w:rPr>
        <w:t xml:space="preserve">Confirmed executive hires in sales, marketing, and customer success leadership.</w:t>
      </w:r>
    </w:p>
    <w:p>
      <w:pPr>
        <w:pStyle w:val="ListParagraph"/>
        <w:numPr>
          <w:ilvl w:val="0"/>
          <w:numId w:val="2"/>
        </w:numPr>
        <w:spacing w:after="80" w:line="280"/>
      </w:pPr>
      <w:r>
        <w:rPr>
          <w:sz w:val="22"/>
          <w:szCs w:val="22"/>
        </w:rPr>
        <w:t xml:space="preserve">Attrition rate and key engineering team retention.</w:t>
      </w:r>
    </w:p>
    <w:p>
      <w:pPr>
        <w:pStyle w:val="ListParagraph"/>
        <w:numPr>
          <w:ilvl w:val="0"/>
          <w:numId w:val="2"/>
        </w:numPr>
        <w:spacing w:after="80" w:line="280"/>
      </w:pPr>
      <w:r>
        <w:rPr>
          <w:sz w:val="22"/>
          <w:szCs w:val="22"/>
        </w:rPr>
        <w:t xml:space="preserve">Board composition and governance details.</w:t>
      </w:r>
    </w:p>
    <w:p>
      <w:pPr>
        <w:pStyle w:val="Heading2"/>
        <w:spacing w:after="120" w:before="240"/>
      </w:pPr>
      <w:r>
        <w:t xml:space="preserve">B.4 Market Intelligence Gaps</w:t>
      </w:r>
    </w:p>
    <w:p>
      <w:pPr>
        <w:pStyle w:val="ListParagraph"/>
        <w:numPr>
          <w:ilvl w:val="0"/>
          <w:numId w:val="2"/>
        </w:numPr>
        <w:spacing w:after="80" w:line="280"/>
      </w:pPr>
      <w:r>
        <w:rPr>
          <w:sz w:val="22"/>
          <w:szCs w:val="22"/>
        </w:rPr>
        <w:t xml:space="preserve">Win and loss rates against specific competitors in 2026 deals.</w:t>
      </w:r>
    </w:p>
    <w:p>
      <w:pPr>
        <w:pStyle w:val="ListParagraph"/>
        <w:numPr>
          <w:ilvl w:val="0"/>
          <w:numId w:val="2"/>
        </w:numPr>
        <w:spacing w:after="80" w:line="280"/>
      </w:pPr>
      <w:r>
        <w:rPr>
          <w:sz w:val="22"/>
          <w:szCs w:val="22"/>
        </w:rPr>
        <w:t xml:space="preserve">Specific churn reasons from lost customers.</w:t>
      </w:r>
    </w:p>
    <w:p>
      <w:pPr>
        <w:pStyle w:val="ListParagraph"/>
        <w:numPr>
          <w:ilvl w:val="0"/>
          <w:numId w:val="2"/>
        </w:numPr>
        <w:spacing w:after="80" w:line="280"/>
      </w:pPr>
      <w:r>
        <w:rPr>
          <w:sz w:val="22"/>
          <w:szCs w:val="22"/>
        </w:rPr>
        <w:t xml:space="preserve">Syncari's internal roadmap priorities for the next 18 months.</w:t>
      </w:r>
    </w:p>
    <w:p>
      <w:pPr>
        <w:pStyle w:val="ListParagraph"/>
        <w:numPr>
          <w:ilvl w:val="0"/>
          <w:numId w:val="2"/>
        </w:numPr>
        <w:spacing w:after="80" w:line="280"/>
      </w:pPr>
      <w:r>
        <w:rPr>
          <w:sz w:val="22"/>
          <w:szCs w:val="22"/>
        </w:rPr>
        <w:t xml:space="preserve">Any known M&amp;A discussions or exit signals.</w:t>
      </w:r>
    </w:p>
    <w:p>
      <w:pPr>
        <w:pStyle w:val="Heading2"/>
        <w:spacing w:after="120" w:before="240"/>
      </w:pPr>
      <w:r>
        <w:t xml:space="preserve">B.5 Recommended Next Steps</w:t>
      </w:r>
    </w:p>
    <w:p>
      <w:pPr>
        <w:pStyle w:val="ListParagraph"/>
        <w:numPr>
          <w:ilvl w:val="0"/>
          <w:numId w:val="2"/>
        </w:numPr>
        <w:spacing w:after="80" w:line="280"/>
      </w:pPr>
      <w:r>
        <w:rPr>
          <w:sz w:val="22"/>
          <w:szCs w:val="22"/>
        </w:rPr>
        <w:t xml:space="preserve">Commission three to five expert network calls with former Syncari AEs and CSMs (at 800 to 1,500 USD per call).</w:t>
      </w:r>
    </w:p>
    <w:p>
      <w:pPr>
        <w:pStyle w:val="ListParagraph"/>
        <w:numPr>
          <w:ilvl w:val="0"/>
          <w:numId w:val="2"/>
        </w:numPr>
        <w:spacing w:after="80" w:line="280"/>
      </w:pPr>
      <w:r>
        <w:rPr>
          <w:sz w:val="22"/>
          <w:szCs w:val="22"/>
        </w:rPr>
        <w:t xml:space="preserve">Purchase the full Gartner 2026 MQ report for detailed vendor commentary (approximately 2,995 USD).</w:t>
      </w:r>
    </w:p>
    <w:p>
      <w:pPr>
        <w:pStyle w:val="ListParagraph"/>
        <w:numPr>
          <w:ilvl w:val="0"/>
          <w:numId w:val="2"/>
        </w:numPr>
        <w:spacing w:after="80" w:line="280"/>
      </w:pPr>
      <w:r>
        <w:rPr>
          <w:sz w:val="22"/>
          <w:szCs w:val="22"/>
        </w:rPr>
        <w:t xml:space="preserve">Commission a small win-loss interview program with five to ten prospects who evaluated Syncari in the last 12 months.</w:t>
      </w:r>
    </w:p>
    <w:p>
      <w:pPr>
        <w:pStyle w:val="ListParagraph"/>
        <w:numPr>
          <w:ilvl w:val="0"/>
          <w:numId w:val="2"/>
        </w:numPr>
        <w:spacing w:after="80" w:line="280"/>
      </w:pPr>
      <w:r>
        <w:rPr>
          <w:sz w:val="22"/>
          <w:szCs w:val="22"/>
        </w:rPr>
        <w:t xml:space="preserve">Engage a specialist MDM analyst at Forrester or IDC for a one-hour inquiry call (covered under Forrester or IDC subscription).</w:t>
      </w:r>
    </w:p>
    <w:p>
      <w:pPr>
        <w:pStyle w:val="ListParagraph"/>
        <w:numPr>
          <w:ilvl w:val="0"/>
          <w:numId w:val="2"/>
        </w:numPr>
        <w:spacing w:after="80" w:line="280"/>
      </w:pPr>
      <w:r>
        <w:rPr>
          <w:sz w:val="22"/>
          <w:szCs w:val="22"/>
        </w:rPr>
        <w:t xml:space="preserve">Subscribe to Pitchbook for full funding round and cap table detail.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CONFIDENTIAL — Syncari Competitive Intelligence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2026-04-19T07:05:57.955Z</dcterms:created>
  <dcterms:modified xsi:type="dcterms:W3CDTF">2026-04-19T07:05:57.956Z</dcterms:modified>
</cp:coreProperties>
</file>

<file path=docProps/custom.xml><?xml version="1.0" encoding="utf-8"?>
<Properties xmlns="http://schemas.openxmlformats.org/officeDocument/2006/custom-properties" xmlns:vt="http://schemas.openxmlformats.org/officeDocument/2006/docPropsVTypes"/>
</file>