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E8E3E"/>
          <w:spacing w:val="30"/>
          <w:sz w:val="16"/>
          <w:szCs w:val="16"/>
        </w:rPr>
        <w:t xml:space="preserve">ROLE: GOLDEN GOOSE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01418"/>
          <w:sz w:val="52"/>
          <w:szCs w:val="52"/>
        </w:rPr>
        <w:t xml:space="preserve">Semantic Memory for Kivi</w:t>
      </w:r>
    </w:p>
    <w:p>
      <w:pPr>
        <w:spacing w:after="30"/>
      </w:pPr>
      <w:r>
        <w:rPr>
          <w:rFonts w:ascii="Calibri" w:cs="Calibri" w:eastAsia="Calibri" w:hAnsi="Calibri"/>
          <w:color w:val="5A6169"/>
          <w:sz w:val="26"/>
          <w:szCs w:val="26"/>
        </w:rPr>
        <w:t xml:space="preserve">Part One — Product Position and Vision</w:t>
      </w:r>
    </w:p>
    <w:p>
      <w:pPr>
        <w:pBdr>
          <w:bottom w:val="single" w:color="101418" w:sz="10" w:space="6"/>
        </w:pBdr>
        <w:spacing w:after="300" w:before="60"/>
      </w:pPr>
      <w:r>
        <w:t xml:space="preserve"/>
      </w:r>
    </w:p>
    <w:p>
      <w:pPr>
        <w:pStyle w:val="Heading1"/>
        <w:spacing w:after="220" w:before="240"/>
      </w:pPr>
      <w:r>
        <w:rPr>
          <w:rFonts w:ascii="Calibri" w:cs="Calibri" w:eastAsia="Calibri" w:hAnsi="Calibri"/>
          <w:b/>
          <w:bCs/>
          <w:color w:val="101418"/>
          <w:sz w:val="32"/>
          <w:szCs w:val="32"/>
        </w:rPr>
        <w:t xml:space="preserve">Product Positioning Statement</w:t>
      </w:r>
    </w:p>
    <w:p>
      <w:pPr>
        <w:pBdr>
          <w:left w:val="single" w:color="1E8E3E" w:sz="18" w:space="12"/>
        </w:pBdr>
        <w:shd w:fill="F2F7F3" w:val="clear"/>
        <w:spacing w:after="60" w:before="60" w:line="320"/>
        <w:ind w:left="431" w:right="288"/>
      </w:pPr>
      <w:r>
        <w:rPr>
          <w:rFonts w:ascii="Georgia" w:cs="Georgia" w:eastAsia="Georgia" w:hAnsi="Georgia"/>
          <w:color w:val="101418"/>
          <w:sz w:val="22"/>
          <w:szCs w:val="22"/>
        </w:rPr>
        <w:t xml:space="preserve">Semantic memory should let Hey Kivi understand the arc of a person’s work without asking permission at every turn. It infers silently, but stays fully answerable — a person can always ask what Kivi remembers, and correct it. Memory is weighted, not siloed: everything is visible everywhere, but priority follows what a person actually does most. What deserves retention is a fact, preference, or active project — not a one-off query. Kivi never overwrites a remembered fact without confirming the contradiction first. Trust comes from being legible after the fact, not from asking before it.</w:t>
      </w:r>
    </w:p>
    <w:p>
      <w:pPr>
        <w:spacing w:after="200" w:before="140"/>
      </w:pPr>
      <w:r>
        <w:rPr>
          <w:rFonts w:ascii="Calibri" w:cs="Calibri" w:eastAsia="Calibri" w:hAnsi="Calibri"/>
          <w:i/>
          <w:iCs/>
          <w:color w:val="5A6169"/>
          <w:sz w:val="17"/>
          <w:szCs w:val="17"/>
        </w:rPr>
        <w:t xml:space="preserve">95 words</w:t>
      </w:r>
    </w:p>
    <w:p>
      <w:r>
        <w:br w:type="page"/>
      </w:r>
    </w:p>
    <w:p>
      <w:pPr>
        <w:pStyle w:val="Heading1"/>
        <w:spacing w:after="220" w:before="240"/>
      </w:pPr>
      <w:r>
        <w:rPr>
          <w:rFonts w:ascii="Calibri" w:cs="Calibri" w:eastAsia="Calibri" w:hAnsi="Calibri"/>
          <w:b/>
          <w:bCs/>
          <w:color w:val="101418"/>
          <w:sz w:val="32"/>
          <w:szCs w:val="32"/>
        </w:rPr>
        <w:t xml:space="preserve">Product Vision</w:t>
      </w:r>
    </w:p>
    <w:p>
      <w:pPr>
        <w:pBdr>
          <w:bottom w:val="single" w:color="1E8E3E" w:sz="6" w:space="6"/>
        </w:pBdr>
        <w:spacing w:after="300" w:before="60"/>
      </w:pPr>
      <w:r>
        <w:t xml:space="preserve"/>
      </w:r>
    </w:p>
    <w:p>
      <w:pPr>
        <w:pStyle w:val="Heading2"/>
        <w:spacing w:after="140" w:before="340"/>
      </w:pPr>
      <w:r>
        <w:rPr>
          <w:rFonts w:ascii="Calibri" w:cs="Calibri" w:eastAsia="Calibri" w:hAnsi="Calibri"/>
          <w:b/>
          <w:bCs/>
          <w:color w:val="1E8E3E"/>
          <w:sz w:val="24"/>
          <w:szCs w:val="24"/>
        </w:rPr>
        <w:t xml:space="preserve">What semantic memory should let Kivi become</w:t>
      </w:r>
    </w:p>
    <w:p>
      <w:pPr>
        <w:spacing w:after="200" w:line="300"/>
        <w:jc w:val="both"/>
      </w:pPr>
      <w:r>
        <w:rPr>
          <w:rFonts w:ascii="Georgia" w:cs="Georgia" w:eastAsia="Georgia" w:hAnsi="Georgia"/>
          <w:color w:val="101418"/>
          <w:sz w:val="21"/>
          <w:szCs w:val="21"/>
        </w:rPr>
        <w:t xml:space="preserve">Styles and phonetic memory already make dictation sound like the person using it. Semantic memory makes a different claim — that Kivi should understand what a person is working on, not only what they said.</w:t>
      </w:r>
    </w:p>
    <w:p>
      <w:pPr>
        <w:spacing w:after="200" w:line="300"/>
        <w:jc w:val="both"/>
      </w:pPr>
      <w:r>
        <w:rPr>
          <w:rFonts w:ascii="Georgia" w:cs="Georgia" w:eastAsia="Georgia" w:hAnsi="Georgia"/>
          <w:color w:val="101418"/>
          <w:sz w:val="21"/>
          <w:szCs w:val="21"/>
        </w:rPr>
        <w:t xml:space="preserve">The unit of value is not the transcript. It is continuity. Someone who has spoken to Kivi for three months should not re-explain who Priya is, which deadline belongs to which project, or how they want a Slack message to sound. Semantic memory is what turns a dictation tool into something that has been paying attention.</w:t>
      </w:r>
    </w:p>
    <w:p>
      <w:pPr>
        <w:pStyle w:val="Heading2"/>
        <w:spacing w:after="140" w:before="340"/>
      </w:pPr>
      <w:r>
        <w:rPr>
          <w:rFonts w:ascii="Calibri" w:cs="Calibri" w:eastAsia="Calibri" w:hAnsi="Calibri"/>
          <w:b/>
          <w:bCs/>
          <w:color w:val="1E8E3E"/>
          <w:sz w:val="24"/>
          <w:szCs w:val="24"/>
        </w:rPr>
        <w:t xml:space="preserve">Where the value is created</w:t>
      </w:r>
    </w:p>
    <w:p>
      <w:pPr>
        <w:spacing w:after="200" w:line="300"/>
        <w:jc w:val="both"/>
      </w:pPr>
      <w:r>
        <w:rPr>
          <w:rFonts w:ascii="Georgia" w:cs="Georgia" w:eastAsia="Georgia" w:hAnsi="Georgia"/>
          <w:color w:val="101418"/>
          <w:sz w:val="21"/>
          <w:szCs w:val="21"/>
        </w:rPr>
        <w:t xml:space="preserve">At the moment of </w:t>
      </w:r>
      <w:r>
        <w:rPr>
          <w:rFonts w:ascii="Georgia" w:cs="Georgia" w:eastAsia="Georgia" w:hAnsi="Georgia"/>
          <w:b/>
          <w:bCs/>
          <w:color w:val="101418"/>
          <w:sz w:val="21"/>
          <w:szCs w:val="21"/>
        </w:rPr>
        <w:t xml:space="preserve">resumption</w:t>
      </w:r>
      <w:r>
        <w:rPr>
          <w:rFonts w:ascii="Georgia" w:cs="Georgia" w:eastAsia="Georgia" w:hAnsi="Georgia"/>
          <w:color w:val="101418"/>
          <w:sz w:val="21"/>
          <w:szCs w:val="21"/>
        </w:rPr>
        <w:t xml:space="preserve"> — when a person returns to something already in motion. Three capabilities matter:</w:t>
      </w:r>
    </w:p>
    <w:p>
      <w:pPr>
        <w:pStyle w:val="ListParagraph"/>
        <w:numPr>
          <w:ilvl w:val="0"/>
          <w:numId w:val="2"/>
        </w:numPr>
        <w:spacing w:after="130" w:line="300"/>
      </w:pPr>
      <w:r>
        <w:rPr>
          <w:rFonts w:ascii="Georgia" w:cs="Georgia" w:eastAsia="Georgia" w:hAnsi="Georgia"/>
          <w:b/>
          <w:bCs/>
          <w:color w:val="101418"/>
          <w:sz w:val="21"/>
          <w:szCs w:val="21"/>
        </w:rPr>
        <w:t xml:space="preserve">Recall</w:t>
      </w:r>
      <w:r>
        <w:rPr>
          <w:rFonts w:ascii="Georgia" w:cs="Georgia" w:eastAsia="Georgia" w:hAnsi="Georgia"/>
          <w:color w:val="101418"/>
          <w:sz w:val="21"/>
          <w:szCs w:val="21"/>
        </w:rPr>
        <w:t xml:space="preserve"> — retrieving a specific past moment (“the dictation I did around 5 PM yesterday in Slack”).</w:t>
      </w:r>
    </w:p>
    <w:p>
      <w:pPr>
        <w:pStyle w:val="ListParagraph"/>
        <w:numPr>
          <w:ilvl w:val="0"/>
          <w:numId w:val="2"/>
        </w:numPr>
        <w:spacing w:after="130" w:line="300"/>
      </w:pPr>
      <w:r>
        <w:rPr>
          <w:rFonts w:ascii="Georgia" w:cs="Georgia" w:eastAsia="Georgia" w:hAnsi="Georgia"/>
          <w:b/>
          <w:bCs/>
          <w:color w:val="101418"/>
          <w:sz w:val="21"/>
          <w:szCs w:val="21"/>
        </w:rPr>
        <w:t xml:space="preserve">Resume</w:t>
      </w:r>
      <w:r>
        <w:rPr>
          <w:rFonts w:ascii="Georgia" w:cs="Georgia" w:eastAsia="Georgia" w:hAnsi="Georgia"/>
          <w:color w:val="101418"/>
          <w:sz w:val="21"/>
          <w:szCs w:val="21"/>
        </w:rPr>
        <w:t xml:space="preserve"> — picking up an open thread without restating its context.</w:t>
      </w:r>
    </w:p>
    <w:p>
      <w:pPr>
        <w:pStyle w:val="ListParagraph"/>
        <w:numPr>
          <w:ilvl w:val="0"/>
          <w:numId w:val="2"/>
        </w:numPr>
        <w:spacing w:after="130" w:line="300"/>
      </w:pPr>
      <w:r>
        <w:rPr>
          <w:rFonts w:ascii="Georgia" w:cs="Georgia" w:eastAsia="Georgia" w:hAnsi="Georgia"/>
          <w:b/>
          <w:bCs/>
          <w:color w:val="101418"/>
          <w:sz w:val="21"/>
          <w:szCs w:val="21"/>
        </w:rPr>
        <w:t xml:space="preserve">Apply</w:t>
      </w:r>
      <w:r>
        <w:rPr>
          <w:rFonts w:ascii="Georgia" w:cs="Georgia" w:eastAsia="Georgia" w:hAnsi="Georgia"/>
          <w:color w:val="101418"/>
          <w:sz w:val="21"/>
          <w:szCs w:val="21"/>
        </w:rPr>
        <w:t xml:space="preserve"> — producing new output shaped by known preferences, people, and projects.</w:t>
      </w:r>
    </w:p>
    <w:p>
      <w:pPr>
        <w:spacing w:after="200" w:line="300"/>
        <w:jc w:val="both"/>
      </w:pPr>
      <w:r>
        <w:rPr>
          <w:rFonts w:ascii="Georgia" w:cs="Georgia" w:eastAsia="Georgia" w:hAnsi="Georgia"/>
          <w:color w:val="101418"/>
          <w:sz w:val="21"/>
          <w:szCs w:val="21"/>
        </w:rPr>
        <w:t xml:space="preserve">Comprehensiveness is not value. A system that learns ten things and surfaces three usefully beats one that learns fifty. Over-remembering is a failure mode, not a neutral cost.</w:t>
      </w:r>
    </w:p>
    <w:p>
      <w:pPr>
        <w:pStyle w:val="Heading2"/>
        <w:spacing w:after="140" w:before="340"/>
      </w:pPr>
      <w:r>
        <w:rPr>
          <w:rFonts w:ascii="Calibri" w:cs="Calibri" w:eastAsia="Calibri" w:hAnsi="Calibri"/>
          <w:b/>
          <w:bCs/>
          <w:color w:val="1E8E3E"/>
          <w:sz w:val="24"/>
          <w:szCs w:val="24"/>
        </w:rPr>
        <w:t xml:space="preserve">What deserves to be remembered</w:t>
      </w:r>
    </w:p>
    <w:p>
      <w:pPr>
        <w:spacing w:after="200" w:line="300"/>
        <w:jc w:val="both"/>
      </w:pPr>
      <w:r>
        <w:rPr>
          <w:rFonts w:ascii="Georgia" w:cs="Georgia" w:eastAsia="Georgia" w:hAnsi="Georgia"/>
          <w:color w:val="101418"/>
          <w:sz w:val="21"/>
          <w:szCs w:val="21"/>
        </w:rPr>
        <w:t xml:space="preserve">Things with a lifecycle — a durable fact about the person’s world, a stable preference, a named entity they return to, an open thread. Not one-off queries, not arithmetic, not the weather.</w:t>
      </w:r>
    </w:p>
    <w:p>
      <w:pPr>
        <w:spacing w:after="200" w:line="300"/>
        <w:jc w:val="both"/>
      </w:pPr>
      <w:r>
        <w:rPr>
          <w:rFonts w:ascii="Georgia" w:cs="Georgia" w:eastAsia="Georgia" w:hAnsi="Georgia"/>
          <w:color w:val="101418"/>
          <w:sz w:val="21"/>
          <w:szCs w:val="21"/>
        </w:rPr>
        <w:t xml:space="preserve">Kivi keeps a separate episodic record of what was dictated, so “find what I said on Tuesday” still works. But an episode is evidence, not a belief. Beliefs are earned: a candidate becomes a memory when it recurs, is explicitly named, or persists across turns. Everything Kivi believes carries a domain and a type, and how long it survives follows from both.</w:t>
      </w:r>
    </w:p>
    <w:p>
      <w:pPr>
        <w:pStyle w:val="Heading2"/>
        <w:spacing w:after="140" w:before="340"/>
      </w:pPr>
      <w:r>
        <w:rPr>
          <w:rFonts w:ascii="Calibri" w:cs="Calibri" w:eastAsia="Calibri" w:hAnsi="Calibri"/>
          <w:b/>
          <w:bCs/>
          <w:color w:val="1E8E3E"/>
          <w:sz w:val="24"/>
          <w:szCs w:val="24"/>
        </w:rPr>
        <w:t xml:space="preserve">What Kivi must never assume</w:t>
      </w:r>
    </w:p>
    <w:p>
      <w:pPr>
        <w:spacing w:after="200" w:line="300"/>
        <w:jc w:val="both"/>
      </w:pPr>
      <w:r>
        <w:rPr>
          <w:rFonts w:ascii="Georgia" w:cs="Georgia" w:eastAsia="Georgia" w:hAnsi="Georgia"/>
          <w:b/>
          <w:bCs/>
          <w:color w:val="101418"/>
          <w:sz w:val="21"/>
          <w:szCs w:val="21"/>
        </w:rPr>
        <w:t xml:space="preserve">That access is permission.</w:t>
      </w:r>
      <w:r>
        <w:rPr>
          <w:rFonts w:ascii="Georgia" w:cs="Georgia" w:eastAsia="Georgia" w:hAnsi="Georgia"/>
          <w:color w:val="101418"/>
          <w:sz w:val="21"/>
          <w:szCs w:val="21"/>
        </w:rPr>
        <w:t xml:space="preserve"> Connecting Gmail does not license reading bank statements, medical results, or legal documents. Those exist to Kivi as metadata only — filtered before the embedding step, never vectorised, never reasoned over.</w:t>
      </w:r>
    </w:p>
    <w:p>
      <w:pPr>
        <w:spacing w:after="200" w:line="300"/>
        <w:jc w:val="both"/>
      </w:pPr>
      <w:r>
        <w:rPr>
          <w:rFonts w:ascii="Georgia" w:cs="Georgia" w:eastAsia="Georgia" w:hAnsi="Georgia"/>
          <w:b/>
          <w:bCs/>
          <w:color w:val="101418"/>
          <w:sz w:val="21"/>
          <w:szCs w:val="21"/>
        </w:rPr>
        <w:t xml:space="preserve">That the newest statement is the true one.</w:t>
      </w:r>
      <w:r>
        <w:rPr>
          <w:rFonts w:ascii="Georgia" w:cs="Georgia" w:eastAsia="Georgia" w:hAnsi="Georgia"/>
          <w:color w:val="101418"/>
          <w:sz w:val="21"/>
          <w:szCs w:val="21"/>
        </w:rPr>
        <w:t xml:space="preserve"> A contradiction is surfaced, never silently applied.</w:t>
      </w:r>
    </w:p>
    <w:p>
      <w:pPr>
        <w:spacing w:after="200" w:line="300"/>
        <w:jc w:val="both"/>
      </w:pPr>
      <w:r>
        <w:rPr>
          <w:rFonts w:ascii="Georgia" w:cs="Georgia" w:eastAsia="Georgia" w:hAnsi="Georgia"/>
          <w:b/>
          <w:bCs/>
          <w:color w:val="101418"/>
          <w:sz w:val="21"/>
          <w:szCs w:val="21"/>
        </w:rPr>
        <w:t xml:space="preserve">That a mention is a commitment.</w:t>
      </w:r>
    </w:p>
    <w:p>
      <w:pPr>
        <w:spacing w:after="200" w:line="300"/>
        <w:jc w:val="both"/>
      </w:pPr>
      <w:r>
        <w:rPr>
          <w:rFonts w:ascii="Georgia" w:cs="Georgia" w:eastAsia="Georgia" w:hAnsi="Georgia"/>
          <w:b/>
          <w:bCs/>
          <w:color w:val="101418"/>
          <w:sz w:val="21"/>
          <w:szCs w:val="21"/>
        </w:rPr>
        <w:t xml:space="preserve">That dictated content is addressed to Kivi.</w:t>
      </w:r>
      <w:r>
        <w:rPr>
          <w:rFonts w:ascii="Georgia" w:cs="Georgia" w:eastAsia="Georgia" w:hAnsi="Georgia"/>
          <w:color w:val="101418"/>
          <w:sz w:val="21"/>
          <w:szCs w:val="21"/>
        </w:rPr>
        <w:t xml:space="preserve"> When someone dictates a message, they are speaking to a colleague, not instructing Kivi.</w:t>
      </w:r>
    </w:p>
    <w:p>
      <w:pPr>
        <w:spacing w:after="200" w:line="300"/>
        <w:jc w:val="both"/>
      </w:pPr>
      <w:r>
        <w:rPr>
          <w:rFonts w:ascii="Georgia" w:cs="Georgia" w:eastAsia="Georgia" w:hAnsi="Georgia"/>
          <w:b/>
          <w:bCs/>
          <w:color w:val="101418"/>
          <w:sz w:val="21"/>
          <w:szCs w:val="21"/>
        </w:rPr>
        <w:t xml:space="preserve">That an unclear request is an unanswerable one.</w:t>
      </w:r>
      <w:r>
        <w:rPr>
          <w:rFonts w:ascii="Georgia" w:cs="Georgia" w:eastAsia="Georgia" w:hAnsi="Georgia"/>
          <w:color w:val="101418"/>
          <w:sz w:val="21"/>
          <w:szCs w:val="21"/>
        </w:rPr>
        <w:t xml:space="preserve"> A fragment, a mistyped name, or a bare keyword is ordinary speech, not a malformed query. Kivi repairs what it can, asks one question when repair is not enough, and abstains only when neither works.</w:t>
      </w:r>
    </w:p>
    <w:p>
      <w:pPr>
        <w:spacing w:after="200" w:line="300"/>
        <w:jc w:val="both"/>
      </w:pPr>
      <w:r>
        <w:rPr>
          <w:rFonts w:ascii="Georgia" w:cs="Georgia" w:eastAsia="Georgia" w:hAnsi="Georgia"/>
          <w:b/>
          <w:bCs/>
          <w:color w:val="101418"/>
          <w:sz w:val="21"/>
          <w:szCs w:val="21"/>
        </w:rPr>
        <w:t xml:space="preserve">That it knows.</w:t>
      </w:r>
      <w:r>
        <w:rPr>
          <w:rFonts w:ascii="Georgia" w:cs="Georgia" w:eastAsia="Georgia" w:hAnsi="Georgia"/>
          <w:color w:val="101418"/>
          <w:sz w:val="21"/>
          <w:szCs w:val="21"/>
        </w:rPr>
        <w:t xml:space="preserve"> When the history does not support an answer, Kivi says so rather than inventing one.</w:t>
      </w:r>
    </w:p>
    <w:p>
      <w:pPr>
        <w:pStyle w:val="Heading2"/>
        <w:spacing w:after="140" w:before="340"/>
      </w:pPr>
      <w:r>
        <w:rPr>
          <w:rFonts w:ascii="Calibri" w:cs="Calibri" w:eastAsia="Calibri" w:hAnsi="Calibri"/>
          <w:b/>
          <w:bCs/>
          <w:color w:val="1E8E3E"/>
          <w:sz w:val="24"/>
          <w:szCs w:val="24"/>
        </w:rPr>
        <w:t xml:space="preserve">Why someone should trust this enough to keep using it</w:t>
      </w:r>
    </w:p>
    <w:p>
      <w:pPr>
        <w:spacing w:after="200" w:line="300"/>
        <w:jc w:val="both"/>
      </w:pPr>
      <w:r>
        <w:rPr>
          <w:rFonts w:ascii="Georgia" w:cs="Georgia" w:eastAsia="Georgia" w:hAnsi="Georgia"/>
          <w:color w:val="101418"/>
          <w:sz w:val="21"/>
          <w:szCs w:val="21"/>
        </w:rPr>
        <w:t xml:space="preserve">Not because it asks. Seeking permission on every inference would destroy a voice-first interface — the cost of consent is the interaction. Kivi infers silently and earns trust by remaining </w:t>
      </w:r>
      <w:r>
        <w:rPr>
          <w:rFonts w:ascii="Georgia" w:cs="Georgia" w:eastAsia="Georgia" w:hAnsi="Georgia"/>
          <w:b/>
          <w:bCs/>
          <w:color w:val="101418"/>
          <w:sz w:val="21"/>
          <w:szCs w:val="21"/>
        </w:rPr>
        <w:t xml:space="preserve">answerable after the fact</w:t>
      </w:r>
      <w:r>
        <w:rPr>
          <w:rFonts w:ascii="Georgia" w:cs="Georgia" w:eastAsia="Georgia" w:hAnsi="Georgia"/>
          <w:color w:val="101418"/>
          <w:sz w:val="21"/>
          <w:szCs w:val="21"/>
        </w:rPr>
        <w:t xml:space="preserve">: anyone can ask what Kivi remembers about anything and receive a specific answer with its evidence — what was said, when, in which app — and correct or delete it in one action. Control without administration. The person never maintains a database; they occasionally overrule a belief.</w:t>
      </w:r>
    </w:p>
    <w:p>
      <w:pPr>
        <w:spacing w:after="200" w:line="300"/>
        <w:jc w:val="both"/>
      </w:pPr>
      <w:r>
        <w:rPr>
          <w:rFonts w:ascii="Georgia" w:cs="Georgia" w:eastAsia="Georgia" w:hAnsi="Georgia"/>
          <w:color w:val="101418"/>
          <w:sz w:val="21"/>
          <w:szCs w:val="21"/>
        </w:rPr>
        <w:t xml:space="preserve">Onboarding asks once: rank three of six domains. That ranking weights how long things survive and how readily they surface. Memory is weighted, not siloed.</w:t>
      </w:r>
    </w:p>
    <w:p>
      <w:pPr>
        <w:spacing w:after="200" w:line="300"/>
        <w:jc w:val="both"/>
      </w:pPr>
      <w:r>
        <w:rPr>
          <w:rFonts w:ascii="Georgia" w:cs="Georgia" w:eastAsia="Georgia" w:hAnsi="Georgia"/>
          <w:color w:val="101418"/>
          <w:sz w:val="21"/>
          <w:szCs w:val="21"/>
        </w:rPr>
        <w:t xml:space="preserve">The contract is short. Kivi will infer without asking. It will never conceal what it inferred, never overwrite a fact behind your back, never read what you did not offer, and never claim to know something it cannot show you.</w:t>
      </w:r>
    </w:p>
    <w:p>
      <w:pPr>
        <w:pBdr>
          <w:bottom w:val="single" w:color="1E8E3E" w:sz="6" w:space="6"/>
        </w:pBdr>
        <w:spacing w:after="300" w:before="60"/>
      </w:pPr>
      <w:r>
        <w:t xml:space="preserve"/>
      </w:r>
    </w:p>
    <w:p>
      <w:pPr>
        <w:spacing w:after="200" w:before="140"/>
      </w:pPr>
      <w:r>
        <w:rPr>
          <w:rFonts w:ascii="Calibri" w:cs="Calibri" w:eastAsia="Calibri" w:hAnsi="Calibri"/>
          <w:i/>
          <w:iCs/>
          <w:color w:val="5A6169"/>
          <w:sz w:val="17"/>
          <w:szCs w:val="17"/>
        </w:rPr>
        <w:t xml:space="preserve">587 words</w:t>
      </w:r>
    </w:p>
    <w:sectPr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  <w:rPr>
        <w:color w:val="1E8E3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2026-09-12T13:42:48.210Z</dcterms:created>
  <dcterms:modified xsi:type="dcterms:W3CDTF">2026-09-12T13:42:48.223Z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