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sz w:val="40"/>
          <w:szCs w:val="40"/>
        </w:rPr>
        <w:t xml:space="preserve">Product Requirements Document</w:t>
      </w:r>
    </w:p>
    <w:p>
      <w:pPr>
        <w:spacing w:after="60"/>
      </w:pPr>
      <w:r>
        <w:rPr>
          <w:sz w:val="26"/>
          <w:szCs w:val="26"/>
        </w:rPr>
        <w:t xml:space="preserve">LexiReview — AI-Assisted Legal Document Review &amp; Analysis</w:t>
      </w:r>
    </w:p>
    <w:p>
      <w:pPr>
        <w:spacing w:after="260"/>
      </w:pPr>
      <w:r>
        <w:rPr>
          <w:color w:val="555555"/>
          <w:sz w:val="21"/>
          <w:szCs w:val="21"/>
        </w:rPr>
        <w:t xml:space="preserve">Version 2.4.1 (Final) — 09 July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2.4.1 (Final) — supersedes v2.4; restores the FR-9a definition dropped in the v2.4 merge (see Change Record)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Signed off — final build document, single source of truth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Provenance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v2.0 cross-validated against Gemini and ChatGPT (Round 1), against LexiReview v1.0 (Round 2), merged as v2.2, corrected as v2.3 (Round 3), audited as v2.4 (Round 4), sign-off review and regression fix as v2.4.1 (Round 5). Every adoption recorded in the Decision Log (Section 15)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Owner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Nikhil Katti — internship project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Timebox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11 weeks, with a documented de-scoping ladder (Section 12)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pStyle w:val="Heading1"/>
        <w:spacing w:after="180" w:before="340"/>
      </w:pPr>
      <w:r>
        <w:t xml:space="preserve">Change Record: v2.3 → v2.4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400"/>
      </w:tblGrid>
      <w:tr>
        <w:trPr>
          <w:tblHeader/>
        </w:trPr>
        <w:tc>
          <w:tcPr>
            <w:tcW w:type="dxa" w:w="7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Residual finding in v2.3</w:t>
            </w:r>
          </w:p>
        </w:tc>
        <w:tc>
          <w:tcPr>
            <w:tcW w:type="dxa" w:w="44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Fix applied in v2.4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Evaluation bench built “per playbook type” only — the reinstated generic clause extraction (FR-9a) was never tested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Bench must include at least one non-playbook document (service agreement) with planted issues across the 12 generic categories (Section 11)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IP addresses retained forever in the append-only audit_log — personal data under DPDP/GDPR, quietly contradicting the deletion SLA one layer down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IP fields capped at 90-day retention and nulled on account deletion; content-free event records persist (FR-8, SEC-10)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Fix #1 of Round 3 overloaded weeks 3–4 (gateway + anchors + LLM call + verification + UI in one sprint)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Minimum viable gateway defined: hard-identifier stripping + core entities (names, amounts, dates) is “operational”; entity coverage may expand after — the precondition never slips (AI-7)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question “does the pilot need Q&amp;A at all?” sat in tension with “Q&amp;A last on the de-scoping ladder”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Clarified: ladder position reflects the project’s stated vector-search requirement; the open question concerns pilot user need only (Section 17)</w:t>
            </w:r>
          </w:p>
        </w:tc>
      </w:tr>
    </w:tbl>
    <w:p>
      <w:pPr>
        <w:pStyle w:val="Heading1"/>
        <w:spacing w:after="180" w:before="340"/>
      </w:pPr>
      <w:r>
        <w:t xml:space="preserve">Change Record: v2.4 → v2.4.1 (sign-off review)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400"/>
      </w:tblGrid>
      <w:tr>
        <w:trPr>
          <w:tblHeader/>
        </w:trPr>
        <w:tc>
          <w:tcPr>
            <w:tcW w:type="dxa" w:w="7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Finding in v2.4</w:t>
            </w:r>
          </w:p>
        </w:tc>
        <w:tc>
          <w:tcPr>
            <w:tcW w:type="dxa" w:w="44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Fix applied in v2.4.1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FR-9a referenced throughout (eval plan, milestones, never-de-scoped list, decision log) but its definition was dropped from Section 7.2 in the merge — cited everywhere, defined nowhere; FR-10 also lost its layering sentence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FR-9a definition restored in Section 7.2 with all 12 categories; FR-10’s “additional layer on top of FR-9a, never a replacement” sentence restored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Generic clause extraction scheduled in weeks 7–8 alongside playbooks, though it is part of the core analysis prompt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Moved to the weeks 3–4 pipeline; a weeks 7–8 slip can no longer take clause extraction with it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50 MB body cap unconfirmed as intentional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Confirmed intentional: headroom for the ~100-page context cap; stated in Section 6</w:t>
            </w:r>
          </w:p>
        </w:tc>
      </w:tr>
    </w:tbl>
    <w:p>
      <w:pPr>
        <w:pStyle w:val="Heading1"/>
        <w:spacing w:after="180" w:before="340"/>
      </w:pPr>
      <w:r>
        <w:t xml:space="preserve">1. Overview and positioning</w:t>
      </w:r>
    </w:p>
    <w:p>
      <w:pPr>
        <w:spacing w:after="160" w:line="300"/>
      </w:pPr>
      <w:r>
        <w:rPr>
          <w:sz w:val="21"/>
          <w:szCs w:val="21"/>
        </w:rPr>
        <w:t xml:space="preserve">LexiReview is a web application that reviews and analyzes a single legal document at a time — contracts, leases, NDAs, and similar instruments. It produces a structured, citation-backed draft review: clauses requiring attention, potential risks, internal inconsistencies, and missing standard clauses, each traceable to the exact block of source text.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LexiReview is an assistive drafting tool, not a legal advisor. </w:t>
      </w:r>
      <w:r>
        <w:rPr>
          <w:sz w:val="21"/>
          <w:szCs w:val="21"/>
        </w:rPr>
        <w:t xml:space="preserve">Every output is a draft requiring review by a qualified lawyer. A persistent disclaimer appears on every screen and every export. The system reduces and detects hallucination; it never claims to eliminate it, and the UI is forbidden from describing any document as “safe” (AI-12).</w:t>
      </w:r>
    </w:p>
    <w:p>
      <w:pPr>
        <w:pStyle w:val="Heading1"/>
        <w:spacing w:after="180" w:before="340"/>
      </w:pPr>
      <w:r>
        <w:t xml:space="preserve">2. Problem statement</w:t>
      </w:r>
    </w:p>
    <w:p>
      <w:pPr>
        <w:spacing w:after="160" w:line="300"/>
      </w:pPr>
      <w:r>
        <w:rPr>
          <w:sz w:val="21"/>
          <w:szCs w:val="21"/>
        </w:rPr>
        <w:t xml:space="preserve">First-pass contract review is slow, expensive, and error-prone under time pressure. Generic AI chatbots are unsuitable for legal work for three reasons: they hallucinate clauses and citations, they can blend content across documents, and they provide no audit trail. LexiReview is designed around those three failure modes: every finding is verified against the source text by deterministic code, analysis is architecturally confined to exactly one document version, and every AI claim and human decision is logged.</w:t>
      </w:r>
    </w:p>
    <w:p>
      <w:pPr>
        <w:pStyle w:val="Heading1"/>
        <w:spacing w:after="180" w:before="340"/>
      </w:pPr>
      <w:r>
        <w:t xml:space="preserve">3. Goals and success metrics</w:t>
      </w:r>
    </w:p>
    <w:p>
      <w:pPr>
        <w:spacing w:after="160" w:line="300"/>
      </w:pPr>
      <w:r>
        <w:rPr>
          <w:sz w:val="21"/>
          <w:szCs w:val="21"/>
        </w:rPr>
        <w:t xml:space="preserve">Goals: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Cut first-pass review time materially against a manual baseline measured in the pilot.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Deliver zero unverifiable findings: every displayed finding carries a machine-verified quote and block citation.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Guarantee single-document integrity: analysis is never contaminated by another document, another version, or another user’s data.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Handle privileged material to a standard defensible under the DPDP Act 2023 and GDPR.</w:t>
      </w:r>
    </w:p>
    <w:p>
      <w:pPr>
        <w:spacing w:after="160" w:line="300"/>
      </w:pPr>
      <w:r>
        <w:rPr>
          <w:sz w:val="21"/>
          <w:szCs w:val="21"/>
        </w:rPr>
        <w:t xml:space="preserve">Metrics policy (adopted from cross-validation): formulas are published now; numeric targets are set only after the first evaluation run. Promising figures such as “99.5% groundedness” or “92% recall” before any measurement is writing cheques the system may not cash.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800"/>
        <w:gridCol w:w="1900"/>
      </w:tblGrid>
      <w:tr>
        <w:trPr>
          <w:tblHeader/>
        </w:trPr>
        <w:tc>
          <w:tcPr>
            <w:tcW w:type="dxa" w:w="33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38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Formula / method</w:t>
            </w:r>
          </w:p>
        </w:tc>
        <w:tc>
          <w:tcPr>
            <w:tcW w:type="dxa" w:w="19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Quote-verification rate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verified findings ÷ all findings emitted by the model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after run 1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Precision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true-positive flags ÷ all flags (confusion matrix over the bench)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after run 1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Recall on seeded issues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detected planted issues ÷ planted issues (15–20 contract bench)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after run 1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Reviewer acceptance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findings accepted or edited ÷ findings shown (pilot)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after pilot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False-positive rate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findings dismissed as irrelevant ÷ findings shown (pilot)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after pilot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Cross-user / cross-doc leaks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canary audit + CI isolation tests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 — hard gate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Analysis latency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wall-clock per 30-page document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~2 min until measured</w:t>
            </w:r>
          </w:p>
        </w:tc>
      </w:tr>
    </w:tbl>
    <w:p>
      <w:pPr>
        <w:pStyle w:val="Heading1"/>
        <w:spacing w:after="180" w:before="340"/>
      </w:pPr>
      <w:r>
        <w:t xml:space="preserve">4. Non-goals (v1)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Legal advice, or any recommendation to sign or reject a document.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Multi-document comparison or portfolio analysis — excluded to protect single-document integrity; recorded as post-internship roadmap.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Autonomous drafting or redlining.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Role tiers (Admin/Reviewer/Viewer): single user role in v1; RBAC is future scope.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Documents beyond the context cap (Section 6): uploads over the cap are rejected with a clear message, not silently truncated.</w:t>
      </w:r>
    </w:p>
    <w:p>
      <w:pPr>
        <w:pStyle w:val="Heading1"/>
        <w:spacing w:after="180" w:before="340"/>
      </w:pPr>
      <w:r>
        <w:t xml:space="preserve">5. Users and key stories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Associate / paralegal: </w:t>
      </w:r>
      <w:r>
        <w:rPr>
          <w:sz w:val="21"/>
          <w:szCs w:val="21"/>
        </w:rPr>
        <w:t xml:space="preserve">uploads a lease and receives a severity-grouped review; every finding links to the highlighted block in the original document.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Reviewing lawyer: </w:t>
      </w:r>
      <w:r>
        <w:rPr>
          <w:sz w:val="21"/>
          <w:szCs w:val="21"/>
        </w:rPr>
        <w:t xml:space="preserve">works in a split-screen view — original document beside findings — and accepts, edits, overrides, or dismisses each finding; the export contains only the human-approved set.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Any user: </w:t>
      </w:r>
      <w:r>
        <w:rPr>
          <w:sz w:val="21"/>
          <w:szCs w:val="21"/>
        </w:rPr>
        <w:t xml:space="preserve">asks “Is there a limitation of liability clause, and is it mutual?” and receives either a verified quote or the explicit answer “Not found in this document.”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Any user: </w:t>
      </w:r>
      <w:r>
        <w:rPr>
          <w:sz w:val="21"/>
          <w:szCs w:val="21"/>
        </w:rPr>
        <w:t xml:space="preserve">can change their password, and can delete their account with cascading permanent deletion of all their data.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Any user: </w:t>
      </w:r>
      <w:r>
        <w:rPr>
          <w:sz w:val="21"/>
          <w:szCs w:val="21"/>
        </w:rPr>
        <w:t xml:space="preserve">re-uploads an edited draft and the system treats it as a new immutable version; every finding states which version it came from, and near-duplicates are surfaced as separate documents, never merged.</w:t>
      </w:r>
    </w:p>
    <w:p>
      <w:pPr>
        <w:pStyle w:val="Heading1"/>
        <w:spacing w:after="180" w:before="340"/>
      </w:pPr>
      <w:r>
        <w:t xml:space="preserve">6. System architecture</w:t>
      </w:r>
    </w:p>
    <w:p>
      <w:pPr>
        <w:spacing w:after="160" w:line="300"/>
      </w:pPr>
      <w:r>
        <w:rPr>
          <w:sz w:val="21"/>
          <w:szCs w:val="21"/>
        </w:rPr>
        <w:t xml:space="preserve">Stack: React front end; Nginx ingress (TLS termination, 50 MB body cap — intentional headroom for the ~100-page context cap, rate limiting); FastAPI backend; PostgreSQL (with pgvector extension and Row-Level Security); Celery workers with Redis broker; S3/MinIO private object store for encrypted originals; external LLM API under an enterprise zero-retention agreement. Deployment via docker-compose.</w:t>
      </w:r>
    </w:p>
    <w:p>
      <w:pPr>
        <w:pStyle w:val="Heading2"/>
        <w:spacing w:after="140" w:before="260"/>
      </w:pPr>
      <w:r>
        <w:t xml:space="preserve">6.1 The retrieval rule (resolved architectural question)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Core analysis never uses retrieval. </w:t>
      </w:r>
      <w:r>
        <w:rPr>
          <w:sz w:val="21"/>
          <w:szCs w:val="21"/>
        </w:rPr>
        <w:t xml:space="preserve">Summaries, clause extraction, risk flags, and inconsistency detection are produced from the whole document in a single large-context call. Rationale: inconsistency detection needs cross-section visibility — chunked retrieval can miss one of two conflicting clauses — and analysis integrity must never be hostage to retrieval quality. Independently confirmed by all three designs.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Q&amp;A chat is the only consumer of retrieval. </w:t>
      </w:r>
      <w:r>
        <w:rPr>
          <w:sz w:val="21"/>
          <w:szCs w:val="21"/>
        </w:rPr>
        <w:t xml:space="preserve">pgvector retrieval over block-level chunks, with a server-side filter on doc_id + user_id enforced in the data-access layer (not the prompt). Answers must quote and are verified like any other finding.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Context cap: </w:t>
      </w:r>
      <w:r>
        <w:rPr>
          <w:sz w:val="21"/>
          <w:szCs w:val="21"/>
        </w:rPr>
        <w:t xml:space="preserve">v1 accepts documents up to approximately 100 pages (~150K tokens of extracted text). Larger uploads are rejected with a clear message. The chunk-metadata RAG design (clause-aware chunks carrying doc_id, version_hash, clause_ref, page) is recorded as the documented adoption path if the cap is ever lifted — a decision, not an oversight.</w:t>
      </w:r>
    </w:p>
    <w:p>
      <w:pPr>
        <w:pStyle w:val="Heading2"/>
        <w:spacing w:after="140" w:before="260"/>
      </w:pPr>
      <w:r>
        <w:t xml:space="preserve">6.2 Data flow</w:t>
      </w:r>
    </w:p>
    <w:p>
      <w:pPr>
        <w:spacing w:after="160" w:line="300"/>
      </w:pPr>
      <w:r>
        <w:rPr>
          <w:sz w:val="21"/>
          <w:szCs w:val="21"/>
        </w:rPr>
        <w:t xml:space="preserve">Upload → validation + malware-scan hook → encrypted original to private bucket (UUID path) → text extraction in a cryptographically random per-job temp workspace (purged after use) → [BLOCK_n] anchor injection → full text + blocks stored in PostgreSQL keyed by doc_id, user_id, version_hash → async analysis job (Celery, pass-by-ID only; raw text never transits the queue) → PII pseudonymisation gateway (mandatory — see AI-7) → LLM call (temperature 0, native constrained decoding) → deterministic verification layer → findings stored as JSONB with model_version → split-screen review UI (original served via time-limited presigned URLs, ~15 min) → human-approved export.</w:t>
      </w:r>
    </w:p>
    <w:p>
      <w:pPr>
        <w:pStyle w:val="Heading1"/>
        <w:spacing w:after="180" w:before="340"/>
      </w:pPr>
      <w:r>
        <w:t xml:space="preserve">7. Functional requirements</w:t>
      </w:r>
    </w:p>
    <w:p>
      <w:pPr>
        <w:pStyle w:val="Heading2"/>
        <w:spacing w:after="140" w:before="260"/>
      </w:pPr>
      <w:r>
        <w:t xml:space="preserve">7.1 Ingestion, versioning, and document integrity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FR-1  </w:t>
      </w:r>
      <w:r>
        <w:rPr>
          <w:sz w:val="21"/>
          <w:szCs w:val="21"/>
        </w:rPr>
        <w:t xml:space="preserve">Accept PDF and DOCX up to the context cap; validate format (magic bytes) and size at the Nginx edge and again in the API; reject corrupted files with a clear error.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FR-2  </w:t>
      </w:r>
      <w:r>
        <w:rPr>
          <w:sz w:val="21"/>
          <w:szCs w:val="21"/>
        </w:rPr>
        <w:t xml:space="preserve">Malware-scan hook on upload.</w:t>
      </w:r>
      <w:r>
        <w:rPr>
          <w:i/>
          <w:iCs/>
          <w:color w:val="666666"/>
          <w:sz w:val="21"/>
          <w:szCs w:val="21"/>
        </w:rPr>
        <w:t xml:space="preserve">  [Should]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FR-3  </w:t>
      </w:r>
      <w:r>
        <w:rPr>
          <w:sz w:val="21"/>
          <w:szCs w:val="21"/>
        </w:rPr>
        <w:t xml:space="preserve">Store encrypted originals in a private bucket under UUID paths; serve to the viewer only via time-limited presigned URLs.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FR-4  </w:t>
      </w:r>
      <w:r>
        <w:rPr>
          <w:sz w:val="21"/>
          <w:szCs w:val="21"/>
        </w:rPr>
        <w:t xml:space="preserve">SHA-256 checksum on every upload; an edited re-upload creates a new immutable version — it never silently replaces the analyzed text.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FR-5  </w:t>
      </w:r>
      <w:r>
        <w:rPr>
          <w:sz w:val="21"/>
          <w:szCs w:val="21"/>
        </w:rPr>
        <w:t xml:space="preserve">Every finding, answer, and export is stamped with document name, version hash, and model_version.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FR-6  </w:t>
      </w:r>
      <w:r>
        <w:rPr>
          <w:sz w:val="21"/>
          <w:szCs w:val="21"/>
        </w:rPr>
        <w:t xml:space="preserve">Duplicate handling — exact duplicates via SHA-256; near-duplicates via normalized-text similarity (rapidfuzz token-set ratio or SimHash; proposed threshold 0.90, finalised week 3 alongside the fuzzy-quote threshold). Detected duplicates are surfaced as distinct documents with a “possible near-duplicate of X” notice; never merged or deduplicated silently.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FR-7  </w:t>
      </w:r>
      <w:r>
        <w:rPr>
          <w:sz w:val="21"/>
          <w:szCs w:val="21"/>
        </w:rPr>
        <w:t xml:space="preserve">Extraction preserves structure; [BLOCK_n] anchors are injected before analysis and block ids are validated programmatically.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FR-8  </w:t>
      </w:r>
      <w:r>
        <w:rPr>
          <w:sz w:val="21"/>
          <w:szCs w:val="21"/>
        </w:rPr>
        <w:t xml:space="preserve">Job tracking via an analysis_jobs table (states, error reasons, retries) plus an append-only, content-free audit_log: event metadata only (event_type, user_id, doc_id, timestamp, ip) — never document text, quotes, findings, or filenames containing party names. IP fields are personal data: retained a maximum of 90 days and nulled on account deletion, while event records persist (v2.4).</w:t>
      </w:r>
    </w:p>
    <w:p>
      <w:pPr>
        <w:pStyle w:val="Heading2"/>
        <w:spacing w:after="140" w:before="260"/>
      </w:pPr>
      <w:r>
        <w:t xml:space="preserve">7.2 Analysis and review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FR-9  </w:t>
      </w:r>
      <w:r>
        <w:rPr>
          <w:sz w:val="21"/>
          <w:szCs w:val="21"/>
        </w:rPr>
        <w:t xml:space="preserve">Structured findings: category, severity (High/Medium/Low/Info), block ids, verbatim evidence quote, confidence tier.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FR-9a  </w:t>
      </w:r>
      <w:r>
        <w:rPr>
          <w:sz w:val="21"/>
          <w:szCs w:val="21"/>
        </w:rPr>
        <w:t xml:space="preserve">Generic clause extraction for ALL document types: termination, liability, indemnity, payment, confidentiality, auto-renewal, governing law/jurisdiction, penalties, intellectual property, arbitration, non-compete, force majeure — each with block reference, regardless of whether a playbook exists for the type. Part of the core analysis prompt (weeks 3–4), not the playbook layer.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FR-10  </w:t>
      </w:r>
      <w:r>
        <w:rPr>
          <w:sz w:val="21"/>
          <w:szCs w:val="21"/>
        </w:rPr>
        <w:t xml:space="preserve">Clause playbooks for two document types in v1 (NDA, lease): expected standard clauses are checked and missing ones are flagged as “absent.” Playbooks are an additional layer on top of FR-9a, never a replacement; the playbook doubles as the evaluation checklist.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FR-11  </w:t>
      </w:r>
      <w:r>
        <w:rPr>
          <w:sz w:val="21"/>
          <w:szCs w:val="21"/>
        </w:rPr>
        <w:t xml:space="preserve">Inconsistency findings must cite two block ids (e.g., conflicting party names or amounts across sections).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FR-12  </w:t>
      </w:r>
      <w:r>
        <w:rPr>
          <w:sz w:val="21"/>
          <w:szCs w:val="21"/>
        </w:rPr>
        <w:t xml:space="preserve">Q&amp;A chat over the active document only; conversation context is scoped to one document and cleared on switch.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FR-13  </w:t>
      </w:r>
      <w:r>
        <w:rPr>
          <w:sz w:val="21"/>
          <w:szCs w:val="21"/>
        </w:rPr>
        <w:t xml:space="preserve">Split-screen review: original document beside findings; reviewer can accept, edit, override, or dismiss each finding; reviewer identity and timestamp are recorded per decision.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FR-14  </w:t>
      </w:r>
      <w:r>
        <w:rPr>
          <w:sz w:val="21"/>
          <w:szCs w:val="21"/>
        </w:rPr>
        <w:t xml:space="preserve">Export (PDF/DOCX) contains the human-approved findings with citations, the persistent disclaimer, and the scope statement: “Analysis limited to this single document and version; amendments and side letters not reviewed.”</w:t>
      </w:r>
    </w:p>
    <w:p>
      <w:pPr>
        <w:pStyle w:val="Heading2"/>
        <w:spacing w:after="140" w:before="260"/>
      </w:pPr>
      <w:r>
        <w:t xml:space="preserve">7.3 Accounts and quotas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FR-15  </w:t>
      </w:r>
      <w:r>
        <w:rPr>
          <w:sz w:val="21"/>
          <w:szCs w:val="21"/>
        </w:rPr>
        <w:t xml:space="preserve">Account management: change password; delete account with cascading hard-delete of all owned data (documents → files → extracted text → embeddings → findings), honouring the 24-hour SLA (SEC-10).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FR-16  </w:t>
      </w:r>
      <w:r>
        <w:rPr>
          <w:sz w:val="21"/>
          <w:szCs w:val="21"/>
        </w:rPr>
        <w:t xml:space="preserve">Per-user monthly analysis quota (configurable) with clear in-UI feedback; per-analysis token and cost logging for operational visibility.</w:t>
      </w:r>
    </w:p>
    <w:p>
      <w:pPr>
        <w:pStyle w:val="Heading1"/>
        <w:spacing w:after="180" w:before="340"/>
      </w:pPr>
      <w:r>
        <w:t xml:space="preserve">8. AI safety requirements (anti-hallucination)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AI-1  </w:t>
      </w:r>
      <w:r>
        <w:rPr>
          <w:sz w:val="21"/>
          <w:szCs w:val="21"/>
        </w:rPr>
        <w:t xml:space="preserve">Grounding-only prompting: the fenced document is the sole permitted source; document text is delimited and treated as untrusted data (instructions inside it are ignored).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AI-2  </w:t>
      </w:r>
      <w:r>
        <w:rPr>
          <w:sz w:val="21"/>
          <w:szCs w:val="21"/>
        </w:rPr>
        <w:t xml:space="preserve">Abstention is mandatory: if the document does not contain the answer, the model must say “Not found in this document” — removing the pressure to invent.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AI-3  </w:t>
      </w:r>
      <w:r>
        <w:rPr>
          <w:sz w:val="21"/>
          <w:szCs w:val="21"/>
        </w:rPr>
        <w:t xml:space="preserve">Temperature 0 with native constrained decoding (API-enforced strict JSON schema), not prompt-requested JSON.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AI-4  </w:t>
      </w:r>
      <w:r>
        <w:rPr>
          <w:sz w:val="21"/>
          <w:szCs w:val="21"/>
        </w:rPr>
        <w:t xml:space="preserve">Every finding must carry a verbatim evidence quote and block id(s); findings without evidence are rejected before display.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AI-5  </w:t>
      </w:r>
      <w:r>
        <w:rPr>
          <w:sz w:val="21"/>
          <w:szCs w:val="21"/>
        </w:rPr>
        <w:t xml:space="preserve">Deterministic quote verification (non-LLM): exact substring match first, high-threshold fuzzy fallback (rapidfuzz) to tolerate PDF extraction artifacts; unverified findings are dropped or flagged, never shown as verified.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AI-6  </w:t>
      </w:r>
      <w:r>
        <w:rPr>
          <w:sz w:val="21"/>
          <w:szCs w:val="21"/>
        </w:rPr>
        <w:t xml:space="preserve">Entailment second pass — risk-tiered: an isolated adversarial LLM call asks “does the cited block actually support this claim?” for all High and Medium severity findings and all inconsistency findings (approx. 2× LLM cost for that subset, accepted in the NFRs). Low/Info findings rely on quote verification alone.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AI-7  </w:t>
      </w:r>
      <w:r>
        <w:rPr>
          <w:sz w:val="21"/>
          <w:szCs w:val="21"/>
        </w:rPr>
        <w:t xml:space="preserve">Selective PII pseudonymisation gateway (Presidio) before any text leaves for the LLM: entities are replaced with consistent tokens (PERSON_1, AMOUNT_3) so cross-reference checks keep working; hard identifiers (Aadhaar, PAN, phone, bank) are always stripped; the reversible mapping lives only inside the worker. Sequencing precondition: the gateway MUST be operational before the first LLM call against any non-synthetic document; all earlier development uses synthetic documents only; the LLM client refuses payloads not flagged pseudonymised by the gateway. “Operational” means the minimum viable gateway — hard-identifier stripping plus core entities (names, amounts, dates); entity coverage may expand afterwards, but the precondition never slips (v2.4).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AI-8  </w:t>
      </w:r>
      <w:r>
        <w:rPr>
          <w:sz w:val="21"/>
          <w:szCs w:val="21"/>
        </w:rPr>
        <w:t xml:space="preserve">Model version pinned; any model or prompt change must pass the evaluation regression gate before release.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AI-9  </w:t>
      </w:r>
      <w:r>
        <w:rPr>
          <w:sz w:val="21"/>
          <w:szCs w:val="21"/>
        </w:rPr>
        <w:t xml:space="preserve">Evaluation bench includes documents with embedded adversarial instructions (prompt-injection tests), not only cross-user access tests.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AI-10  </w:t>
      </w:r>
      <w:r>
        <w:rPr>
          <w:sz w:val="21"/>
          <w:szCs w:val="21"/>
        </w:rPr>
        <w:t xml:space="preserve">Honest-claims rule: product copy and reports say hallucination is reduced and detected, never eliminated.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AI-11  </w:t>
      </w:r>
      <w:r>
        <w:rPr>
          <w:sz w:val="21"/>
          <w:szCs w:val="21"/>
        </w:rPr>
        <w:t xml:space="preserve">Stateless LLM usage: no persistent threads, no shared history, no global variables; every call is self-contained.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AI-12  </w:t>
      </w:r>
      <w:r>
        <w:rPr>
          <w:sz w:val="21"/>
          <w:szCs w:val="21"/>
        </w:rPr>
        <w:t xml:space="preserve">False-negative framing: the UI never states or implies a document is “safe” or issue-free; absence of flags is presented as “no issues detected by automated review.”</w:t>
      </w:r>
    </w:p>
    <w:p>
      <w:pPr>
        <w:pStyle w:val="Heading1"/>
        <w:spacing w:after="180" w:before="340"/>
      </w:pPr>
      <w:r>
        <w:t xml:space="preserve">9. Isolation and security requirements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SEC-1  </w:t>
      </w:r>
      <w:r>
        <w:rPr>
          <w:sz w:val="21"/>
          <w:szCs w:val="21"/>
        </w:rPr>
        <w:t xml:space="preserve">Ownership filtering in one data-access layer: every query scoped to the session user; foreign ids return 404.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SEC-2  </w:t>
      </w:r>
      <w:r>
        <w:rPr>
          <w:sz w:val="21"/>
          <w:szCs w:val="21"/>
        </w:rPr>
        <w:t xml:space="preserve">PostgreSQL Row-Level Security as defence-in-depth beneath the query layer (SET LOCAL per transaction; pooling in session-compatible mode — validated in week 1, see Decision Log).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SEC-3  </w:t>
      </w:r>
      <w:r>
        <w:rPr>
          <w:sz w:val="21"/>
          <w:szCs w:val="21"/>
        </w:rPr>
        <w:t xml:space="preserve">Stateless pass-by-ID workers: only doc_id/user_id transit the queue; per-job cryptographically random temp workspaces, purged after use.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SEC-4  </w:t>
      </w:r>
      <w:r>
        <w:rPr>
          <w:sz w:val="21"/>
          <w:szCs w:val="21"/>
        </w:rPr>
        <w:t xml:space="preserve">Canary documents seeded per user; a scheduled job and CI tests attempt cross-user and cross-document retrieval — any hit blocks the pipeline and alerts.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SEC-5  </w:t>
      </w:r>
      <w:r>
        <w:rPr>
          <w:sz w:val="21"/>
          <w:szCs w:val="21"/>
        </w:rPr>
        <w:t xml:space="preserve">Quote verification doubles as a contamination detector: a quote that fails to match the active version is treated as a potential cross-document leak, not only a hallucination.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SEC-6  </w:t>
      </w:r>
      <w:r>
        <w:rPr>
          <w:sz w:val="21"/>
          <w:szCs w:val="21"/>
        </w:rPr>
        <w:t xml:space="preserve">JWT in HttpOnly / Secure / SameSite=Strict cookies (never localStorage).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SEC-7  </w:t>
      </w:r>
      <w:r>
        <w:rPr>
          <w:sz w:val="21"/>
          <w:szCs w:val="21"/>
        </w:rPr>
        <w:t xml:space="preserve">Encryption: TLS 1.3 in transit; SSE-KMS on the bucket; Transparent Data Encryption on the database.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SEC-8  </w:t>
      </w:r>
      <w:r>
        <w:rPr>
          <w:sz w:val="21"/>
          <w:szCs w:val="21"/>
        </w:rPr>
        <w:t xml:space="preserve">Zero-leak logging: document text, quotes, and findings never appear in application logs.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SEC-9  </w:t>
      </w:r>
      <w:r>
        <w:rPr>
          <w:sz w:val="21"/>
          <w:szCs w:val="21"/>
        </w:rPr>
        <w:t xml:space="preserve">LLM vendor under an enterprise no-training / zero-retention agreement.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SEC-10  </w:t>
      </w:r>
      <w:r>
        <w:rPr>
          <w:sz w:val="21"/>
          <w:szCs w:val="21"/>
        </w:rPr>
        <w:t xml:space="preserve">DPDP Act 2023: itemized bilingual consent at registration; user-initiated deletion honoured with a 24-hour hard-delete SLA covering originals, extracted text, embeddings, findings, and chunk data. Consistency rule: the audit_log is content-free (FR-8) and holds no document content; audit events persist for security accountability with opaque doc_id references that resolve to nothing after deletion, and IP fields are purged per FR-8’s 90-day cap.</w:t>
      </w:r>
    </w:p>
    <w:p>
      <w:pPr>
        <w:pStyle w:val="Heading1"/>
        <w:spacing w:after="180" w:before="340"/>
      </w:pPr>
      <w:r>
        <w:t xml:space="preserve">10. Non-functional requirements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Latency staging: </w:t>
      </w:r>
      <w:r>
        <w:rPr>
          <w:sz w:val="21"/>
          <w:szCs w:val="21"/>
        </w:rPr>
        <w:t xml:space="preserve">upload acknowledged &lt; 2 s; job visible in UI &lt; 5 s; analysis ~2 min per 30 pages until measured; Q&amp;A answers interactive.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Scalability (provisional): </w:t>
      </w:r>
      <w:r>
        <w:rPr>
          <w:sz w:val="21"/>
          <w:szCs w:val="21"/>
        </w:rPr>
        <w:t xml:space="preserve">50 concurrent users and 10 parallel analyses — validated and re-set by the week-10 load test.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Reliability: </w:t>
      </w:r>
      <w:r>
        <w:rPr>
          <w:sz w:val="21"/>
          <w:szCs w:val="21"/>
        </w:rPr>
        <w:t xml:space="preserve">LLM call timeout 180 s; exponential backoff; dead-letter queue for persistent failures; idempotent job handling; user-visible retry; health checks.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Auditability: </w:t>
      </w:r>
      <w:r>
        <w:rPr>
          <w:sz w:val="21"/>
          <w:szCs w:val="21"/>
        </w:rPr>
        <w:t xml:space="preserve">every model call, verification decision, and reviewer action reconstructable from analysis_jobs + audit_log.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CI: </w:t>
      </w:r>
      <w:r>
        <w:rPr>
          <w:sz w:val="21"/>
          <w:szCs w:val="21"/>
        </w:rPr>
        <w:t xml:space="preserve">dependency and security scanning (Bandit, Safety), isolation tests, injection tests, and the evaluation regression gate on every merge; OWASP Top 10 checklist review in the week-10 hardening gate.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Cost note: </w:t>
      </w:r>
      <w:r>
        <w:rPr>
          <w:sz w:val="21"/>
          <w:szCs w:val="21"/>
        </w:rPr>
        <w:t xml:space="preserve">whole-document analysis pays full document tokens per run, and Q&amp;A pays retrieval-sized prompts; per-user quotas (FR-16) bound spend; prompt caching is the first optimisation if cost becomes material.</w:t>
      </w:r>
    </w:p>
    <w:p>
      <w:pPr>
        <w:pStyle w:val="Heading1"/>
        <w:spacing w:after="180" w:before="340"/>
      </w:pPr>
      <w:r>
        <w:t xml:space="preserve">11. Evaluation plan</w:t>
      </w:r>
    </w:p>
    <w:p>
      <w:pPr>
        <w:spacing w:after="160" w:line="300"/>
      </w:pPr>
      <w:r>
        <w:rPr>
          <w:sz w:val="21"/>
          <w:szCs w:val="21"/>
        </w:rPr>
        <w:t xml:space="preserve">A 15–20 contract bench with planted issues (missing clauses, inconsistencies, risky terms) per playbook type, plus at least one non-playbook document (a service agreement) with issues planted across the 12 generic categories, so FR-9a is measured and not merely asserted (v2.4). Each run reports quote-verification rate, precision, recall (with a confusion matrix), latency, and cost. Separate suites: isolation (canary + cross-user attempts), injection (adversarial documents), and load. The first full run sets the numeric targets in Section 3; thereafter the regression gate blocks any release that degrades them. OCR (Tesseract/Textract) remains a stretch goal decided by week 6; if adopted, pages below an OCR confidence threshold are flagged “low-fidelity source — verify manually” so quote verification is not silently matching wrong text against wrong text.</w:t>
      </w:r>
    </w:p>
    <w:p>
      <w:pPr>
        <w:pStyle w:val="Heading1"/>
        <w:spacing w:after="180" w:before="340"/>
      </w:pPr>
      <w:r>
        <w:t xml:space="preserve">12. Milestones (11 weeks) and fallback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00"/>
      </w:tblGrid>
      <w:tr>
        <w:trPr>
          <w:tblHeader/>
        </w:trPr>
        <w:tc>
          <w:tcPr>
            <w:tcW w:type="dxa" w:w="17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Weeks</w:t>
            </w:r>
          </w:p>
        </w:tc>
        <w:tc>
          <w:tcPr>
            <w:tcW w:type="dxa" w:w="73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1–2</w:t>
            </w:r>
          </w:p>
        </w:tc>
        <w:tc>
          <w:tcPr>
            <w:tcW w:type="dxa" w:w="7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Skeleton: auth (cookie JWT) incl. change-password / delete-account cascade, upload → bucket, extraction, versioning (FR-4), schema incl. analysis_jobs/audit_log; RLS spike validated with the connection pooler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  <w:tc>
          <w:tcPr>
            <w:tcW w:type="dxa" w:w="7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Analysis pipeline: block anchors, minimum viable PII gateway BEFORE first LLM integration (AI-7), constrained-decoding call incl. generic clause extraction (FR-9a) in the core analysis prompt, quote verification (exact→fuzzy), findings UI (read-only); synthetic documents only until the gateway is live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5–6</w:t>
            </w:r>
          </w:p>
        </w:tc>
        <w:tc>
          <w:tcPr>
            <w:tcW w:type="dxa" w:w="7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Split-screen review with accept/edit/override/dismiss + reviewer audit columns; presigned viewer; export with disclaimer + scope statement; OCR go/no-go decision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7–8</w:t>
            </w:r>
          </w:p>
        </w:tc>
        <w:tc>
          <w:tcPr>
            <w:tcW w:type="dxa" w:w="7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Q&amp;A chat (pgvector, doc_id+user_id filtered); gateway entity-coverage expansion; entailment second pass (risk-tiered); playbooks for NDA + lease on top of FR-9a; per-user quotas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7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Evaluation bench built and first full run; targets set; canary audit job scheduled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7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Hardening: injection suite, zero-leak logging audit, OWASP Top 10 review, DLQ/backoff verification, load test (sets scalability numbers)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7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Pilot, report, and demo; buffer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>De-scoping ladder, in order: drop export formatting polish → reduce playbooks to NDA only → reduce entailment to inconsistency findings only (quote verification always remains) → drop Q&amp;A chat last. Rationale: Q&amp;A is the project’s stated vector-search requirement; polish and playbook breadth are trims, not amputations. Never de-scoped: verification layer, versioning, isolation tests, disclaimer, review workflow, PII gateway, generic clause extraction (FR-9a).</w:t>
      </w:r>
    </w:p>
    <w:p>
      <w:pPr>
        <w:pStyle w:val="Heading1"/>
        <w:spacing w:after="180" w:before="340"/>
      </w:pPr>
      <w:r>
        <w:t xml:space="preserve">13. Post-internship roadmap</w:t>
      </w:r>
    </w:p>
    <w:p>
      <w:pPr>
        <w:spacing w:after="160" w:line="300"/>
      </w:pPr>
      <w:r>
        <w:rPr>
          <w:sz w:val="21"/>
          <w:szCs w:val="21"/>
        </w:rPr>
        <w:t xml:space="preserve">Retained from the LexiReview commercial vision as future phases: multi-document comparison as a separate, clearly labeled mode; RBAC tiers; jurisdiction-specific playbooks; OCR at scale for scanned archives; SOC 2 programme; lifting the context cap via the documented chunk-metadata RAG path; WebSockets replacing polling if interactivity demands it.</w:t>
      </w:r>
    </w:p>
    <w:p>
      <w:pPr>
        <w:pStyle w:val="Heading1"/>
        <w:spacing w:after="180" w:before="340"/>
      </w:pPr>
      <w:r>
        <w:t xml:space="preserve">14. Risk register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3500"/>
      </w:tblGrid>
      <w:tr>
        <w:trPr>
          <w:tblHeader/>
        </w:trPr>
        <w:tc>
          <w:tcPr>
            <w:tcW w:type="dxa" w:w="29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26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Impact</w:t>
            </w:r>
          </w:p>
        </w:tc>
        <w:tc>
          <w:tcPr>
            <w:tcW w:type="dxa" w:w="35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Hallucinated clauses or citations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Legal liability, sanctions, lost trust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AI-1..AI-6: grounding, abstention, constrained decoding, quote verification, tiered entailment; honest-claims rule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Cross-document / cross-user contamination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Wrong analysis attributed to wrong contract or user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Whole-doc analysis; doc_id+user_id filters; RLS; stateless workers; canary audits; version hashes on findings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Silent version replacement or merged duplicates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Findings about text the user no longer sees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Immutable versions (FR-4); near-duplicates surfaced with a specified method (FR-6); version hash on every finding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Un-pseudonymised data reaching the LLM during development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Privacy breach before launch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AI-7 sequencing precondition; synthetic-documents-only rule; pseudonymised-flag enforcement in the LLM client; minimum-viable-gateway definition keeps the schedule honest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Unauthorized practice of law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Regulatory action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Assistive positioning; persistent disclaimer; mandatory human review; no advice-style output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Confidentiality / DPDP breach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 harm, penalties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Encryption (SEC-7); pseudonymisation (AI-7); zero-retention vendor terms; zero-leak logging; 24 h deletion SLA; content-free audit log with 90-day IP cap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Prompt injection via document text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Manipulated output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Fenced untrusted text; injection eval suite; verification layer catches unsupported claims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 reassurance (false negatives)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Missed issues treated as cleared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AI-12 framing; playbooks flag absence; recall measured on planted issues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Automation bias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Reviewers rubber-stamp AI output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Per-finding accept/edit/dismiss with recorded identity; confidence tiers; acceptance-rate KPI watched in pilot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Extraction / OCR errors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Verified quotes of wrong text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Extraction QA; OCR gated behind confidence flagging; low-fidelity pages marked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or vendor drift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Silent quality regression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Pinned versions; regression gate on every change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Bias / jurisdiction mismatch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Misleading flags (US-centric training vs Indian law)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Playbook-scoped checks; no free-form legal opinions; noted in report limitations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 overrun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Budget exhausted mid-project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Per-user quotas (FR-16); cost logging; caching; whole-doc token cost tracked from run 1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Scope creep in 11 weeks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Nothing finished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Non-goals (Section 4); de-scoping ladder (Section 12)</w:t>
            </w:r>
          </w:p>
        </w:tc>
      </w:tr>
    </w:tbl>
    <w:p>
      <w:pPr>
        <w:pStyle w:val="Heading1"/>
        <w:spacing w:after="180" w:before="340"/>
      </w:pPr>
      <w:r>
        <w:t xml:space="preserve">15. Decision log</w:t>
      </w:r>
    </w:p>
    <w:p>
      <w:pPr>
        <w:spacing w:after="160" w:line="300"/>
      </w:pPr>
      <w:r>
        <w:rPr>
          <w:sz w:val="21"/>
          <w:szCs w:val="21"/>
        </w:rPr>
        <w:t xml:space="preserve">Every materially contested point across the three designs, with its resolution: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00"/>
      </w:tblGrid>
      <w:tr>
        <w:trPr>
          <w:tblHeader/>
        </w:trPr>
        <w:tc>
          <w:tcPr>
            <w:tcW w:type="dxa" w:w="31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59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Resolution and rationale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Vector DB for core analysis?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No. Whole document in context; retrieval confined to Q&amp;A. Chunked retrieval can miss one of two conflicting clauses; analysis integrity must not depend on retrieval quality. Crossover to RAG documented at 100+ pages.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Quote matching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Hybrid: exact substring first, high-threshold fuzzy fallback. Exact-only is brittle to PDF whitespace/hyphen artifacts; fuzzy-only is looser than necessary.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Entailment scope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Risk-tiered (High/Medium + inconsistencies), not all findings — captures the value at roughly half the added LLM cost; revisit after cost data from run 1.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PII handling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Pseudonymise, don’t redact: naive redaction deletes the names and amounts inconsistency detection must compare. Hard identifiers always stripped; map stays in the worker. v2.3: gateway sequenced before first LLM integration. v2.4: minimum viable gateway defined so the precondition survives schedule pressure.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Isolation enforcement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Query layer + PostgreSQL RLS defence-in-depth + canary detection. Prevention (RLS) and detection (canaries, quote-mismatch alarms) are both required. RLS/pooler interaction validated in week 1.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Metrics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Formulas now, numbers after measurement. Pre-measurement promises (99.5% groundedness, 92% recall, 60 s) rejected from all sources.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Hallucination claims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“Reduce and detect, never eliminate.” “Entirely block hallucinations” language rejected — schema-valid output can still be factually wrong.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Versioning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Adopted from LexiReview into the build now (not deferred): silent re-upload replacement violates single-document integrity today.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Playbooks / missing clauses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Adopted, scoped to NDA + lease; the playbook and the evaluation checklist are the same artifact. v2.3: playbooks sit on top of generic 12-category extraction (FR-9a) applying to every document type.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Testing generic extraction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v2.4: the bench gains a non-playbook service agreement with planted generic-category issues — FR-9a is measured, not merely asserted.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log vs deletion SLA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v2.3: audit_log is append-only AND content-free; hard-delete covers all document data; opaque references persist. v2.4: IP fields capped at 90 days and nulled on account deletion.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Near-duplicate detection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v2.3: SHA-256 for exact; normalized-text similarity (rapidfuzz/SimHash, ~0.90, finalised week 3) for near; surfaced, never merged.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De-scoping order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v2.3: reordered to protect Q&amp;A (the stated vector-search requirement): polish → playbook breadth → entailment tiering → Q&amp;A last.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RBAC tiers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Deferred — scope-heavy for one intern; single role in v1.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OCR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Stretch goal, go/no-go at week 6; confidence flagging is a precondition of adoption.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WebSockets vs polling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Polling for v1; WebSockets noted as an option.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Injection classifier on upload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hardening; fencing + verification already catch the consequences.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Two PRDs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Retired. v2.4.1 is the single source of truth; the commercial vision survives as the roadmap chapter; “LexiReview” retained as the product name.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FR-9a definition regression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v2.4.1: the definition text was dropped from Section 7.2 in the v2.4 merge (referenced everywhere, defined nowhere) — the same clause lost the same way as in v2.2. Restored, layering sentence in FR-10 restored, and extraction moved to the weeks 3–4 core prompt so a weeks 7–8 slip cannot take it down. Process lesson recorded: every cross-referenced requirement ID must resolve to a definition before sign-off.</w:t>
            </w:r>
          </w:p>
        </w:tc>
      </w:tr>
    </w:tbl>
    <w:p>
      <w:pPr>
        <w:pStyle w:val="Heading1"/>
        <w:spacing w:after="180" w:before="340"/>
      </w:pPr>
      <w:r>
        <w:t xml:space="preserve">16. Glossary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6200"/>
            <w:shd w:fill="EFED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Grounding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Restricting the model to the supplied source text only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Abstention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Answering “not found” instead of guessing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[BLOCK_n] anchors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Injected paragraph indices making citations mechanically checkable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Constrained decoding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API-level enforcement of the output JSON schema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Exact→fuzzy verification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Quote checked as exact substring, then by high-threshold fuzzy match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Entailment pass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Second check: does the cited block actually support the claim?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RLS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Row-Level Security — the database refuses rows not owned by the session user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pgvector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extension storing embeddings for the document Q&amp;A feature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Pseudonymisation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Replacing personal identifiers with consistent tokens (PERSON_1) rather than deleting them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Canary document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Seeded fake document whose appearance anywhere else proves an isolation breach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 hash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SHA-256 fingerprint identifying the exact document version a finding came from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DLQ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Dead-letter queue holding jobs that failed all retries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Presigned URL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Time-limited link to a private object-store file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HITL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Human-in-the-loop — a person reviews and owns final decisions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DPDP Act 2023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India’s Digital Personal Data Protection Act, 2023</w:t>
            </w:r>
          </w:p>
        </w:tc>
      </w:tr>
    </w:tbl>
    <w:p>
      <w:pPr>
        <w:pStyle w:val="Heading1"/>
        <w:spacing w:after="180" w:before="340"/>
      </w:pPr>
      <w:r>
        <w:t xml:space="preserve">17. Assumptions and open questions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Assumes English-language contracts under Indian law context for the pilot bench; bilingual consent text required by DPDP is UI copy, not analysis scope.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Open: exact fuzzy-match threshold (proposed ≥95 token-set ratio) — finalise against extraction artifacts in week 3.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Open: LLM provider selection under a zero-retention agreement and context-window pricing — decide by week 2.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Open: does the pilot need free-form Q&amp;A as a user feature, or is report mode sufficient? This question concerns pilot user need only — Q&amp;A remains last on the de-scoping ladder because it is the project’s stated vector-search requirement (v2.4).</w:t>
      </w:r>
    </w:p>
    <w:p>
      <w:pPr>
        <w:spacing w:before="300"/>
      </w:pPr>
      <w:r>
        <w:rPr>
          <w:i/>
          <w:iCs/>
          <w:color w:val="555555"/>
          <w:sz w:val="19"/>
          <w:szCs w:val="19"/>
        </w:rPr>
        <w:t xml:space="preserve">AI-generated analyses produced by this system are drafts, not legal advice, and require review by a qualified lawyer. This document is the signed-off final build document. It consolidates and supersedes PRD v2.4, v2.3, v2.2, v2.1, and the LexiReview v1.0 draft.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40"/>
    </w:pPr>
    <w:rPr>
      <w:rFonts w:ascii="Calibri" w:cs="Calibri" w:eastAsia="Calibri" w:hAnsi="Calibri"/>
      <w:b/>
      <w:bCs/>
      <w:color w:val="1F305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33415C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2026-07-09T11:48:26.563Z</dcterms:created>
  <dcterms:modified xsi:type="dcterms:W3CDTF">2026-07-09T11:48:26.579Z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