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Restricted to CXO Office, HR Heads, and Finance Controllers</w:t>
      </w:r>
    </w:p>
    <w:p>
      <w:pPr>
        <w:pStyle w:val="Heading4"/>
        <w:bidi w:val="0"/>
        <w:jc w:val="start"/>
        <w:rPr/>
      </w:pPr>
      <w:r>
        <w:rPr/>
        <w:t>1. Eligibility</w:t>
      </w:r>
    </w:p>
    <w:p>
      <w:pPr>
        <w:pStyle w:val="BodyText"/>
        <w:bidi w:val="0"/>
        <w:jc w:val="start"/>
        <w:rPr/>
      </w:pPr>
      <w:r>
        <w:rPr/>
        <w:t>This policy applies to CXO-level employees (CEO, CFO, COO, CTO) for official business travel requirements.</w:t>
      </w:r>
    </w:p>
    <w:p>
      <w:pPr>
        <w:pStyle w:val="Heading4"/>
        <w:bidi w:val="0"/>
        <w:jc w:val="start"/>
        <w:rPr/>
      </w:pPr>
      <w:r>
        <w:rPr/>
        <w:t>2. Allowances and Limits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Maximum monthly reimbursement: </w:t>
      </w:r>
      <w:r>
        <w:rPr>
          <w:rStyle w:val="Strong"/>
        </w:rPr>
        <w:t>₹80,000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Fuel expenses reimbursed separately upon receipt submission.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Chauffeur services optional and covered only with prior HR approval.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Personal use of company-funded rentals is not permitted.</w:t>
      </w:r>
    </w:p>
    <w:p>
      <w:pPr>
        <w:pStyle w:val="Heading4"/>
        <w:bidi w:val="0"/>
        <w:jc w:val="start"/>
        <w:rPr/>
      </w:pPr>
      <w:r>
        <w:rPr/>
        <w:t>3. Billing and Reimbursement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All bills must be submitted through the </w:t>
      </w:r>
      <w:r>
        <w:rPr>
          <w:rStyle w:val="Strong"/>
        </w:rPr>
        <w:t>Expense Management Portal</w:t>
      </w:r>
      <w:r>
        <w:rPr/>
        <w:t xml:space="preserve"> within 10 days after month-end.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Approvals auto-routed to Finance Controller via Workday workflow.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Delayed submissions beyond 30 days will not be reimbursed without CFO approval.</w:t>
      </w:r>
    </w:p>
    <w:p>
      <w:pPr>
        <w:pStyle w:val="Heading4"/>
        <w:bidi w:val="0"/>
        <w:jc w:val="start"/>
        <w:rPr/>
      </w:pPr>
      <w:r>
        <w:rPr/>
        <w:t>4. Exceptions</w:t>
      </w:r>
    </w:p>
    <w:p>
      <w:pPr>
        <w:pStyle w:val="BodyText"/>
        <w:bidi w:val="0"/>
        <w:jc w:val="start"/>
        <w:rPr/>
      </w:pPr>
      <w:r>
        <w:rPr/>
        <w:t xml:space="preserve">Any deviation from this policy requires written approval from the </w:t>
      </w:r>
      <w:r>
        <w:rPr>
          <w:rStyle w:val="Strong"/>
        </w:rPr>
        <w:t>Managing Director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LibreOffice/25.8.1.1$MacOSX_AARCH64 LibreOffice_project/54047653041915e595ad4e45cccea684809c77b5</Application>
  <AppVersion>15.0000</AppVersion>
  <Pages>1</Pages>
  <Words>119</Words>
  <Characters>700</Characters>
  <CharactersWithSpaces>798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2025-10-28T22:23:40Z</dcterms:created>
  <dc:creator/>
  <dc:description/>
  <dc:language>en-IN</dc:language>
  <cp:lastModifiedBy/>
  <dcterms:modified xsi:type="dcterms:W3CDTF">2025-10-28T22:23:53Z</dcterms:modified>
  <cp:revision>1</cp:revision>
  <dc:subject/>
  <dc:title/>
</cp:coreProperties>
</file>