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Confidential – For HR Heads, Finance Directors, and Executive Leadership only</w:t>
      </w:r>
    </w:p>
    <w:p>
      <w:pPr>
        <w:pStyle w:val="Heading4"/>
        <w:bidi w:val="0"/>
        <w:jc w:val="start"/>
        <w:rPr/>
      </w:pPr>
      <w:r>
        <w:rPr/>
        <w:t>1. Salary Structure</w:t>
      </w:r>
    </w:p>
    <w:p>
      <w:pPr>
        <w:pStyle w:val="BodyText"/>
        <w:bidi w:val="0"/>
        <w:jc w:val="start"/>
        <w:rPr/>
      </w:pPr>
      <w:r>
        <w:rPr/>
        <w:t>Leadership base pay is determined by market benchmarks, internal parity, and individual performance ratings.</w:t>
        <w:br/>
        <w:t>Executive compensation bands are reviewed annually in alignment with inflation and industry movement.</w:t>
      </w:r>
    </w:p>
    <w:p>
      <w:pPr>
        <w:pStyle w:val="Heading4"/>
        <w:bidi w:val="0"/>
        <w:jc w:val="start"/>
        <w:rPr/>
      </w:pPr>
      <w:r>
        <w:rPr/>
        <w:t>2. Variable Pay</w:t>
      </w:r>
    </w:p>
    <w:p>
      <w:pPr>
        <w:pStyle w:val="BodyText"/>
        <w:bidi w:val="0"/>
        <w:jc w:val="start"/>
        <w:rPr/>
      </w:pPr>
      <w:r>
        <w:rPr/>
        <w:t xml:space="preserve">Annual bonus ranges from </w:t>
      </w:r>
      <w:r>
        <w:rPr>
          <w:rStyle w:val="Strong"/>
        </w:rPr>
        <w:t>25–50% of base salary</w:t>
      </w:r>
      <w:r>
        <w:rPr/>
        <w:t>, linked to company EBITDA and leadership KPIs such as revenue growth, margin improvement, and talent retention.</w:t>
        <w:br/>
        <w:t>Bonuses are approved by the Compensation Committee and paid after audited financial closure.</w:t>
      </w:r>
    </w:p>
    <w:p>
      <w:pPr>
        <w:pStyle w:val="Heading4"/>
        <w:bidi w:val="0"/>
        <w:jc w:val="start"/>
        <w:rPr/>
      </w:pPr>
      <w:r>
        <w:rPr/>
        <w:t>3. Long-Term Incentives</w:t>
      </w:r>
    </w:p>
    <w:p>
      <w:pPr>
        <w:pStyle w:val="BodyText"/>
        <w:bidi w:val="0"/>
        <w:jc w:val="start"/>
        <w:rPr/>
      </w:pPr>
      <w:r>
        <w:rPr/>
        <w:t xml:space="preserve">Eligible leaders participate in the </w:t>
      </w:r>
      <w:r>
        <w:rPr>
          <w:rStyle w:val="Strong"/>
        </w:rPr>
        <w:t>Restricted Stock Unit (RSU)</w:t>
      </w:r>
      <w:r>
        <w:rPr/>
        <w:t xml:space="preserve"> plan.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Vesting period: 3 years (33% each year).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metrics: company valuation growth and return on equity.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Unvested RSUs are forfeited upon separation unless approved by the CEO.</w:t>
      </w:r>
    </w:p>
    <w:p>
      <w:pPr>
        <w:pStyle w:val="Heading4"/>
        <w:bidi w:val="0"/>
        <w:jc w:val="start"/>
        <w:rPr/>
      </w:pPr>
      <w:r>
        <w:rPr/>
        <w:t>4. Confidentiality</w:t>
      </w:r>
    </w:p>
    <w:p>
      <w:pPr>
        <w:pStyle w:val="BodyText"/>
        <w:bidi w:val="0"/>
        <w:jc w:val="start"/>
        <w:rPr/>
      </w:pPr>
      <w:r>
        <w:rPr/>
        <w:t>Sharing or discussing compensation details beyond authorized personnel is a disciplinary violation.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LibreOffice/25.8.1.1$MacOSX_AARCH64 LibreOffice_project/54047653041915e595ad4e45cccea684809c77b5</Application>
  <AppVersion>15.0000</AppVersion>
  <Pages>1</Pages>
  <Words>138</Words>
  <Characters>839</Characters>
  <CharactersWithSpaces>962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2025-10-28T22:21:41Z</dcterms:created>
  <dc:creator/>
  <dc:description/>
  <dc:language>en-IN</dc:language>
  <cp:lastModifiedBy/>
  <dcterms:modified xsi:type="dcterms:W3CDTF">2025-10-28T22:22:14Z</dcterms:modified>
  <cp:revision>1</cp:revision>
  <dc:subject/>
  <dc:title/>
</cp:coreProperties>
</file>