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Reimbursement Policy</w:t>
      </w:r>
    </w:p>
    <w:p>
      <w:r>
        <w:br/>
        <w:t>EXAMPLECOMPANY REIMBURSEMENT POLICY</w:t>
        <w:br/>
        <w:br/>
        <w:t>1. OBJECTIVE</w:t>
        <w:br/>
        <w:t>This policy governs reimbursement for business-related expenses incurred by employees of ExampleCompany.</w:t>
        <w:br/>
        <w:br/>
        <w:t>2. ELIGIBLE EXPENSES</w:t>
        <w:br/>
        <w:t>- Travel expenses (flight, train, cab, fuel)</w:t>
        <w:br/>
        <w:t>- Accommodation during official travel</w:t>
        <w:br/>
        <w:t>- Meals during business trips</w:t>
        <w:br/>
        <w:t>- Client entertainment expenses (with receipts)</w:t>
        <w:br/>
        <w:t>- Office supplies and tools essential for work</w:t>
        <w:br/>
        <w:br/>
        <w:t>Example: If an employee books a flight for a client meeting, the ticket cost and meals during the trip are reimbursable.</w:t>
        <w:br/>
        <w:br/>
        <w:t>3. PROCEDURE</w:t>
        <w:br/>
        <w:t>a) Submit an online reimbursement claim through the HR portal within 15 days of incurring the expense.</w:t>
        <w:br/>
        <w:t>b) Attach valid receipts/invoices for all claims.</w:t>
        <w:br/>
        <w:t>c) Manager approval is mandatory for all reimbursements.</w:t>
        <w:br/>
        <w:t>d) The finance team will process approved claims within 10 working days.</w:t>
        <w:br/>
        <w:br/>
        <w:t>4. DO’s AND DON’Ts</w:t>
        <w:br/>
        <w:t>Do: Retain original receipts and provide clear justifications.</w:t>
        <w:br/>
        <w:t>Don’t: Claim personal expenses or alcohol-related costs.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