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73D6" w14:textId="49735392" w:rsidR="006624F3" w:rsidRPr="00F65358" w:rsidRDefault="006624F3" w:rsidP="006624F3">
      <w:pPr>
        <w:spacing w:line="276" w:lineRule="auto"/>
        <w:jc w:val="center"/>
        <w:rPr>
          <w:rFonts w:ascii="Times New Roman" w:hAnsi="Times New Roman" w:cs="Times New Roman"/>
          <w:sz w:val="24"/>
          <w:szCs w:val="24"/>
        </w:rPr>
      </w:pPr>
      <w:r w:rsidRPr="00F65358">
        <w:rPr>
          <w:rFonts w:ascii="Times New Roman" w:hAnsi="Times New Roman" w:cs="Times New Roman"/>
          <w:b/>
          <w:bCs/>
          <w:sz w:val="24"/>
          <w:szCs w:val="24"/>
        </w:rPr>
        <w:t>SIMATS ENGINEERING</w:t>
      </w:r>
    </w:p>
    <w:p w14:paraId="12AB9B82" w14:textId="77777777" w:rsidR="006624F3" w:rsidRPr="00F65358" w:rsidRDefault="006624F3" w:rsidP="006624F3">
      <w:pPr>
        <w:spacing w:line="276" w:lineRule="auto"/>
        <w:jc w:val="center"/>
        <w:rPr>
          <w:rFonts w:ascii="Times New Roman" w:hAnsi="Times New Roman" w:cs="Times New Roman"/>
          <w:sz w:val="24"/>
          <w:szCs w:val="24"/>
        </w:rPr>
      </w:pPr>
      <w:r w:rsidRPr="00F65358">
        <w:rPr>
          <w:rFonts w:ascii="Times New Roman" w:hAnsi="Times New Roman" w:cs="Times New Roman"/>
          <w:b/>
          <w:bCs/>
          <w:sz w:val="24"/>
          <w:szCs w:val="24"/>
        </w:rPr>
        <w:t>ASSESSMENT TOOL 1: Analytical Problem Solving </w:t>
      </w:r>
      <w:r w:rsidRPr="00F65358">
        <w:rPr>
          <w:rFonts w:ascii="Times New Roman" w:hAnsi="Times New Roman" w:cs="Times New Roman"/>
          <w:b/>
          <w:bCs/>
          <w:sz w:val="24"/>
          <w:szCs w:val="24"/>
        </w:rPr>
        <w:br/>
      </w:r>
    </w:p>
    <w:p w14:paraId="3735111C" w14:textId="029109C8" w:rsidR="006624F3" w:rsidRPr="00F65358" w:rsidRDefault="006624F3" w:rsidP="006624F3">
      <w:pPr>
        <w:spacing w:line="276" w:lineRule="auto"/>
        <w:rPr>
          <w:rFonts w:ascii="Times New Roman" w:hAnsi="Times New Roman" w:cs="Times New Roman"/>
          <w:sz w:val="24"/>
          <w:szCs w:val="24"/>
        </w:rPr>
      </w:pPr>
      <w:r w:rsidRPr="00F65358">
        <w:rPr>
          <w:rFonts w:ascii="Times New Roman" w:hAnsi="Times New Roman" w:cs="Times New Roman"/>
          <w:b/>
          <w:bCs/>
          <w:sz w:val="24"/>
          <w:szCs w:val="24"/>
        </w:rPr>
        <w:t xml:space="preserve">COURSE NAME: </w:t>
      </w:r>
      <w:r w:rsidRPr="00F65358">
        <w:rPr>
          <w:rFonts w:ascii="Times New Roman" w:hAnsi="Times New Roman" w:cs="Times New Roman"/>
          <w:sz w:val="24"/>
          <w:szCs w:val="24"/>
        </w:rPr>
        <w:t>Cloud Computing and Big Data Analytics </w:t>
      </w:r>
    </w:p>
    <w:p w14:paraId="451FD456" w14:textId="77777777" w:rsidR="006624F3" w:rsidRPr="00F65358" w:rsidRDefault="006624F3" w:rsidP="006624F3">
      <w:pPr>
        <w:spacing w:line="276" w:lineRule="auto"/>
        <w:rPr>
          <w:rFonts w:ascii="Times New Roman" w:hAnsi="Times New Roman" w:cs="Times New Roman"/>
          <w:sz w:val="24"/>
          <w:szCs w:val="24"/>
        </w:rPr>
      </w:pPr>
    </w:p>
    <w:p w14:paraId="60B6BAF1" w14:textId="5D2E9BF8" w:rsidR="006624F3" w:rsidRPr="00F65358" w:rsidRDefault="006624F3" w:rsidP="006624F3">
      <w:pPr>
        <w:pBdr>
          <w:bottom w:val="single" w:sz="12" w:space="1" w:color="auto"/>
        </w:pBdr>
        <w:spacing w:line="276" w:lineRule="auto"/>
        <w:rPr>
          <w:rFonts w:ascii="Times New Roman" w:hAnsi="Times New Roman" w:cs="Times New Roman"/>
          <w:sz w:val="24"/>
          <w:szCs w:val="24"/>
        </w:rPr>
      </w:pPr>
      <w:r w:rsidRPr="00F65358">
        <w:rPr>
          <w:rFonts w:ascii="Times New Roman" w:hAnsi="Times New Roman" w:cs="Times New Roman"/>
          <w:b/>
          <w:bCs/>
          <w:sz w:val="24"/>
          <w:szCs w:val="24"/>
        </w:rPr>
        <w:t xml:space="preserve">COURSE CODE: </w:t>
      </w:r>
      <w:r w:rsidRPr="00F65358">
        <w:rPr>
          <w:rFonts w:ascii="Times New Roman" w:hAnsi="Times New Roman" w:cs="Times New Roman"/>
          <w:sz w:val="24"/>
          <w:szCs w:val="24"/>
        </w:rPr>
        <w:t>CSA15 </w:t>
      </w:r>
    </w:p>
    <w:p w14:paraId="280687F8" w14:textId="77777777" w:rsidR="006624F3" w:rsidRPr="00F65358" w:rsidRDefault="006624F3" w:rsidP="006624F3">
      <w:pPr>
        <w:pBdr>
          <w:bottom w:val="single" w:sz="12" w:space="1" w:color="auto"/>
        </w:pBdr>
        <w:spacing w:line="276" w:lineRule="auto"/>
        <w:rPr>
          <w:rFonts w:ascii="Times New Roman" w:hAnsi="Times New Roman" w:cs="Times New Roman"/>
          <w:sz w:val="24"/>
          <w:szCs w:val="24"/>
        </w:rPr>
      </w:pPr>
    </w:p>
    <w:p w14:paraId="54BA59E9" w14:textId="77777777" w:rsidR="006624F3" w:rsidRPr="00F65358" w:rsidRDefault="006624F3" w:rsidP="006624F3">
      <w:pPr>
        <w:spacing w:line="276" w:lineRule="auto"/>
        <w:rPr>
          <w:rFonts w:ascii="Times New Roman" w:hAnsi="Times New Roman" w:cs="Times New Roman"/>
          <w:b/>
          <w:bCs/>
          <w:sz w:val="24"/>
          <w:szCs w:val="24"/>
        </w:rPr>
      </w:pPr>
    </w:p>
    <w:p w14:paraId="3AEF5E8A" w14:textId="46D82CAB" w:rsidR="006624F3" w:rsidRPr="00F65358" w:rsidRDefault="006624F3" w:rsidP="006624F3">
      <w:pPr>
        <w:spacing w:line="276" w:lineRule="auto"/>
        <w:rPr>
          <w:rFonts w:ascii="Times New Roman" w:hAnsi="Times New Roman" w:cs="Times New Roman"/>
          <w:sz w:val="24"/>
          <w:szCs w:val="24"/>
        </w:rPr>
      </w:pPr>
      <w:r w:rsidRPr="00F65358">
        <w:rPr>
          <w:rFonts w:ascii="Times New Roman" w:hAnsi="Times New Roman" w:cs="Times New Roman"/>
          <w:b/>
          <w:bCs/>
          <w:sz w:val="24"/>
          <w:szCs w:val="24"/>
        </w:rPr>
        <w:t>COURSE OUTCOME COVERED </w:t>
      </w:r>
      <w:r w:rsidRPr="00F65358">
        <w:rPr>
          <w:rFonts w:ascii="Times New Roman" w:hAnsi="Times New Roman" w:cs="Times New Roman"/>
          <w:b/>
          <w:bCs/>
          <w:sz w:val="24"/>
          <w:szCs w:val="24"/>
        </w:rPr>
        <w:br/>
      </w:r>
    </w:p>
    <w:p w14:paraId="01C0A678" w14:textId="599F0AAD" w:rsidR="006624F3" w:rsidRPr="00F65358" w:rsidRDefault="006624F3" w:rsidP="006624F3">
      <w:pPr>
        <w:spacing w:line="276" w:lineRule="auto"/>
        <w:rPr>
          <w:rFonts w:ascii="Times New Roman" w:hAnsi="Times New Roman" w:cs="Times New Roman"/>
          <w:sz w:val="24"/>
          <w:szCs w:val="24"/>
        </w:rPr>
      </w:pPr>
      <w:r w:rsidRPr="00F65358">
        <w:rPr>
          <w:rFonts w:ascii="Times New Roman" w:hAnsi="Times New Roman" w:cs="Times New Roman"/>
          <w:b/>
          <w:bCs/>
          <w:sz w:val="24"/>
          <w:szCs w:val="24"/>
        </w:rPr>
        <w:t xml:space="preserve">CO2: </w:t>
      </w:r>
      <w:proofErr w:type="spellStart"/>
      <w:r w:rsidRPr="00F65358">
        <w:rPr>
          <w:rFonts w:ascii="Times New Roman" w:hAnsi="Times New Roman" w:cs="Times New Roman"/>
          <w:i/>
          <w:iCs/>
          <w:sz w:val="24"/>
          <w:szCs w:val="24"/>
        </w:rPr>
        <w:t>Analyze</w:t>
      </w:r>
      <w:proofErr w:type="spellEnd"/>
      <w:r w:rsidRPr="00F65358">
        <w:rPr>
          <w:rFonts w:ascii="Times New Roman" w:hAnsi="Times New Roman" w:cs="Times New Roman"/>
          <w:i/>
          <w:iCs/>
          <w:sz w:val="24"/>
          <w:szCs w:val="24"/>
        </w:rPr>
        <w:t xml:space="preserve"> virtualization architectures to identify performance and security issues in cloud computing environments. </w:t>
      </w:r>
      <w:r w:rsidRPr="00F65358">
        <w:rPr>
          <w:rFonts w:ascii="Times New Roman" w:hAnsi="Times New Roman" w:cs="Times New Roman"/>
          <w:sz w:val="24"/>
          <w:szCs w:val="24"/>
        </w:rPr>
        <w:t>(BL3) </w:t>
      </w:r>
    </w:p>
    <w:p w14:paraId="74DA916C" w14:textId="77777777" w:rsidR="006624F3" w:rsidRPr="00F65358" w:rsidRDefault="006624F3" w:rsidP="006624F3">
      <w:pPr>
        <w:spacing w:line="276" w:lineRule="auto"/>
        <w:rPr>
          <w:rFonts w:ascii="Times New Roman" w:hAnsi="Times New Roman" w:cs="Times New Roman"/>
          <w:sz w:val="24"/>
          <w:szCs w:val="24"/>
        </w:rPr>
      </w:pPr>
    </w:p>
    <w:p w14:paraId="417B8FB1" w14:textId="77777777" w:rsidR="006624F3" w:rsidRPr="00F65358" w:rsidRDefault="006624F3" w:rsidP="006624F3">
      <w:pPr>
        <w:spacing w:line="276" w:lineRule="auto"/>
        <w:rPr>
          <w:rFonts w:ascii="Times New Roman" w:hAnsi="Times New Roman" w:cs="Times New Roman"/>
          <w:sz w:val="24"/>
          <w:szCs w:val="24"/>
        </w:rPr>
      </w:pPr>
    </w:p>
    <w:p w14:paraId="4B82597C" w14:textId="77777777" w:rsidR="00327818" w:rsidRPr="00F65358" w:rsidRDefault="006624F3" w:rsidP="006624F3">
      <w:pPr>
        <w:spacing w:line="276" w:lineRule="auto"/>
        <w:rPr>
          <w:rFonts w:ascii="Times New Roman" w:hAnsi="Times New Roman" w:cs="Times New Roman"/>
          <w:sz w:val="24"/>
          <w:szCs w:val="24"/>
        </w:rPr>
      </w:pPr>
      <w:r w:rsidRPr="00F65358">
        <w:rPr>
          <w:rFonts w:ascii="Times New Roman" w:hAnsi="Times New Roman" w:cs="Times New Roman"/>
          <w:sz w:val="24"/>
          <w:szCs w:val="24"/>
        </w:rPr>
        <w:t xml:space="preserve">Dave's Taxonomy: Manipulation (Level 2) </w:t>
      </w:r>
    </w:p>
    <w:p w14:paraId="58B335C3" w14:textId="5B50F2E0" w:rsidR="006624F3" w:rsidRPr="00F65358" w:rsidRDefault="006624F3" w:rsidP="006624F3">
      <w:pPr>
        <w:spacing w:line="276" w:lineRule="auto"/>
        <w:rPr>
          <w:rFonts w:ascii="Times New Roman" w:hAnsi="Times New Roman" w:cs="Times New Roman"/>
          <w:sz w:val="24"/>
          <w:szCs w:val="24"/>
        </w:rPr>
      </w:pPr>
      <w:r w:rsidRPr="00F65358">
        <w:rPr>
          <w:rFonts w:ascii="Times New Roman" w:hAnsi="Times New Roman" w:cs="Times New Roman"/>
          <w:sz w:val="24"/>
          <w:szCs w:val="24"/>
        </w:rPr>
        <w:t>Question Count: 5 </w:t>
      </w:r>
    </w:p>
    <w:p w14:paraId="6BFA519B" w14:textId="1D071DE2" w:rsidR="006624F3" w:rsidRPr="00F65358" w:rsidRDefault="006624F3" w:rsidP="006624F3">
      <w:pPr>
        <w:spacing w:line="276" w:lineRule="auto"/>
        <w:rPr>
          <w:rFonts w:ascii="Times New Roman" w:hAnsi="Times New Roman" w:cs="Times New Roman"/>
          <w:b/>
          <w:bCs/>
          <w:sz w:val="24"/>
          <w:szCs w:val="24"/>
        </w:rPr>
      </w:pPr>
      <w:r w:rsidRPr="00F65358">
        <w:rPr>
          <w:rFonts w:ascii="Times New Roman" w:hAnsi="Times New Roman" w:cs="Times New Roman"/>
          <w:b/>
          <w:bCs/>
          <w:sz w:val="24"/>
          <w:szCs w:val="24"/>
        </w:rPr>
        <w:t>Total Marks: 50 </w:t>
      </w:r>
    </w:p>
    <w:p w14:paraId="14305ED1" w14:textId="71A9EAFB" w:rsidR="006624F3" w:rsidRPr="00F65358" w:rsidRDefault="006624F3" w:rsidP="006624F3">
      <w:pPr>
        <w:spacing w:line="276" w:lineRule="auto"/>
        <w:rPr>
          <w:rFonts w:ascii="Times New Roman" w:hAnsi="Times New Roman" w:cs="Times New Roman"/>
          <w:b/>
          <w:bCs/>
          <w:sz w:val="24"/>
          <w:szCs w:val="24"/>
        </w:rPr>
      </w:pPr>
      <w:r w:rsidRPr="00F65358">
        <w:rPr>
          <w:rFonts w:ascii="Times New Roman" w:hAnsi="Times New Roman" w:cs="Times New Roman"/>
          <w:b/>
          <w:bCs/>
          <w:sz w:val="24"/>
          <w:szCs w:val="24"/>
        </w:rPr>
        <w:t>______________________________________________________________________________</w:t>
      </w:r>
    </w:p>
    <w:p w14:paraId="5C41DE14" w14:textId="77777777" w:rsidR="006624F3" w:rsidRPr="00F65358" w:rsidRDefault="006624F3" w:rsidP="006624F3">
      <w:pPr>
        <w:spacing w:line="276" w:lineRule="auto"/>
        <w:rPr>
          <w:rFonts w:ascii="Times New Roman" w:hAnsi="Times New Roman" w:cs="Times New Roman"/>
          <w:sz w:val="24"/>
          <w:szCs w:val="24"/>
        </w:rPr>
      </w:pPr>
    </w:p>
    <w:p w14:paraId="7C66C352" w14:textId="242B550D" w:rsidR="006624F3" w:rsidRPr="00F65358" w:rsidRDefault="00327818" w:rsidP="006624F3">
      <w:pPr>
        <w:spacing w:line="276" w:lineRule="auto"/>
        <w:rPr>
          <w:rFonts w:ascii="Times New Roman" w:hAnsi="Times New Roman" w:cs="Times New Roman"/>
          <w:sz w:val="24"/>
          <w:szCs w:val="24"/>
        </w:rPr>
      </w:pPr>
      <w:r w:rsidRPr="00F65358">
        <w:rPr>
          <w:rFonts w:ascii="Times New Roman" w:hAnsi="Times New Roman" w:cs="Times New Roman"/>
          <w:b/>
          <w:bCs/>
          <w:sz w:val="24"/>
          <w:szCs w:val="24"/>
        </w:rPr>
        <w:t>Code of Conduct </w:t>
      </w:r>
    </w:p>
    <w:p w14:paraId="6F3E0E3E" w14:textId="77777777" w:rsidR="00327818" w:rsidRPr="00F65358" w:rsidRDefault="00327818" w:rsidP="006624F3">
      <w:pPr>
        <w:spacing w:line="276" w:lineRule="auto"/>
        <w:rPr>
          <w:rFonts w:ascii="Times New Roman" w:hAnsi="Times New Roman" w:cs="Times New Roman"/>
          <w:sz w:val="24"/>
          <w:szCs w:val="24"/>
        </w:rPr>
      </w:pPr>
    </w:p>
    <w:p w14:paraId="5BBC5266" w14:textId="1B386090" w:rsidR="006624F3" w:rsidRPr="00F65358" w:rsidRDefault="006624F3" w:rsidP="006624F3">
      <w:pPr>
        <w:spacing w:line="276" w:lineRule="auto"/>
        <w:rPr>
          <w:rFonts w:ascii="Times New Roman" w:hAnsi="Times New Roman" w:cs="Times New Roman"/>
          <w:sz w:val="24"/>
          <w:szCs w:val="24"/>
        </w:rPr>
      </w:pPr>
      <w:r w:rsidRPr="00F65358">
        <w:rPr>
          <w:rFonts w:ascii="Times New Roman" w:hAnsi="Times New Roman" w:cs="Times New Roman"/>
          <w:sz w:val="24"/>
          <w:szCs w:val="24"/>
        </w:rPr>
        <w:t xml:space="preserve">I </w:t>
      </w:r>
      <w:r w:rsidR="00F65358" w:rsidRPr="00F65358">
        <w:rPr>
          <w:rFonts w:ascii="Times New Roman" w:hAnsi="Times New Roman" w:cs="Times New Roman"/>
          <w:sz w:val="24"/>
          <w:szCs w:val="24"/>
        </w:rPr>
        <w:t>NAMBURI VENKATA SAI SOHITH (192425140)</w:t>
      </w:r>
      <w:r w:rsidRPr="00F65358">
        <w:rPr>
          <w:rFonts w:ascii="Times New Roman" w:hAnsi="Times New Roman" w:cs="Times New Roman"/>
          <w:sz w:val="24"/>
          <w:szCs w:val="24"/>
        </w:rPr>
        <w:t xml:space="preserve"> (Name / Reg No) certify that this submission is my original work and that I have adhered to the guidelines specified for this assessment. </w:t>
      </w:r>
    </w:p>
    <w:p w14:paraId="5DBDFD41" w14:textId="77777777" w:rsidR="006624F3" w:rsidRPr="00F65358" w:rsidRDefault="006624F3" w:rsidP="006624F3">
      <w:pPr>
        <w:spacing w:line="276" w:lineRule="auto"/>
        <w:rPr>
          <w:rFonts w:ascii="Times New Roman" w:hAnsi="Times New Roman" w:cs="Times New Roman"/>
          <w:sz w:val="24"/>
          <w:szCs w:val="24"/>
        </w:rPr>
      </w:pPr>
      <w:r w:rsidRPr="00F65358">
        <w:rPr>
          <w:rFonts w:ascii="Times New Roman" w:hAnsi="Times New Roman" w:cs="Times New Roman"/>
          <w:sz w:val="24"/>
          <w:szCs w:val="24"/>
        </w:rPr>
        <w:t xml:space="preserve">I understand that any violation of academic integrity rules will result in disciplinary action. </w:t>
      </w:r>
    </w:p>
    <w:p w14:paraId="145899EC" w14:textId="77777777" w:rsidR="006624F3" w:rsidRPr="00F65358" w:rsidRDefault="006624F3" w:rsidP="006624F3">
      <w:pPr>
        <w:spacing w:line="276" w:lineRule="auto"/>
        <w:rPr>
          <w:rFonts w:ascii="Times New Roman" w:hAnsi="Times New Roman" w:cs="Times New Roman"/>
          <w:sz w:val="24"/>
          <w:szCs w:val="24"/>
        </w:rPr>
      </w:pPr>
      <w:r w:rsidRPr="00F65358">
        <w:rPr>
          <w:rFonts w:ascii="Times New Roman" w:hAnsi="Times New Roman" w:cs="Times New Roman"/>
          <w:sz w:val="24"/>
          <w:szCs w:val="24"/>
        </w:rPr>
        <w:t xml:space="preserve"> </w:t>
      </w:r>
    </w:p>
    <w:p w14:paraId="62B1FD00" w14:textId="6BF73004" w:rsidR="006624F3" w:rsidRPr="00F65358" w:rsidRDefault="006624F3" w:rsidP="006624F3">
      <w:pPr>
        <w:spacing w:line="276" w:lineRule="auto"/>
        <w:rPr>
          <w:rFonts w:ascii="Times New Roman" w:hAnsi="Times New Roman" w:cs="Times New Roman"/>
          <w:sz w:val="24"/>
          <w:szCs w:val="24"/>
        </w:rPr>
      </w:pPr>
      <w:r w:rsidRPr="00F65358">
        <w:rPr>
          <w:rFonts w:ascii="Times New Roman" w:hAnsi="Times New Roman" w:cs="Times New Roman"/>
          <w:sz w:val="24"/>
          <w:szCs w:val="24"/>
        </w:rPr>
        <w:t xml:space="preserve">Signature of the student: </w:t>
      </w:r>
      <w:r w:rsidR="00F65358" w:rsidRPr="00F65358">
        <w:rPr>
          <w:rFonts w:ascii="Times New Roman" w:hAnsi="Times New Roman" w:cs="Times New Roman"/>
          <w:sz w:val="24"/>
          <w:szCs w:val="24"/>
        </w:rPr>
        <w:t>N. SOHITH</w:t>
      </w:r>
    </w:p>
    <w:p w14:paraId="2CECCF48" w14:textId="77777777" w:rsidR="00C17EAC" w:rsidRPr="00F65358" w:rsidRDefault="00000000">
      <w:pPr>
        <w:rPr>
          <w:rFonts w:ascii="Times New Roman" w:hAnsi="Times New Roman" w:cs="Times New Roman"/>
        </w:rPr>
      </w:pPr>
      <w:r w:rsidRPr="00F65358">
        <w:rPr>
          <w:rFonts w:ascii="Times New Roman" w:hAnsi="Times New Roman" w:cs="Times New Roman"/>
        </w:rPr>
        <w:br w:type="page"/>
      </w:r>
    </w:p>
    <w:p w14:paraId="13D8C0E5" w14:textId="77777777" w:rsidR="00C17EAC" w:rsidRPr="00F65358" w:rsidRDefault="00000000">
      <w:pPr>
        <w:pStyle w:val="Heading1"/>
        <w:pBdr>
          <w:bottom w:val="single" w:sz="8" w:space="4" w:color="2E5395"/>
        </w:pBdr>
        <w:spacing w:before="100" w:after="200"/>
        <w:rPr>
          <w:rFonts w:ascii="Times New Roman" w:hAnsi="Times New Roman" w:cs="Times New Roman"/>
        </w:rPr>
      </w:pPr>
      <w:r w:rsidRPr="00F65358">
        <w:rPr>
          <w:rFonts w:ascii="Times New Roman" w:hAnsi="Times New Roman" w:cs="Times New Roman"/>
          <w:b/>
          <w:bCs/>
          <w:color w:val="2E5395"/>
          <w:sz w:val="30"/>
          <w:szCs w:val="30"/>
        </w:rPr>
        <w:lastRenderedPageBreak/>
        <w:t xml:space="preserve">Q1. Type-1 vs Type-2 Hypervisors for a Mission-Critical Cloud </w:t>
      </w:r>
      <w:proofErr w:type="spellStart"/>
      <w:r w:rsidRPr="00F65358">
        <w:rPr>
          <w:rFonts w:ascii="Times New Roman" w:hAnsi="Times New Roman" w:cs="Times New Roman"/>
          <w:b/>
          <w:bCs/>
          <w:color w:val="2E5395"/>
          <w:sz w:val="30"/>
          <w:szCs w:val="30"/>
        </w:rPr>
        <w:t>Datacenter</w:t>
      </w:r>
      <w:proofErr w:type="spellEnd"/>
    </w:p>
    <w:p w14:paraId="7D6CCC75"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Introduction</w:t>
      </w:r>
    </w:p>
    <w:p w14:paraId="51EC9858"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A hypervisor is the virtualization layer that abstracts physical hardware and allows multiple virtual machines (VMs) to run concurrently on a single host. Hypervisors are classified into two categories based on where they sit relative to the physical hardware: Type-1 (bare-metal) hypervisors run directly on hardware, while Type-2 (hosted) hypervisors run as an application on top of a conventional host operating system. For a cloud </w:t>
      </w:r>
      <w:proofErr w:type="spellStart"/>
      <w:r w:rsidRPr="00F65358">
        <w:rPr>
          <w:rFonts w:ascii="Times New Roman" w:hAnsi="Times New Roman" w:cs="Times New Roman"/>
        </w:rPr>
        <w:t>datacenter</w:t>
      </w:r>
      <w:proofErr w:type="spellEnd"/>
      <w:r w:rsidRPr="00F65358">
        <w:rPr>
          <w:rFonts w:ascii="Times New Roman" w:hAnsi="Times New Roman" w:cs="Times New Roman"/>
        </w:rPr>
        <w:t xml:space="preserve"> hosting mission-critical applications — banking systems, healthcare records, government portals, or large-scale SaaS platforms — the choice of hypervisor architecture directly determines how well the infrastructure can meet stringent requirements for uptime, throughput, and data protection.</w:t>
      </w:r>
    </w:p>
    <w:p w14:paraId="7C9D3AE9"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Architectural Difference</w:t>
      </w:r>
    </w:p>
    <w:p w14:paraId="36E9FFC5"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Type-1 hypervisors, such as VMware </w:t>
      </w:r>
      <w:proofErr w:type="spellStart"/>
      <w:r w:rsidRPr="00F65358">
        <w:rPr>
          <w:rFonts w:ascii="Times New Roman" w:hAnsi="Times New Roman" w:cs="Times New Roman"/>
        </w:rPr>
        <w:t>ESXi</w:t>
      </w:r>
      <w:proofErr w:type="spellEnd"/>
      <w:r w:rsidRPr="00F65358">
        <w:rPr>
          <w:rFonts w:ascii="Times New Roman" w:hAnsi="Times New Roman" w:cs="Times New Roman"/>
        </w:rPr>
        <w:t xml:space="preserve">, Microsoft Hyper-V, KVM, and Citrix </w:t>
      </w:r>
      <w:proofErr w:type="spellStart"/>
      <w:r w:rsidRPr="00F65358">
        <w:rPr>
          <w:rFonts w:ascii="Times New Roman" w:hAnsi="Times New Roman" w:cs="Times New Roman"/>
        </w:rPr>
        <w:t>XenServer</w:t>
      </w:r>
      <w:proofErr w:type="spellEnd"/>
      <w:r w:rsidRPr="00F65358">
        <w:rPr>
          <w:rFonts w:ascii="Times New Roman" w:hAnsi="Times New Roman" w:cs="Times New Roman"/>
        </w:rPr>
        <w:t>, install directly onto the physical server and interact with hardware resources natively. There is no intermediary host OS; the hypervisor itself contains the minimal kernel functions required to schedule CPU, allocate memory, and manage I/O for guest VMs. Type-2 hypervisors, such as VMware Workstation, Oracle VirtualBox, and Parallels Desktop, run as a process within a general-purpose operating system such as Windows or Linux. Every hardware request from a guest VM must pass through the host OS's own kernel before reaching the physical device, adding an extra software layer between the guest and the hardware.</w:t>
      </w:r>
    </w:p>
    <w:p w14:paraId="4A05FD9C"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Performance Analysis</w:t>
      </w:r>
    </w:p>
    <w:p w14:paraId="62DF29BA"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Because Type-1 hypervisors have direct access to CPU, memory, and I/O devices, they achieve near-native performance with minimal virtualization overhead. Hardware-assisted virtualization extensions (Intel VT-x, AMD-V) are exploited efficiently, and features such as VM-Exit optimization, SR-IOV for network cards, and direct storage pass-through further reduce latency. This makes Type-1 hypervisors suitable for workloads with strict latency and throughput requirements, such as high-frequency trading platforms or real-time patient-monitoring systems. Type-2 hypervisors, in contrast, must share host OS resources with other applications and route every I/O call through the host kernel's device drivers. This double layer of scheduling (host OS scheduler plus hypervisor scheduler) introduces measurable CPU and I/O overhead, typically resulting in lower throughput and higher jitter, which is unacceptable for production-grade, latency-sensitive services.</w:t>
      </w:r>
    </w:p>
    <w:p w14:paraId="2650BF88"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Security Analysis</w:t>
      </w:r>
    </w:p>
    <w:p w14:paraId="02D07AA9"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Type-1 hypervisors present a smaller attack surface because they do not carry the weight of a full general-purpose operating system with its many services, drivers, and user-facing applications. Their minimal codebase reduces the number of exploitable vulnerabilities and allows vendors to harden and patch the hypervisor kernel independently of any host OS. Strong isolation between VMs (enforced through hardware-assisted memory and CPU partitioning) limits the blast radius of a compromised guest. Type-2 hypervisors inherit every vulnerability present in the underlying host OS — if the host OS is compromised </w:t>
      </w:r>
      <w:r w:rsidRPr="00F65358">
        <w:rPr>
          <w:rFonts w:ascii="Times New Roman" w:hAnsi="Times New Roman" w:cs="Times New Roman"/>
        </w:rPr>
        <w:lastRenderedPageBreak/>
        <w:t>(through malware, a misconfigured service, or an unpatched driver), every VM running above it is at risk. This makes Type-1 architectures the standard choice for regulated industries such as finance and healthcare, where compliance frameworks (PCI-DSS, HIPAA) mandate strict workload isolation.</w:t>
      </w:r>
    </w:p>
    <w:p w14:paraId="12FE45FE"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Manageability Analysis</w:t>
      </w:r>
    </w:p>
    <w:p w14:paraId="3FCFD547"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Type-1 hypervisors are designed for centralized, large-scale management through platforms such as vCenter, System </w:t>
      </w:r>
      <w:proofErr w:type="spellStart"/>
      <w:r w:rsidRPr="00F65358">
        <w:rPr>
          <w:rFonts w:ascii="Times New Roman" w:hAnsi="Times New Roman" w:cs="Times New Roman"/>
        </w:rPr>
        <w:t>Center</w:t>
      </w:r>
      <w:proofErr w:type="spellEnd"/>
      <w:r w:rsidRPr="00F65358">
        <w:rPr>
          <w:rFonts w:ascii="Times New Roman" w:hAnsi="Times New Roman" w:cs="Times New Roman"/>
        </w:rPr>
        <w:t xml:space="preserve"> Virtual Machine Manager, or </w:t>
      </w:r>
      <w:proofErr w:type="spellStart"/>
      <w:r w:rsidRPr="00F65358">
        <w:rPr>
          <w:rFonts w:ascii="Times New Roman" w:hAnsi="Times New Roman" w:cs="Times New Roman"/>
        </w:rPr>
        <w:t>oVirt</w:t>
      </w:r>
      <w:proofErr w:type="spellEnd"/>
      <w:r w:rsidRPr="00F65358">
        <w:rPr>
          <w:rFonts w:ascii="Times New Roman" w:hAnsi="Times New Roman" w:cs="Times New Roman"/>
        </w:rPr>
        <w:t>. They support live migration (</w:t>
      </w:r>
      <w:proofErr w:type="spellStart"/>
      <w:r w:rsidRPr="00F65358">
        <w:rPr>
          <w:rFonts w:ascii="Times New Roman" w:hAnsi="Times New Roman" w:cs="Times New Roman"/>
        </w:rPr>
        <w:t>vMotion</w:t>
      </w:r>
      <w:proofErr w:type="spellEnd"/>
      <w:r w:rsidRPr="00F65358">
        <w:rPr>
          <w:rFonts w:ascii="Times New Roman" w:hAnsi="Times New Roman" w:cs="Times New Roman"/>
        </w:rPr>
        <w:t xml:space="preserve">/Live Migration), automated failover, resource pooling, and centralized policy enforcement across hundreds or thousands of hosts — capabilities essential for </w:t>
      </w:r>
      <w:proofErr w:type="spellStart"/>
      <w:r w:rsidRPr="00F65358">
        <w:rPr>
          <w:rFonts w:ascii="Times New Roman" w:hAnsi="Times New Roman" w:cs="Times New Roman"/>
        </w:rPr>
        <w:t>datacenter</w:t>
      </w:r>
      <w:proofErr w:type="spellEnd"/>
      <w:r w:rsidRPr="00F65358">
        <w:rPr>
          <w:rFonts w:ascii="Times New Roman" w:hAnsi="Times New Roman" w:cs="Times New Roman"/>
        </w:rPr>
        <w:t xml:space="preserve">-scale operations. Type-2 hypervisors are typically managed on a per-machine basis and lack the mature clustering, high-availability, and orchestration tooling that enterprise </w:t>
      </w:r>
      <w:proofErr w:type="spellStart"/>
      <w:r w:rsidRPr="00F65358">
        <w:rPr>
          <w:rFonts w:ascii="Times New Roman" w:hAnsi="Times New Roman" w:cs="Times New Roman"/>
        </w:rPr>
        <w:t>datacenters</w:t>
      </w:r>
      <w:proofErr w:type="spellEnd"/>
      <w:r w:rsidRPr="00F65358">
        <w:rPr>
          <w:rFonts w:ascii="Times New Roman" w:hAnsi="Times New Roman" w:cs="Times New Roman"/>
        </w:rPr>
        <w:t xml:space="preserve"> require. They are better suited to developer sandboxes, software testing, and personal desktop virtualization than to production fleets.</w:t>
      </w:r>
    </w:p>
    <w:p w14:paraId="2335D186"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Justification and Recommendation</w:t>
      </w:r>
    </w:p>
    <w:p w14:paraId="62B3B527"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For a cloud </w:t>
      </w:r>
      <w:proofErr w:type="spellStart"/>
      <w:r w:rsidRPr="00F65358">
        <w:rPr>
          <w:rFonts w:ascii="Times New Roman" w:hAnsi="Times New Roman" w:cs="Times New Roman"/>
        </w:rPr>
        <w:t>datacenter</w:t>
      </w:r>
      <w:proofErr w:type="spellEnd"/>
      <w:r w:rsidRPr="00F65358">
        <w:rPr>
          <w:rFonts w:ascii="Times New Roman" w:hAnsi="Times New Roman" w:cs="Times New Roman"/>
        </w:rPr>
        <w:t xml:space="preserve"> hosting mission-critical applications, the Type-1 (bare-metal) hypervisor is the clear and justified choice. Its direct hardware access delivers the low-latency, high-throughput performance mission-critical workloads demand; its minimal codebase and hardware-enforced isolation provide the strong security posture required for multi-tenant, regulated environments; and its mature ecosystem of centralized management, live migration, and high-availability tooling gives operators the manageability needed to run large fleets reliably. Type-2 hypervisors remain valuable for development, testing, and training environments, but they are not appropriate as the primary virtualization layer for production, mission-critical cloud infrastructure.</w:t>
      </w:r>
    </w:p>
    <w:p w14:paraId="23399135" w14:textId="77777777" w:rsidR="00C17EAC" w:rsidRPr="00F65358" w:rsidRDefault="00000000">
      <w:pPr>
        <w:rPr>
          <w:rFonts w:ascii="Times New Roman" w:hAnsi="Times New Roman" w:cs="Times New Roman"/>
        </w:rPr>
      </w:pPr>
      <w:r w:rsidRPr="00F65358">
        <w:rPr>
          <w:rFonts w:ascii="Times New Roman" w:hAnsi="Times New Roman" w:cs="Times New Roman"/>
        </w:rPr>
        <w:br w:type="page"/>
      </w:r>
    </w:p>
    <w:p w14:paraId="21F6B173" w14:textId="10025C2D" w:rsidR="006624F3" w:rsidRPr="00F65358" w:rsidRDefault="00000000">
      <w:pPr>
        <w:pStyle w:val="Heading1"/>
        <w:pBdr>
          <w:bottom w:val="single" w:sz="8" w:space="4" w:color="2E5395"/>
        </w:pBdr>
        <w:spacing w:before="100" w:after="200"/>
        <w:rPr>
          <w:rFonts w:ascii="Times New Roman" w:hAnsi="Times New Roman" w:cs="Times New Roman"/>
          <w:color w:val="2E5395"/>
          <w:sz w:val="30"/>
          <w:szCs w:val="30"/>
        </w:rPr>
      </w:pPr>
      <w:r w:rsidRPr="00F65358">
        <w:rPr>
          <w:rFonts w:ascii="Times New Roman" w:hAnsi="Times New Roman" w:cs="Times New Roman"/>
          <w:b/>
          <w:bCs/>
          <w:color w:val="2E5395"/>
          <w:sz w:val="30"/>
          <w:szCs w:val="30"/>
        </w:rPr>
        <w:lastRenderedPageBreak/>
        <w:t>Q2. Isolating Finance, Healthcare, and Student Portal Workloads on Shared Hardware</w:t>
      </w:r>
    </w:p>
    <w:p w14:paraId="592F0561"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The Multi-Tenancy Challenge</w:t>
      </w:r>
    </w:p>
    <w:p w14:paraId="7BEE4C5A"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Cloud providers routinely consolidate workloads from different customers or business units onto shared physical infrastructure to achieve economies of scale. When those workloads belong to domains with very different risk and compliance profiles — a finance application governed by PCI-DSS, a healthcare system governed by HIPAA, and a student portal governed by FERPA and general data-protection norms — strong isolation is not optional; it is the foundation on which regulatory compliance and customer trust are built. Virtualization architecture provides the mechanisms through which a single physical server can be safely divided into logically independent environments for each tenant.</w:t>
      </w:r>
    </w:p>
    <w:p w14:paraId="7FF40B08"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How Virtualization Architecture Supports Isolation</w:t>
      </w:r>
    </w:p>
    <w:p w14:paraId="5058394D"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CPU and memory partitioning: The hypervisor uses hardware-assisted virtualization (Intel VT-x/EPT, AMD-V/RVI) to give each VM its own virtualized CPU registers and page tables, preventing one tenant's VM from directly reading or writing another tenant's memory space.</w:t>
      </w:r>
    </w:p>
    <w:p w14:paraId="639B2180"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Virtual networking segmentation: Virtual switches, VLANs, and increasingly VXLAN-based overlay networks isolate east-west traffic so the finance VM's network segment is logically unreachable from the student portal's segment, even though the underlying physical NIC and switch fabric are shared.</w:t>
      </w:r>
    </w:p>
    <w:p w14:paraId="5161263B"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Storage isolation: Software-defined storage assigns each tenant a dedicated logical volume or datastore, often encrypted with tenant-specific keys, so healthcare records cannot be accessed through a storage-level path shared with another tenant.</w:t>
      </w:r>
    </w:p>
    <w:p w14:paraId="17049382"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 xml:space="preserve">Resource governance: Hypervisor-level resource pools, reservations, and limits (CPU shares, memory ballooning limits, storage I/O throttling) prevent one tenant's workload from starving another's — an availability form of isolation sometimes called the 'noisy </w:t>
      </w:r>
      <w:proofErr w:type="spellStart"/>
      <w:r w:rsidRPr="00F65358">
        <w:rPr>
          <w:rFonts w:ascii="Times New Roman" w:hAnsi="Times New Roman" w:cs="Times New Roman"/>
        </w:rPr>
        <w:t>neighbor</w:t>
      </w:r>
      <w:proofErr w:type="spellEnd"/>
      <w:r w:rsidRPr="00F65358">
        <w:rPr>
          <w:rFonts w:ascii="Times New Roman" w:hAnsi="Times New Roman" w:cs="Times New Roman"/>
        </w:rPr>
        <w:t>' problem.</w:t>
      </w:r>
    </w:p>
    <w:p w14:paraId="259B8F2F"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Security policy enforcement: Role-based access control (RBAC) at the management-plane level ensures that administrators of one tenant's environment cannot view or modify another tenant's VM configuration, snapshots, or backups.</w:t>
      </w:r>
    </w:p>
    <w:p w14:paraId="5BD0D750"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Micro-segmentation: Distributed firewalls (e.g., NSX, Hyper-V network security groups) apply per-VM firewall rules independent of physical topology, enforcing zero-trust communication paths tailored to each tenant's compliance requirements.</w:t>
      </w:r>
    </w:p>
    <w:p w14:paraId="75E0FEB6"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Together, these mechanisms create the illusion — enforced by hardware and hypervisor software — that each tenant has a dedicated physical machine, even though finance, healthcare, and student-portal VMs may be running on the very same rack of servers.</w:t>
      </w:r>
    </w:p>
    <w:p w14:paraId="53988679"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Attack Surface One: Hypervisor Escape (VM Escape)</w:t>
      </w:r>
    </w:p>
    <w:p w14:paraId="1D6BC1A0"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The most severe threat in a multi-tenant virtualized environment is a VM escape, in which an attacker who has compromised a guest VM exploits a vulnerability in the hypervisor itself to break out of the VM </w:t>
      </w:r>
      <w:r w:rsidRPr="00F65358">
        <w:rPr>
          <w:rFonts w:ascii="Times New Roman" w:hAnsi="Times New Roman" w:cs="Times New Roman"/>
        </w:rPr>
        <w:lastRenderedPageBreak/>
        <w:t>sandbox and gain access to the host or to other co-resident VMs. Because the hypervisor mediates every tenant's access to CPU, memory, and devices, a flaw in its code (for example, in a virtual device emulator such as a virtual USB controller or virtual graphics adapter) can allow an attacker inside the low-trust student portal VM to pivot into the high-trust finance or healthcare VM sitting on the same host. Historical vulnerabilities such as Venom (CVE-2015-3456) and various Xen/KVM escapes demonstrate that this attack surface, while requiring sophisticated exploitation, has real-world precedent and catastrophic impact when successful.</w:t>
      </w:r>
    </w:p>
    <w:p w14:paraId="49EFDFA8"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Attack Surface Two: Side-Channel and Co-Residency Attacks</w:t>
      </w:r>
    </w:p>
    <w:p w14:paraId="12640348"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Even without breaking hypervisor isolation directly, an attacker who can arrange for their VM to be co-located on the same physical host as a target tenant can attempt side-channel attacks that exploit shared hardware resources — the CPU cache, memory bus, or power/thermal </w:t>
      </w:r>
      <w:proofErr w:type="spellStart"/>
      <w:r w:rsidRPr="00F65358">
        <w:rPr>
          <w:rFonts w:ascii="Times New Roman" w:hAnsi="Times New Roman" w:cs="Times New Roman"/>
        </w:rPr>
        <w:t>behavior</w:t>
      </w:r>
      <w:proofErr w:type="spellEnd"/>
      <w:r w:rsidRPr="00F65358">
        <w:rPr>
          <w:rFonts w:ascii="Times New Roman" w:hAnsi="Times New Roman" w:cs="Times New Roman"/>
        </w:rPr>
        <w:t xml:space="preserve"> — to infer sensitive information. Techniques such as cache-timing attacks (e.g., variants inspired by Meltdown and Spectre) can leak cryptographic keys or fragments of another tenant's data by measuring timing differences in shared CPU caches, even though the hypervisor's logical isolation boundaries remain technically intact. This attack surface is particularly concerning for the finance tenant, where leaked cryptographic material could directly enable fraud, and is difficult to fully close because it exploits physical hardware characteristics rather than software misconfiguration.</w:t>
      </w:r>
    </w:p>
    <w:p w14:paraId="21DE8D11"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Mitigation Summary</w:t>
      </w:r>
    </w:p>
    <w:p w14:paraId="71D68995"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Providers mitigate these attack surfaces through timely hypervisor patching, hardware-level mitigations for speculative-execution vulnerabilities (microcode updates, cache partitioning technologies such as Intel CAT), strict tenant placement policies that avoid co-locating incompatible risk tiers where contractually required, continuous security monitoring, and regular third-party penetration testing of the virtualization stack. Together with the isolation mechanisms above, these controls allow a shared-hardware cloud platform to meet the compliance and trust requirements of finance, healthcare, and education tenants simultaneously.</w:t>
      </w:r>
    </w:p>
    <w:p w14:paraId="4E69131D" w14:textId="77777777" w:rsidR="00C17EAC" w:rsidRPr="00F65358" w:rsidRDefault="00000000">
      <w:pPr>
        <w:rPr>
          <w:rFonts w:ascii="Times New Roman" w:hAnsi="Times New Roman" w:cs="Times New Roman"/>
        </w:rPr>
      </w:pPr>
      <w:r w:rsidRPr="00F65358">
        <w:rPr>
          <w:rFonts w:ascii="Times New Roman" w:hAnsi="Times New Roman" w:cs="Times New Roman"/>
        </w:rPr>
        <w:br w:type="page"/>
      </w:r>
    </w:p>
    <w:p w14:paraId="300F0E49" w14:textId="77777777" w:rsidR="00C17EAC" w:rsidRPr="00F65358" w:rsidRDefault="00000000">
      <w:pPr>
        <w:pStyle w:val="Heading1"/>
        <w:pBdr>
          <w:bottom w:val="single" w:sz="8" w:space="4" w:color="2E5395"/>
        </w:pBdr>
        <w:spacing w:before="100" w:after="200"/>
        <w:rPr>
          <w:rFonts w:ascii="Times New Roman" w:hAnsi="Times New Roman" w:cs="Times New Roman"/>
        </w:rPr>
      </w:pPr>
      <w:r w:rsidRPr="00F65358">
        <w:rPr>
          <w:rFonts w:ascii="Times New Roman" w:hAnsi="Times New Roman" w:cs="Times New Roman"/>
          <w:b/>
          <w:bCs/>
          <w:color w:val="2E5395"/>
          <w:sz w:val="30"/>
          <w:szCs w:val="30"/>
        </w:rPr>
        <w:lastRenderedPageBreak/>
        <w:t>Q3. VM Host Utilization Snapshot: Bottleneck Analysis and Corrective Actions</w:t>
      </w:r>
    </w:p>
    <w:p w14:paraId="4CA3DCB0"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The Snapshot</w:t>
      </w:r>
    </w:p>
    <w:p w14:paraId="4556216E"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The host under review reports CPU utilization of 92%, memory utilization of 88%, storage I/O latency of 35 </w:t>
      </w:r>
      <w:proofErr w:type="spellStart"/>
      <w:r w:rsidRPr="00F65358">
        <w:rPr>
          <w:rFonts w:ascii="Times New Roman" w:hAnsi="Times New Roman" w:cs="Times New Roman"/>
        </w:rPr>
        <w:t>ms</w:t>
      </w:r>
      <w:proofErr w:type="spellEnd"/>
      <w:r w:rsidRPr="00F65358">
        <w:rPr>
          <w:rFonts w:ascii="Times New Roman" w:hAnsi="Times New Roman" w:cs="Times New Roman"/>
        </w:rPr>
        <w:t>, and an average VM boot time of 170 seconds. Individually, each figure signals pressure; taken together, they indicate a host that is resource-saturated across almost every dimension and is very likely degrading application performance and slowing operational tasks such as provisioning and failover.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5"/>
        <w:gridCol w:w="2078"/>
        <w:gridCol w:w="2445"/>
        <w:gridCol w:w="2422"/>
      </w:tblGrid>
      <w:tr w:rsidR="00C17EAC" w:rsidRPr="00F65358" w14:paraId="1EF7A968" w14:textId="77777777">
        <w:trPr>
          <w:tblHeader/>
        </w:trPr>
        <w:tc>
          <w:tcPr>
            <w:tcW w:w="0" w:type="dxa"/>
            <w:shd w:val="clear" w:color="auto" w:fill="2E5395"/>
            <w:tcMar>
              <w:top w:w="80" w:type="dxa"/>
              <w:left w:w="100" w:type="dxa"/>
              <w:bottom w:w="80" w:type="dxa"/>
              <w:right w:w="100" w:type="dxa"/>
            </w:tcMar>
          </w:tcPr>
          <w:p w14:paraId="144D5C78" w14:textId="77777777" w:rsidR="00C17EAC" w:rsidRPr="00F65358" w:rsidRDefault="00000000">
            <w:pPr>
              <w:rPr>
                <w:rFonts w:ascii="Times New Roman" w:hAnsi="Times New Roman" w:cs="Times New Roman"/>
              </w:rPr>
            </w:pPr>
            <w:r w:rsidRPr="00F65358">
              <w:rPr>
                <w:rFonts w:ascii="Times New Roman" w:hAnsi="Times New Roman" w:cs="Times New Roman"/>
                <w:b/>
                <w:bCs/>
                <w:color w:val="FFFFFF"/>
              </w:rPr>
              <w:t>Metric</w:t>
            </w:r>
          </w:p>
        </w:tc>
        <w:tc>
          <w:tcPr>
            <w:tcW w:w="0" w:type="dxa"/>
            <w:shd w:val="clear" w:color="auto" w:fill="2E5395"/>
            <w:tcMar>
              <w:top w:w="80" w:type="dxa"/>
              <w:left w:w="100" w:type="dxa"/>
              <w:bottom w:w="80" w:type="dxa"/>
              <w:right w:w="100" w:type="dxa"/>
            </w:tcMar>
          </w:tcPr>
          <w:p w14:paraId="76E12375" w14:textId="77777777" w:rsidR="00C17EAC" w:rsidRPr="00F65358" w:rsidRDefault="00000000">
            <w:pPr>
              <w:rPr>
                <w:rFonts w:ascii="Times New Roman" w:hAnsi="Times New Roman" w:cs="Times New Roman"/>
              </w:rPr>
            </w:pPr>
            <w:r w:rsidRPr="00F65358">
              <w:rPr>
                <w:rFonts w:ascii="Times New Roman" w:hAnsi="Times New Roman" w:cs="Times New Roman"/>
                <w:b/>
                <w:bCs/>
                <w:color w:val="FFFFFF"/>
              </w:rPr>
              <w:t>Observed Value</w:t>
            </w:r>
          </w:p>
        </w:tc>
        <w:tc>
          <w:tcPr>
            <w:tcW w:w="0" w:type="dxa"/>
            <w:shd w:val="clear" w:color="auto" w:fill="2E5395"/>
            <w:tcMar>
              <w:top w:w="80" w:type="dxa"/>
              <w:left w:w="100" w:type="dxa"/>
              <w:bottom w:w="80" w:type="dxa"/>
              <w:right w:w="100" w:type="dxa"/>
            </w:tcMar>
          </w:tcPr>
          <w:p w14:paraId="361A44BA" w14:textId="77777777" w:rsidR="00C17EAC" w:rsidRPr="00F65358" w:rsidRDefault="00000000">
            <w:pPr>
              <w:rPr>
                <w:rFonts w:ascii="Times New Roman" w:hAnsi="Times New Roman" w:cs="Times New Roman"/>
              </w:rPr>
            </w:pPr>
            <w:r w:rsidRPr="00F65358">
              <w:rPr>
                <w:rFonts w:ascii="Times New Roman" w:hAnsi="Times New Roman" w:cs="Times New Roman"/>
                <w:b/>
                <w:bCs/>
                <w:color w:val="FFFFFF"/>
              </w:rPr>
              <w:t>Healthy Benchmark</w:t>
            </w:r>
          </w:p>
        </w:tc>
        <w:tc>
          <w:tcPr>
            <w:tcW w:w="0" w:type="dxa"/>
            <w:shd w:val="clear" w:color="auto" w:fill="2E5395"/>
            <w:tcMar>
              <w:top w:w="80" w:type="dxa"/>
              <w:left w:w="100" w:type="dxa"/>
              <w:bottom w:w="80" w:type="dxa"/>
              <w:right w:w="100" w:type="dxa"/>
            </w:tcMar>
          </w:tcPr>
          <w:p w14:paraId="28CB6BEA" w14:textId="77777777" w:rsidR="00C17EAC" w:rsidRPr="00F65358" w:rsidRDefault="00000000">
            <w:pPr>
              <w:rPr>
                <w:rFonts w:ascii="Times New Roman" w:hAnsi="Times New Roman" w:cs="Times New Roman"/>
              </w:rPr>
            </w:pPr>
            <w:r w:rsidRPr="00F65358">
              <w:rPr>
                <w:rFonts w:ascii="Times New Roman" w:hAnsi="Times New Roman" w:cs="Times New Roman"/>
                <w:b/>
                <w:bCs/>
                <w:color w:val="FFFFFF"/>
              </w:rPr>
              <w:t>Assessment</w:t>
            </w:r>
          </w:p>
        </w:tc>
      </w:tr>
      <w:tr w:rsidR="00C17EAC" w:rsidRPr="00F65358" w14:paraId="5684048F" w14:textId="77777777">
        <w:tc>
          <w:tcPr>
            <w:tcW w:w="0" w:type="dxa"/>
            <w:tcMar>
              <w:top w:w="80" w:type="dxa"/>
              <w:left w:w="100" w:type="dxa"/>
              <w:bottom w:w="80" w:type="dxa"/>
              <w:right w:w="100" w:type="dxa"/>
            </w:tcMar>
          </w:tcPr>
          <w:p w14:paraId="1E2AB381"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CPU utilization</w:t>
            </w:r>
          </w:p>
        </w:tc>
        <w:tc>
          <w:tcPr>
            <w:tcW w:w="0" w:type="dxa"/>
            <w:tcMar>
              <w:top w:w="80" w:type="dxa"/>
              <w:left w:w="100" w:type="dxa"/>
              <w:bottom w:w="80" w:type="dxa"/>
              <w:right w:w="100" w:type="dxa"/>
            </w:tcMar>
          </w:tcPr>
          <w:p w14:paraId="67352298"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92%</w:t>
            </w:r>
          </w:p>
        </w:tc>
        <w:tc>
          <w:tcPr>
            <w:tcW w:w="0" w:type="dxa"/>
            <w:tcMar>
              <w:top w:w="80" w:type="dxa"/>
              <w:left w:w="100" w:type="dxa"/>
              <w:bottom w:w="80" w:type="dxa"/>
              <w:right w:w="100" w:type="dxa"/>
            </w:tcMar>
          </w:tcPr>
          <w:p w14:paraId="7C7D0D0A"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&lt; 70–75% sustained</w:t>
            </w:r>
          </w:p>
        </w:tc>
        <w:tc>
          <w:tcPr>
            <w:tcW w:w="0" w:type="dxa"/>
            <w:tcMar>
              <w:top w:w="80" w:type="dxa"/>
              <w:left w:w="100" w:type="dxa"/>
              <w:bottom w:w="80" w:type="dxa"/>
              <w:right w:w="100" w:type="dxa"/>
            </w:tcMar>
          </w:tcPr>
          <w:p w14:paraId="646A2115"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Critical — near saturation</w:t>
            </w:r>
          </w:p>
        </w:tc>
      </w:tr>
      <w:tr w:rsidR="00C17EAC" w:rsidRPr="00F65358" w14:paraId="7FA909FE" w14:textId="77777777">
        <w:tc>
          <w:tcPr>
            <w:tcW w:w="0" w:type="dxa"/>
            <w:tcMar>
              <w:top w:w="80" w:type="dxa"/>
              <w:left w:w="100" w:type="dxa"/>
              <w:bottom w:w="80" w:type="dxa"/>
              <w:right w:w="100" w:type="dxa"/>
            </w:tcMar>
          </w:tcPr>
          <w:p w14:paraId="21AFCB4D"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Memory utilization</w:t>
            </w:r>
          </w:p>
        </w:tc>
        <w:tc>
          <w:tcPr>
            <w:tcW w:w="0" w:type="dxa"/>
            <w:tcMar>
              <w:top w:w="80" w:type="dxa"/>
              <w:left w:w="100" w:type="dxa"/>
              <w:bottom w:w="80" w:type="dxa"/>
              <w:right w:w="100" w:type="dxa"/>
            </w:tcMar>
          </w:tcPr>
          <w:p w14:paraId="70170B48"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88%</w:t>
            </w:r>
          </w:p>
        </w:tc>
        <w:tc>
          <w:tcPr>
            <w:tcW w:w="0" w:type="dxa"/>
            <w:tcMar>
              <w:top w:w="80" w:type="dxa"/>
              <w:left w:w="100" w:type="dxa"/>
              <w:bottom w:w="80" w:type="dxa"/>
              <w:right w:w="100" w:type="dxa"/>
            </w:tcMar>
          </w:tcPr>
          <w:p w14:paraId="3F18BFD8"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&lt; 80% sustained</w:t>
            </w:r>
          </w:p>
        </w:tc>
        <w:tc>
          <w:tcPr>
            <w:tcW w:w="0" w:type="dxa"/>
            <w:tcMar>
              <w:top w:w="80" w:type="dxa"/>
              <w:left w:w="100" w:type="dxa"/>
              <w:bottom w:w="80" w:type="dxa"/>
              <w:right w:w="100" w:type="dxa"/>
            </w:tcMar>
          </w:tcPr>
          <w:p w14:paraId="33849085"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High — approaching exhaustion</w:t>
            </w:r>
          </w:p>
        </w:tc>
      </w:tr>
      <w:tr w:rsidR="00C17EAC" w:rsidRPr="00F65358" w14:paraId="5DA19CEB" w14:textId="77777777">
        <w:tc>
          <w:tcPr>
            <w:tcW w:w="0" w:type="dxa"/>
            <w:tcMar>
              <w:top w:w="80" w:type="dxa"/>
              <w:left w:w="100" w:type="dxa"/>
              <w:bottom w:w="80" w:type="dxa"/>
              <w:right w:w="100" w:type="dxa"/>
            </w:tcMar>
          </w:tcPr>
          <w:p w14:paraId="12F140A6"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Storage I/O latency</w:t>
            </w:r>
          </w:p>
        </w:tc>
        <w:tc>
          <w:tcPr>
            <w:tcW w:w="0" w:type="dxa"/>
            <w:tcMar>
              <w:top w:w="80" w:type="dxa"/>
              <w:left w:w="100" w:type="dxa"/>
              <w:bottom w:w="80" w:type="dxa"/>
              <w:right w:w="100" w:type="dxa"/>
            </w:tcMar>
          </w:tcPr>
          <w:p w14:paraId="4C49DF05"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 xml:space="preserve">35 </w:t>
            </w:r>
            <w:proofErr w:type="spellStart"/>
            <w:r w:rsidRPr="00F65358">
              <w:rPr>
                <w:rFonts w:ascii="Times New Roman" w:hAnsi="Times New Roman" w:cs="Times New Roman"/>
                <w:color w:val="000000"/>
              </w:rPr>
              <w:t>ms</w:t>
            </w:r>
            <w:proofErr w:type="spellEnd"/>
          </w:p>
        </w:tc>
        <w:tc>
          <w:tcPr>
            <w:tcW w:w="0" w:type="dxa"/>
            <w:tcMar>
              <w:top w:w="80" w:type="dxa"/>
              <w:left w:w="100" w:type="dxa"/>
              <w:bottom w:w="80" w:type="dxa"/>
              <w:right w:w="100" w:type="dxa"/>
            </w:tcMar>
          </w:tcPr>
          <w:p w14:paraId="48FD9DEE"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 xml:space="preserve">&lt; 10–15 </w:t>
            </w:r>
            <w:proofErr w:type="spellStart"/>
            <w:r w:rsidRPr="00F65358">
              <w:rPr>
                <w:rFonts w:ascii="Times New Roman" w:hAnsi="Times New Roman" w:cs="Times New Roman"/>
                <w:color w:val="000000"/>
              </w:rPr>
              <w:t>ms</w:t>
            </w:r>
            <w:proofErr w:type="spellEnd"/>
            <w:r w:rsidRPr="00F65358">
              <w:rPr>
                <w:rFonts w:ascii="Times New Roman" w:hAnsi="Times New Roman" w:cs="Times New Roman"/>
                <w:color w:val="000000"/>
              </w:rPr>
              <w:t xml:space="preserve"> (SSD-backed)</w:t>
            </w:r>
          </w:p>
        </w:tc>
        <w:tc>
          <w:tcPr>
            <w:tcW w:w="0" w:type="dxa"/>
            <w:tcMar>
              <w:top w:w="80" w:type="dxa"/>
              <w:left w:w="100" w:type="dxa"/>
              <w:bottom w:w="80" w:type="dxa"/>
              <w:right w:w="100" w:type="dxa"/>
            </w:tcMar>
          </w:tcPr>
          <w:p w14:paraId="44A08881"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Poor — well above target</w:t>
            </w:r>
          </w:p>
        </w:tc>
      </w:tr>
      <w:tr w:rsidR="00C17EAC" w:rsidRPr="00F65358" w14:paraId="52205AE1" w14:textId="77777777">
        <w:tc>
          <w:tcPr>
            <w:tcW w:w="0" w:type="dxa"/>
            <w:tcMar>
              <w:top w:w="80" w:type="dxa"/>
              <w:left w:w="100" w:type="dxa"/>
              <w:bottom w:w="80" w:type="dxa"/>
              <w:right w:w="100" w:type="dxa"/>
            </w:tcMar>
          </w:tcPr>
          <w:p w14:paraId="1C0DDE55"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VM boot time</w:t>
            </w:r>
          </w:p>
        </w:tc>
        <w:tc>
          <w:tcPr>
            <w:tcW w:w="0" w:type="dxa"/>
            <w:tcMar>
              <w:top w:w="80" w:type="dxa"/>
              <w:left w:w="100" w:type="dxa"/>
              <w:bottom w:w="80" w:type="dxa"/>
              <w:right w:w="100" w:type="dxa"/>
            </w:tcMar>
          </w:tcPr>
          <w:p w14:paraId="5B171920"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170 s</w:t>
            </w:r>
          </w:p>
        </w:tc>
        <w:tc>
          <w:tcPr>
            <w:tcW w:w="0" w:type="dxa"/>
            <w:tcMar>
              <w:top w:w="80" w:type="dxa"/>
              <w:left w:w="100" w:type="dxa"/>
              <w:bottom w:w="80" w:type="dxa"/>
              <w:right w:w="100" w:type="dxa"/>
            </w:tcMar>
          </w:tcPr>
          <w:p w14:paraId="202BCDF3"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30–60 s typical</w:t>
            </w:r>
          </w:p>
        </w:tc>
        <w:tc>
          <w:tcPr>
            <w:tcW w:w="0" w:type="dxa"/>
            <w:tcMar>
              <w:top w:w="80" w:type="dxa"/>
              <w:left w:w="100" w:type="dxa"/>
              <w:bottom w:w="80" w:type="dxa"/>
              <w:right w:w="100" w:type="dxa"/>
            </w:tcMar>
          </w:tcPr>
          <w:p w14:paraId="4B889747"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Very slow — 3–5x expected</w:t>
            </w:r>
          </w:p>
        </w:tc>
      </w:tr>
    </w:tbl>
    <w:p w14:paraId="3E4B4CA5"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Interpreting the Bottlenecks</w:t>
      </w:r>
    </w:p>
    <w:p w14:paraId="69C826C9"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CPU utilization at 92% leaves almost no headroom for burst workloads, meaning VMs are likely experiencing CPU ready-time — periods where a virtual CPU is scheduled to run but must wait for a physical core to become free. This directly causes application slowdowns and can cascade into timeouts for latency-sensitive services. Memory utilization at 88% is close to the threshold at which the hypervisor invokes memory-reclamation techniques such as ballooning, compression, or — in the worst case — swapping to disk. Because disk-based swapping is orders of magnitude slower than RAM, this is often the single largest contributor to sudden, severe performance degradation once memory pressure crosses this range.</w:t>
      </w:r>
    </w:p>
    <w:p w14:paraId="3E84ECD9"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A storage I/O latency of 35 </w:t>
      </w:r>
      <w:proofErr w:type="spellStart"/>
      <w:r w:rsidRPr="00F65358">
        <w:rPr>
          <w:rFonts w:ascii="Times New Roman" w:hAnsi="Times New Roman" w:cs="Times New Roman"/>
        </w:rPr>
        <w:t>ms</w:t>
      </w:r>
      <w:proofErr w:type="spellEnd"/>
      <w:r w:rsidRPr="00F65358">
        <w:rPr>
          <w:rFonts w:ascii="Times New Roman" w:hAnsi="Times New Roman" w:cs="Times New Roman"/>
        </w:rPr>
        <w:t xml:space="preserve"> is a strong indicator of an I/O bottleneck; modern SSD-backed or </w:t>
      </w:r>
      <w:proofErr w:type="spellStart"/>
      <w:r w:rsidRPr="00F65358">
        <w:rPr>
          <w:rFonts w:ascii="Times New Roman" w:hAnsi="Times New Roman" w:cs="Times New Roman"/>
        </w:rPr>
        <w:t>NVMe</w:t>
      </w:r>
      <w:proofErr w:type="spellEnd"/>
      <w:r w:rsidRPr="00F65358">
        <w:rPr>
          <w:rFonts w:ascii="Times New Roman" w:hAnsi="Times New Roman" w:cs="Times New Roman"/>
        </w:rPr>
        <w:t>-backed enterprise storage should typically deliver latencies in the low single digits to low teens of milliseconds. Latency at this level points to storage controller queue saturation, over-subscribed shared storage (too many VMs competing for the same datastore), underlying spinning-disk media, or a misconfigured storage tier. The unusually long 170-second average VM boot time is the observable symptom that ties the other three metrics together: boot operations are CPU-, memory-, and I/O-intensive in a short burst, so a host already starved of all three resources will take dramatically longer to bring a VM to a ready state than a healthy host would.</w:t>
      </w:r>
    </w:p>
    <w:p w14:paraId="0C7F1607"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Likely Root Causes</w:t>
      </w:r>
    </w:p>
    <w:p w14:paraId="027CD22E"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VM sprawl or over-provisioning: too many VMs, or VMs sized larger than their actual workload needs, have been packed onto a single host without corresponding capacity planning.</w:t>
      </w:r>
    </w:p>
    <w:p w14:paraId="0997D4B4"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lastRenderedPageBreak/>
        <w:t>Storage contention: multiple VMs sharing a single datastore or LUN are generating a combined I/O load that exceeds the storage backend's throughput capacity, producing queueing delays.</w:t>
      </w:r>
    </w:p>
    <w:p w14:paraId="20C7B464"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Memory overcommitment: the sum of memory allocated to guest VMs exceeds physical RAM by a ratio that is triggering reclamation techniques rather than genuine free capacity.</w:t>
      </w:r>
    </w:p>
    <w:p w14:paraId="2860373D"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Lack of resource governance: absence of CPU/memory reservations, limits, or Storage I/O Control policies is allowing noisy-</w:t>
      </w:r>
      <w:proofErr w:type="spellStart"/>
      <w:r w:rsidRPr="00F65358">
        <w:rPr>
          <w:rFonts w:ascii="Times New Roman" w:hAnsi="Times New Roman" w:cs="Times New Roman"/>
        </w:rPr>
        <w:t>neighbor</w:t>
      </w:r>
      <w:proofErr w:type="spellEnd"/>
      <w:r w:rsidRPr="00F65358">
        <w:rPr>
          <w:rFonts w:ascii="Times New Roman" w:hAnsi="Times New Roman" w:cs="Times New Roman"/>
        </w:rPr>
        <w:t xml:space="preserve"> VMs to monopolize shared resources.</w:t>
      </w:r>
    </w:p>
    <w:p w14:paraId="0E33DE5E"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Recommended Corrective Actions</w:t>
      </w:r>
    </w:p>
    <w:p w14:paraId="76E664A5"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Right-size and rebalance: Identify over-provisioned or idle VMs using historical utilization data, downsize or decommission them, and use live migration (</w:t>
      </w:r>
      <w:proofErr w:type="spellStart"/>
      <w:r w:rsidRPr="00F65358">
        <w:rPr>
          <w:rFonts w:ascii="Times New Roman" w:hAnsi="Times New Roman" w:cs="Times New Roman"/>
        </w:rPr>
        <w:t>vMotion</w:t>
      </w:r>
      <w:proofErr w:type="spellEnd"/>
      <w:r w:rsidRPr="00F65358">
        <w:rPr>
          <w:rFonts w:ascii="Times New Roman" w:hAnsi="Times New Roman" w:cs="Times New Roman"/>
        </w:rPr>
        <w:t>/Live Migration) or a Distributed Resource Scheduler (DRS) to redistribute VMs across additional hosts in the cluster.</w:t>
      </w:r>
    </w:p>
    <w:p w14:paraId="7FB001BD"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Add capacity: If aggregate demand genuinely exceeds host capacity, scale out by adding hosts to the cluster or scale up by increasing physical CPU/RAM, rather than continuing to overcommit the existing host.</w:t>
      </w:r>
    </w:p>
    <w:p w14:paraId="1E3FB88E"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Upgrade or reconfigure storage: Move latency-sensitive VMs to a faster storage tier (</w:t>
      </w:r>
      <w:proofErr w:type="spellStart"/>
      <w:r w:rsidRPr="00F65358">
        <w:rPr>
          <w:rFonts w:ascii="Times New Roman" w:hAnsi="Times New Roman" w:cs="Times New Roman"/>
        </w:rPr>
        <w:t>NVMe</w:t>
      </w:r>
      <w:proofErr w:type="spellEnd"/>
      <w:r w:rsidRPr="00F65358">
        <w:rPr>
          <w:rFonts w:ascii="Times New Roman" w:hAnsi="Times New Roman" w:cs="Times New Roman"/>
        </w:rPr>
        <w:t>/all-flash), enable Storage I/O Control or similar QoS mechanisms to guarantee fair share, and verify that the storage network (e.g., iSCSI/FC fabric) is not itself the bottleneck.</w:t>
      </w:r>
    </w:p>
    <w:p w14:paraId="0D97F409"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Tune memory management: Reduce memory overcommitment ratios, enable memory reservations for critical VMs, and monitor balloon-driver and swap activity to catch reclamation events before they impact users.</w:t>
      </w:r>
    </w:p>
    <w:p w14:paraId="1979A595"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 xml:space="preserve">Implement proactive monitoring and alerting: Set threshold-based alerts (e.g., CPU &gt; 80%, memory &gt; 80%, latency &gt; 15 </w:t>
      </w:r>
      <w:proofErr w:type="spellStart"/>
      <w:r w:rsidRPr="00F65358">
        <w:rPr>
          <w:rFonts w:ascii="Times New Roman" w:hAnsi="Times New Roman" w:cs="Times New Roman"/>
        </w:rPr>
        <w:t>ms</w:t>
      </w:r>
      <w:proofErr w:type="spellEnd"/>
      <w:r w:rsidRPr="00F65358">
        <w:rPr>
          <w:rFonts w:ascii="Times New Roman" w:hAnsi="Times New Roman" w:cs="Times New Roman"/>
        </w:rPr>
        <w:t>) so corrective action can be taken before the host reaches the saturation levels seen in this snapshot.</w:t>
      </w:r>
    </w:p>
    <w:p w14:paraId="6AD21453"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Applying these actions in combination — rebalancing load, adding capacity where genuinely required, upgrading the storage tier, and enforcing resource governance policies — should bring CPU and memory utilization back into healthy operating ranges, reduce storage latency toward single-digit milliseconds, and restore VM boot times to the expected 30–60 second range.</w:t>
      </w:r>
    </w:p>
    <w:p w14:paraId="1862B422" w14:textId="77777777" w:rsidR="00C17EAC" w:rsidRPr="00F65358" w:rsidRDefault="00000000">
      <w:pPr>
        <w:rPr>
          <w:rFonts w:ascii="Times New Roman" w:hAnsi="Times New Roman" w:cs="Times New Roman"/>
        </w:rPr>
      </w:pPr>
      <w:r w:rsidRPr="00F65358">
        <w:rPr>
          <w:rFonts w:ascii="Times New Roman" w:hAnsi="Times New Roman" w:cs="Times New Roman"/>
        </w:rPr>
        <w:br w:type="page"/>
      </w:r>
    </w:p>
    <w:p w14:paraId="1DA5391F" w14:textId="77777777" w:rsidR="00C17EAC" w:rsidRPr="00F65358" w:rsidRDefault="00000000">
      <w:pPr>
        <w:pStyle w:val="Heading1"/>
        <w:pBdr>
          <w:bottom w:val="single" w:sz="8" w:space="4" w:color="2E5395"/>
        </w:pBdr>
        <w:spacing w:before="100" w:after="200"/>
        <w:rPr>
          <w:rFonts w:ascii="Times New Roman" w:hAnsi="Times New Roman" w:cs="Times New Roman"/>
        </w:rPr>
      </w:pPr>
      <w:r w:rsidRPr="00F65358">
        <w:rPr>
          <w:rFonts w:ascii="Times New Roman" w:hAnsi="Times New Roman" w:cs="Times New Roman"/>
          <w:b/>
          <w:bCs/>
          <w:color w:val="2E5395"/>
          <w:sz w:val="30"/>
          <w:szCs w:val="30"/>
        </w:rPr>
        <w:lastRenderedPageBreak/>
        <w:t xml:space="preserve">Q4. Software Defined </w:t>
      </w:r>
      <w:proofErr w:type="spellStart"/>
      <w:r w:rsidRPr="00F65358">
        <w:rPr>
          <w:rFonts w:ascii="Times New Roman" w:hAnsi="Times New Roman" w:cs="Times New Roman"/>
          <w:b/>
          <w:bCs/>
          <w:color w:val="2E5395"/>
          <w:sz w:val="30"/>
          <w:szCs w:val="30"/>
        </w:rPr>
        <w:t>Datacenter</w:t>
      </w:r>
      <w:proofErr w:type="spellEnd"/>
      <w:r w:rsidRPr="00F65358">
        <w:rPr>
          <w:rFonts w:ascii="Times New Roman" w:hAnsi="Times New Roman" w:cs="Times New Roman"/>
          <w:b/>
          <w:bCs/>
          <w:color w:val="2E5395"/>
          <w:sz w:val="30"/>
          <w:szCs w:val="30"/>
        </w:rPr>
        <w:t xml:space="preserve"> Agility vs Traditional </w:t>
      </w:r>
      <w:proofErr w:type="spellStart"/>
      <w:r w:rsidRPr="00F65358">
        <w:rPr>
          <w:rFonts w:ascii="Times New Roman" w:hAnsi="Times New Roman" w:cs="Times New Roman"/>
          <w:b/>
          <w:bCs/>
          <w:color w:val="2E5395"/>
          <w:sz w:val="30"/>
          <w:szCs w:val="30"/>
        </w:rPr>
        <w:t>Datacenter</w:t>
      </w:r>
      <w:proofErr w:type="spellEnd"/>
      <w:r w:rsidRPr="00F65358">
        <w:rPr>
          <w:rFonts w:ascii="Times New Roman" w:hAnsi="Times New Roman" w:cs="Times New Roman"/>
          <w:b/>
          <w:bCs/>
          <w:color w:val="2E5395"/>
          <w:sz w:val="30"/>
          <w:szCs w:val="30"/>
        </w:rPr>
        <w:t xml:space="preserve"> Architecture</w:t>
      </w:r>
    </w:p>
    <w:p w14:paraId="668D19A6"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Overview</w:t>
      </w:r>
    </w:p>
    <w:p w14:paraId="4E1DE8C5"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A traditional </w:t>
      </w:r>
      <w:proofErr w:type="spellStart"/>
      <w:r w:rsidRPr="00F65358">
        <w:rPr>
          <w:rFonts w:ascii="Times New Roman" w:hAnsi="Times New Roman" w:cs="Times New Roman"/>
        </w:rPr>
        <w:t>datacenter</w:t>
      </w:r>
      <w:proofErr w:type="spellEnd"/>
      <w:r w:rsidRPr="00F65358">
        <w:rPr>
          <w:rFonts w:ascii="Times New Roman" w:hAnsi="Times New Roman" w:cs="Times New Roman"/>
        </w:rPr>
        <w:t xml:space="preserve"> is built around fixed, siloed hardware: dedicated physical servers, storage arrays, and network switches are provisioned, cabled, and configured individually for each application. Changes to capacity, topology, or policy require manual, often hardware-level intervention, which can take days or weeks. A Software Defined </w:t>
      </w:r>
      <w:proofErr w:type="spellStart"/>
      <w:r w:rsidRPr="00F65358">
        <w:rPr>
          <w:rFonts w:ascii="Times New Roman" w:hAnsi="Times New Roman" w:cs="Times New Roman"/>
        </w:rPr>
        <w:t>Datacenter</w:t>
      </w:r>
      <w:proofErr w:type="spellEnd"/>
      <w:r w:rsidRPr="00F65358">
        <w:rPr>
          <w:rFonts w:ascii="Times New Roman" w:hAnsi="Times New Roman" w:cs="Times New Roman"/>
        </w:rPr>
        <w:t xml:space="preserve"> (SDDC) abstracts compute, storage, and networking into software layers that are provisioned, configured, and managed entirely through policy-driven automation, decoupling logical infrastructure from the physical hardware beneath it. This abstraction is the source of the dramatic agility gains an SDDC delivers over a traditional model.</w:t>
      </w:r>
    </w:p>
    <w:p w14:paraId="6C77A3E2"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Compute Virtualization and Agility</w:t>
      </w:r>
    </w:p>
    <w:p w14:paraId="44D6F888"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In a traditional </w:t>
      </w:r>
      <w:proofErr w:type="spellStart"/>
      <w:r w:rsidRPr="00F65358">
        <w:rPr>
          <w:rFonts w:ascii="Times New Roman" w:hAnsi="Times New Roman" w:cs="Times New Roman"/>
        </w:rPr>
        <w:t>datacenter</w:t>
      </w:r>
      <w:proofErr w:type="spellEnd"/>
      <w:r w:rsidRPr="00F65358">
        <w:rPr>
          <w:rFonts w:ascii="Times New Roman" w:hAnsi="Times New Roman" w:cs="Times New Roman"/>
        </w:rPr>
        <w:t xml:space="preserve">, each application is frequently tied to a specific physical server, so scaling capacity means procuring, racking, and configuring new hardware — a process measured in weeks. In an SDDC, compute virtualization (via Type-1 hypervisors) pools CPU and memory from many physical hosts into a single logical resource pool. New VMs can be provisioned from templates in minutes, existing VMs can be resized on demand, and workloads can be live-migrated between hosts with zero downtime for maintenance or load balancing. Automation platforms and self-service </w:t>
      </w:r>
      <w:proofErr w:type="spellStart"/>
      <w:r w:rsidRPr="00F65358">
        <w:rPr>
          <w:rFonts w:ascii="Times New Roman" w:hAnsi="Times New Roman" w:cs="Times New Roman"/>
        </w:rPr>
        <w:t>catalogs</w:t>
      </w:r>
      <w:proofErr w:type="spellEnd"/>
      <w:r w:rsidRPr="00F65358">
        <w:rPr>
          <w:rFonts w:ascii="Times New Roman" w:hAnsi="Times New Roman" w:cs="Times New Roman"/>
        </w:rPr>
        <w:t xml:space="preserve"> allow application teams to request compute capacity without waiting on manual hardware provisioning, compressing what used to be a multi-week cycle into an on-demand, minutes-long operation.</w:t>
      </w:r>
    </w:p>
    <w:p w14:paraId="060954BF"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Storage Virtualization and Agility</w:t>
      </w:r>
    </w:p>
    <w:p w14:paraId="2F04E6F9"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Traditional </w:t>
      </w:r>
      <w:proofErr w:type="spellStart"/>
      <w:r w:rsidRPr="00F65358">
        <w:rPr>
          <w:rFonts w:ascii="Times New Roman" w:hAnsi="Times New Roman" w:cs="Times New Roman"/>
        </w:rPr>
        <w:t>datacenters</w:t>
      </w:r>
      <w:proofErr w:type="spellEnd"/>
      <w:r w:rsidRPr="00F65358">
        <w:rPr>
          <w:rFonts w:ascii="Times New Roman" w:hAnsi="Times New Roman" w:cs="Times New Roman"/>
        </w:rPr>
        <w:t xml:space="preserve"> typically dedicate physical storage arrays or LUNs to specific applications, making capacity changes, tiering, and data protection policies dependent on array-specific management tools and manual LUN provisioning. Software Defined Storage (SDS) abstracts physical disks across many hosts into a unified virtual storage pool, exposed as flexible, policy-based datastores. Storage capacity can be expanded simply by adding hosts or drives to the pool, and features such as thin provisioning, automated tiering, deduplication, and replication are applied through policy rather than manual array configuration. This allows storage capacity and data-protection characteristics (e.g., replica count, encryption, snapshot frequency) to be defined per-application through software policy and changed instantly, rather than requiring a storage administrator to reconfigure physical arrays.</w:t>
      </w:r>
    </w:p>
    <w:p w14:paraId="6A1DB226"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Network Virtualization and Agility</w:t>
      </w:r>
    </w:p>
    <w:p w14:paraId="104857E4"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Traditional </w:t>
      </w:r>
      <w:proofErr w:type="spellStart"/>
      <w:r w:rsidRPr="00F65358">
        <w:rPr>
          <w:rFonts w:ascii="Times New Roman" w:hAnsi="Times New Roman" w:cs="Times New Roman"/>
        </w:rPr>
        <w:t>datacenter</w:t>
      </w:r>
      <w:proofErr w:type="spellEnd"/>
      <w:r w:rsidRPr="00F65358">
        <w:rPr>
          <w:rFonts w:ascii="Times New Roman" w:hAnsi="Times New Roman" w:cs="Times New Roman"/>
        </w:rPr>
        <w:t xml:space="preserve"> networking relies on physical VLANs, manually configured switches, and hardware firewalls, meaning that provisioning a new network segment or security zone for an application can require coordinated changes across multiple physical switches — a slow, error-prone, and change-control-heavy process. Network virtualization (Software Defined Networking and network overlays such as VXLAN, together with distributed firewalls for micro-segmentation) decouples logical network topology from the physical switch fabric. Entire virtual networks, load balancers, and firewall rule sets can be created, cloned, and torn down in software in minutes, independent of the physical cabling underneath. This allows an </w:t>
      </w:r>
      <w:r w:rsidRPr="00F65358">
        <w:rPr>
          <w:rFonts w:ascii="Times New Roman" w:hAnsi="Times New Roman" w:cs="Times New Roman"/>
        </w:rPr>
        <w:lastRenderedPageBreak/>
        <w:t>SDDC to spin up an isolated multi-tier application network (web, application, database segments with appropriate firewall rules) on demand, exactly the kind of task that would take a networking team days in a traditional environment.</w:t>
      </w:r>
    </w:p>
    <w:p w14:paraId="42607183"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Comparative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0"/>
        <w:gridCol w:w="3395"/>
        <w:gridCol w:w="2715"/>
      </w:tblGrid>
      <w:tr w:rsidR="00C17EAC" w:rsidRPr="00F65358" w14:paraId="114E3B01" w14:textId="77777777">
        <w:trPr>
          <w:tblHeader/>
        </w:trPr>
        <w:tc>
          <w:tcPr>
            <w:tcW w:w="0" w:type="dxa"/>
            <w:shd w:val="clear" w:color="auto" w:fill="2E5395"/>
            <w:tcMar>
              <w:top w:w="80" w:type="dxa"/>
              <w:left w:w="100" w:type="dxa"/>
              <w:bottom w:w="80" w:type="dxa"/>
              <w:right w:w="100" w:type="dxa"/>
            </w:tcMar>
          </w:tcPr>
          <w:p w14:paraId="08EF8476" w14:textId="77777777" w:rsidR="00C17EAC" w:rsidRPr="00F65358" w:rsidRDefault="00000000">
            <w:pPr>
              <w:rPr>
                <w:rFonts w:ascii="Times New Roman" w:hAnsi="Times New Roman" w:cs="Times New Roman"/>
              </w:rPr>
            </w:pPr>
            <w:r w:rsidRPr="00F65358">
              <w:rPr>
                <w:rFonts w:ascii="Times New Roman" w:hAnsi="Times New Roman" w:cs="Times New Roman"/>
                <w:b/>
                <w:bCs/>
                <w:color w:val="FFFFFF"/>
              </w:rPr>
              <w:t>Dimension</w:t>
            </w:r>
          </w:p>
        </w:tc>
        <w:tc>
          <w:tcPr>
            <w:tcW w:w="0" w:type="dxa"/>
            <w:shd w:val="clear" w:color="auto" w:fill="2E5395"/>
            <w:tcMar>
              <w:top w:w="80" w:type="dxa"/>
              <w:left w:w="100" w:type="dxa"/>
              <w:bottom w:w="80" w:type="dxa"/>
              <w:right w:w="100" w:type="dxa"/>
            </w:tcMar>
          </w:tcPr>
          <w:p w14:paraId="67B95C7C" w14:textId="77777777" w:rsidR="00C17EAC" w:rsidRPr="00F65358" w:rsidRDefault="00000000">
            <w:pPr>
              <w:rPr>
                <w:rFonts w:ascii="Times New Roman" w:hAnsi="Times New Roman" w:cs="Times New Roman"/>
              </w:rPr>
            </w:pPr>
            <w:r w:rsidRPr="00F65358">
              <w:rPr>
                <w:rFonts w:ascii="Times New Roman" w:hAnsi="Times New Roman" w:cs="Times New Roman"/>
                <w:b/>
                <w:bCs/>
                <w:color w:val="FFFFFF"/>
              </w:rPr>
              <w:t xml:space="preserve">Traditional </w:t>
            </w:r>
            <w:proofErr w:type="spellStart"/>
            <w:r w:rsidRPr="00F65358">
              <w:rPr>
                <w:rFonts w:ascii="Times New Roman" w:hAnsi="Times New Roman" w:cs="Times New Roman"/>
                <w:b/>
                <w:bCs/>
                <w:color w:val="FFFFFF"/>
              </w:rPr>
              <w:t>Datacenter</w:t>
            </w:r>
            <w:proofErr w:type="spellEnd"/>
          </w:p>
        </w:tc>
        <w:tc>
          <w:tcPr>
            <w:tcW w:w="0" w:type="dxa"/>
            <w:shd w:val="clear" w:color="auto" w:fill="2E5395"/>
            <w:tcMar>
              <w:top w:w="80" w:type="dxa"/>
              <w:left w:w="100" w:type="dxa"/>
              <w:bottom w:w="80" w:type="dxa"/>
              <w:right w:w="100" w:type="dxa"/>
            </w:tcMar>
          </w:tcPr>
          <w:p w14:paraId="4D1DF509" w14:textId="77777777" w:rsidR="00C17EAC" w:rsidRPr="00F65358" w:rsidRDefault="00000000">
            <w:pPr>
              <w:rPr>
                <w:rFonts w:ascii="Times New Roman" w:hAnsi="Times New Roman" w:cs="Times New Roman"/>
              </w:rPr>
            </w:pPr>
            <w:r w:rsidRPr="00F65358">
              <w:rPr>
                <w:rFonts w:ascii="Times New Roman" w:hAnsi="Times New Roman" w:cs="Times New Roman"/>
                <w:b/>
                <w:bCs/>
                <w:color w:val="FFFFFF"/>
              </w:rPr>
              <w:t xml:space="preserve">Software Defined </w:t>
            </w:r>
            <w:proofErr w:type="spellStart"/>
            <w:r w:rsidRPr="00F65358">
              <w:rPr>
                <w:rFonts w:ascii="Times New Roman" w:hAnsi="Times New Roman" w:cs="Times New Roman"/>
                <w:b/>
                <w:bCs/>
                <w:color w:val="FFFFFF"/>
              </w:rPr>
              <w:t>Datacenter</w:t>
            </w:r>
            <w:proofErr w:type="spellEnd"/>
          </w:p>
        </w:tc>
      </w:tr>
      <w:tr w:rsidR="00C17EAC" w:rsidRPr="00F65358" w14:paraId="4B718EF8" w14:textId="77777777">
        <w:tc>
          <w:tcPr>
            <w:tcW w:w="0" w:type="dxa"/>
            <w:tcMar>
              <w:top w:w="80" w:type="dxa"/>
              <w:left w:w="100" w:type="dxa"/>
              <w:bottom w:w="80" w:type="dxa"/>
              <w:right w:w="100" w:type="dxa"/>
            </w:tcMar>
          </w:tcPr>
          <w:p w14:paraId="013A5BF3"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Provisioning speed</w:t>
            </w:r>
          </w:p>
        </w:tc>
        <w:tc>
          <w:tcPr>
            <w:tcW w:w="0" w:type="dxa"/>
            <w:tcMar>
              <w:top w:w="80" w:type="dxa"/>
              <w:left w:w="100" w:type="dxa"/>
              <w:bottom w:w="80" w:type="dxa"/>
              <w:right w:w="100" w:type="dxa"/>
            </w:tcMar>
          </w:tcPr>
          <w:p w14:paraId="36E630CD"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Days to weeks (manual hardware setup)</w:t>
            </w:r>
          </w:p>
        </w:tc>
        <w:tc>
          <w:tcPr>
            <w:tcW w:w="0" w:type="dxa"/>
            <w:tcMar>
              <w:top w:w="80" w:type="dxa"/>
              <w:left w:w="100" w:type="dxa"/>
              <w:bottom w:w="80" w:type="dxa"/>
              <w:right w:w="100" w:type="dxa"/>
            </w:tcMar>
          </w:tcPr>
          <w:p w14:paraId="37EAF2CE"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Minutes (automated, template-driven)</w:t>
            </w:r>
          </w:p>
        </w:tc>
      </w:tr>
      <w:tr w:rsidR="00C17EAC" w:rsidRPr="00F65358" w14:paraId="057076F8" w14:textId="77777777">
        <w:tc>
          <w:tcPr>
            <w:tcW w:w="0" w:type="dxa"/>
            <w:tcMar>
              <w:top w:w="80" w:type="dxa"/>
              <w:left w:w="100" w:type="dxa"/>
              <w:bottom w:w="80" w:type="dxa"/>
              <w:right w:w="100" w:type="dxa"/>
            </w:tcMar>
          </w:tcPr>
          <w:p w14:paraId="5E869A88"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Compute scaling</w:t>
            </w:r>
          </w:p>
        </w:tc>
        <w:tc>
          <w:tcPr>
            <w:tcW w:w="0" w:type="dxa"/>
            <w:tcMar>
              <w:top w:w="80" w:type="dxa"/>
              <w:left w:w="100" w:type="dxa"/>
              <w:bottom w:w="80" w:type="dxa"/>
              <w:right w:w="100" w:type="dxa"/>
            </w:tcMar>
          </w:tcPr>
          <w:p w14:paraId="6CE33676"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Requires new physical servers</w:t>
            </w:r>
          </w:p>
        </w:tc>
        <w:tc>
          <w:tcPr>
            <w:tcW w:w="0" w:type="dxa"/>
            <w:tcMar>
              <w:top w:w="80" w:type="dxa"/>
              <w:left w:w="100" w:type="dxa"/>
              <w:bottom w:w="80" w:type="dxa"/>
              <w:right w:w="100" w:type="dxa"/>
            </w:tcMar>
          </w:tcPr>
          <w:p w14:paraId="63AD2BA6"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Elastic pooling across hosts</w:t>
            </w:r>
          </w:p>
        </w:tc>
      </w:tr>
      <w:tr w:rsidR="00C17EAC" w:rsidRPr="00F65358" w14:paraId="4219CDC4" w14:textId="77777777">
        <w:tc>
          <w:tcPr>
            <w:tcW w:w="0" w:type="dxa"/>
            <w:tcMar>
              <w:top w:w="80" w:type="dxa"/>
              <w:left w:w="100" w:type="dxa"/>
              <w:bottom w:w="80" w:type="dxa"/>
              <w:right w:w="100" w:type="dxa"/>
            </w:tcMar>
          </w:tcPr>
          <w:p w14:paraId="4690BEA4"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Storage management</w:t>
            </w:r>
          </w:p>
        </w:tc>
        <w:tc>
          <w:tcPr>
            <w:tcW w:w="0" w:type="dxa"/>
            <w:tcMar>
              <w:top w:w="80" w:type="dxa"/>
              <w:left w:w="100" w:type="dxa"/>
              <w:bottom w:w="80" w:type="dxa"/>
              <w:right w:w="100" w:type="dxa"/>
            </w:tcMar>
          </w:tcPr>
          <w:p w14:paraId="39EE7C69"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Array-specific manual configuration</w:t>
            </w:r>
          </w:p>
        </w:tc>
        <w:tc>
          <w:tcPr>
            <w:tcW w:w="0" w:type="dxa"/>
            <w:tcMar>
              <w:top w:w="80" w:type="dxa"/>
              <w:left w:w="100" w:type="dxa"/>
              <w:bottom w:w="80" w:type="dxa"/>
              <w:right w:w="100" w:type="dxa"/>
            </w:tcMar>
          </w:tcPr>
          <w:p w14:paraId="0D279207"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Policy-based, software-defined pools</w:t>
            </w:r>
          </w:p>
        </w:tc>
      </w:tr>
      <w:tr w:rsidR="00C17EAC" w:rsidRPr="00F65358" w14:paraId="7E373019" w14:textId="77777777">
        <w:tc>
          <w:tcPr>
            <w:tcW w:w="0" w:type="dxa"/>
            <w:tcMar>
              <w:top w:w="80" w:type="dxa"/>
              <w:left w:w="100" w:type="dxa"/>
              <w:bottom w:w="80" w:type="dxa"/>
              <w:right w:w="100" w:type="dxa"/>
            </w:tcMar>
          </w:tcPr>
          <w:p w14:paraId="72F7AD05"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Network changes</w:t>
            </w:r>
          </w:p>
        </w:tc>
        <w:tc>
          <w:tcPr>
            <w:tcW w:w="0" w:type="dxa"/>
            <w:tcMar>
              <w:top w:w="80" w:type="dxa"/>
              <w:left w:w="100" w:type="dxa"/>
              <w:bottom w:w="80" w:type="dxa"/>
              <w:right w:w="100" w:type="dxa"/>
            </w:tcMar>
          </w:tcPr>
          <w:p w14:paraId="22B58A56"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Manual switch/VLAN reconfiguration</w:t>
            </w:r>
          </w:p>
        </w:tc>
        <w:tc>
          <w:tcPr>
            <w:tcW w:w="0" w:type="dxa"/>
            <w:tcMar>
              <w:top w:w="80" w:type="dxa"/>
              <w:left w:w="100" w:type="dxa"/>
              <w:bottom w:w="80" w:type="dxa"/>
              <w:right w:w="100" w:type="dxa"/>
            </w:tcMar>
          </w:tcPr>
          <w:p w14:paraId="2988BFEA"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Software-defined overlays, instant changes</w:t>
            </w:r>
          </w:p>
        </w:tc>
      </w:tr>
      <w:tr w:rsidR="00C17EAC" w:rsidRPr="00F65358" w14:paraId="12459843" w14:textId="77777777">
        <w:tc>
          <w:tcPr>
            <w:tcW w:w="0" w:type="dxa"/>
            <w:tcMar>
              <w:top w:w="80" w:type="dxa"/>
              <w:left w:w="100" w:type="dxa"/>
              <w:bottom w:w="80" w:type="dxa"/>
              <w:right w:w="100" w:type="dxa"/>
            </w:tcMar>
          </w:tcPr>
          <w:p w14:paraId="263D22D9"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Operational model</w:t>
            </w:r>
          </w:p>
        </w:tc>
        <w:tc>
          <w:tcPr>
            <w:tcW w:w="0" w:type="dxa"/>
            <w:tcMar>
              <w:top w:w="80" w:type="dxa"/>
              <w:left w:w="100" w:type="dxa"/>
              <w:bottom w:w="80" w:type="dxa"/>
              <w:right w:w="100" w:type="dxa"/>
            </w:tcMar>
          </w:tcPr>
          <w:p w14:paraId="126EAABD"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Siloed teams per hardware layer</w:t>
            </w:r>
          </w:p>
        </w:tc>
        <w:tc>
          <w:tcPr>
            <w:tcW w:w="0" w:type="dxa"/>
            <w:tcMar>
              <w:top w:w="80" w:type="dxa"/>
              <w:left w:w="100" w:type="dxa"/>
              <w:bottom w:w="80" w:type="dxa"/>
              <w:right w:w="100" w:type="dxa"/>
            </w:tcMar>
          </w:tcPr>
          <w:p w14:paraId="3A98C836" w14:textId="77777777" w:rsidR="00C17EAC" w:rsidRPr="00F65358" w:rsidRDefault="00000000">
            <w:pPr>
              <w:rPr>
                <w:rFonts w:ascii="Times New Roman" w:hAnsi="Times New Roman" w:cs="Times New Roman"/>
              </w:rPr>
            </w:pPr>
            <w:r w:rsidRPr="00F65358">
              <w:rPr>
                <w:rFonts w:ascii="Times New Roman" w:hAnsi="Times New Roman" w:cs="Times New Roman"/>
                <w:color w:val="000000"/>
              </w:rPr>
              <w:t>Unified, automated, self-service</w:t>
            </w:r>
          </w:p>
        </w:tc>
      </w:tr>
    </w:tbl>
    <w:p w14:paraId="12EEF13F"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Conclusion</w:t>
      </w:r>
    </w:p>
    <w:p w14:paraId="73A9CC7C"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 xml:space="preserve">By virtualizing compute, storage, and networking and exposing them through unified automation and policy engines, the Software Defined </w:t>
      </w:r>
      <w:proofErr w:type="spellStart"/>
      <w:r w:rsidRPr="00F65358">
        <w:rPr>
          <w:rFonts w:ascii="Times New Roman" w:hAnsi="Times New Roman" w:cs="Times New Roman"/>
        </w:rPr>
        <w:t>Datacenter</w:t>
      </w:r>
      <w:proofErr w:type="spellEnd"/>
      <w:r w:rsidRPr="00F65358">
        <w:rPr>
          <w:rFonts w:ascii="Times New Roman" w:hAnsi="Times New Roman" w:cs="Times New Roman"/>
        </w:rPr>
        <w:t xml:space="preserve"> converts infrastructure provisioning from a slow, manual, hardware-bound process into an on-demand, software-driven capability. This is precisely what modern cloud consumers require: the ability to scale applications up or down, deploy new environments, and adapt network and storage policy in near real time. The traditional </w:t>
      </w:r>
      <w:proofErr w:type="spellStart"/>
      <w:r w:rsidRPr="00F65358">
        <w:rPr>
          <w:rFonts w:ascii="Times New Roman" w:hAnsi="Times New Roman" w:cs="Times New Roman"/>
        </w:rPr>
        <w:t>datacenter</w:t>
      </w:r>
      <w:proofErr w:type="spellEnd"/>
      <w:r w:rsidRPr="00F65358">
        <w:rPr>
          <w:rFonts w:ascii="Times New Roman" w:hAnsi="Times New Roman" w:cs="Times New Roman"/>
        </w:rPr>
        <w:t xml:space="preserve"> model, while still capable of running production workloads reliably, cannot match this pace of change because its agility is fundamentally bounded by the speed of manual hardware operations.</w:t>
      </w:r>
    </w:p>
    <w:p w14:paraId="54169FA4" w14:textId="77777777" w:rsidR="00C17EAC" w:rsidRPr="00F65358" w:rsidRDefault="00000000">
      <w:pPr>
        <w:rPr>
          <w:rFonts w:ascii="Times New Roman" w:hAnsi="Times New Roman" w:cs="Times New Roman"/>
        </w:rPr>
      </w:pPr>
      <w:r w:rsidRPr="00F65358">
        <w:rPr>
          <w:rFonts w:ascii="Times New Roman" w:hAnsi="Times New Roman" w:cs="Times New Roman"/>
        </w:rPr>
        <w:br w:type="page"/>
      </w:r>
    </w:p>
    <w:p w14:paraId="02F73451" w14:textId="77777777" w:rsidR="00C17EAC" w:rsidRPr="00F65358" w:rsidRDefault="00000000">
      <w:pPr>
        <w:pStyle w:val="Heading1"/>
        <w:pBdr>
          <w:bottom w:val="single" w:sz="8" w:space="4" w:color="2E5395"/>
        </w:pBdr>
        <w:spacing w:before="100" w:after="200"/>
        <w:rPr>
          <w:rFonts w:ascii="Times New Roman" w:hAnsi="Times New Roman" w:cs="Times New Roman"/>
        </w:rPr>
      </w:pPr>
      <w:r w:rsidRPr="00F65358">
        <w:rPr>
          <w:rFonts w:ascii="Times New Roman" w:hAnsi="Times New Roman" w:cs="Times New Roman"/>
          <w:b/>
          <w:bCs/>
          <w:color w:val="2E5395"/>
          <w:sz w:val="30"/>
          <w:szCs w:val="30"/>
        </w:rPr>
        <w:lastRenderedPageBreak/>
        <w:t>Q5. Multi-Cloud Federation Identity Mismatch: Analysis and Secure Design</w:t>
      </w:r>
    </w:p>
    <w:p w14:paraId="609EC3D1"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The Problem</w:t>
      </w:r>
    </w:p>
    <w:p w14:paraId="45CB1234"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A multi-cloud federation project allows a single set of users to access resources and services distributed across multiple independent cloud providers (for example, an organization's internal identity system federating with AWS, Azure, and a SaaS platform) without requiring separate credentials for each. When such a project fails due to identity mismatches, it typically means that the identity attributes, formats, or trust assertions issued by one provider are not being correctly understood, mapped, or trusted by another. Common root causes include inconsistent unique identifier schemes across providers (e.g., email address used as the identifier in one system but an internal GUID in another), mismatched attribute naming or formatting (differing claim names for role, department, or group membership), unsynchronized user lifecycle state (a user deprovisioned in the home directory but still active in a federated provider), and a lack of a common trust anchor or protocol version between the identity provider (IdP) and the various service providers (SPs).</w:t>
      </w:r>
    </w:p>
    <w:p w14:paraId="1A86273D"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Consequences of the Mismatch</w:t>
      </w:r>
    </w:p>
    <w:p w14:paraId="279C1A8A"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Authentication failures or, worse, incorrect authentication where a user is silently mapped to the wrong identity across providers.</w:t>
      </w:r>
    </w:p>
    <w:p w14:paraId="2AB2EFA2"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Authorization errors — a user granted an administrator role in the home directory receiving only a standard-user role (or excessive privilege) in a federated cloud due to attribute mapping errors.</w:t>
      </w:r>
    </w:p>
    <w:p w14:paraId="2D9FE8FA"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Security exposure from orphaned accounts: users deprovisioned centrally who retain active sessions or accounts in a federated provider because deprovisioning events were not propagated.</w:t>
      </w:r>
    </w:p>
    <w:p w14:paraId="6AB99177"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Compliance and audit failures, since inconsistent identity records make it difficult to produce an accurate, unified access log across the federation.</w:t>
      </w:r>
    </w:p>
    <w:p w14:paraId="6C0E697B"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Federation Concepts Relevant to the Design</w:t>
      </w:r>
    </w:p>
    <w:p w14:paraId="7FF1790F" w14:textId="77777777" w:rsidR="00C17EAC" w:rsidRPr="00F65358" w:rsidRDefault="00000000">
      <w:pPr>
        <w:spacing w:after="160" w:line="300" w:lineRule="auto"/>
        <w:jc w:val="both"/>
        <w:rPr>
          <w:rFonts w:ascii="Times New Roman" w:hAnsi="Times New Roman" w:cs="Times New Roman"/>
        </w:rPr>
      </w:pPr>
      <w:r w:rsidRPr="00F65358">
        <w:rPr>
          <w:rFonts w:ascii="Times New Roman" w:hAnsi="Times New Roman" w:cs="Times New Roman"/>
        </w:rPr>
        <w:t>Identity federation relies on a small set of well-established building blocks. An Identity Provider (IdP) authenticates users and issues signed assertions about their identity and attributes. A Service Provider (SP) — in this case, each cloud platform — consumes those assertions and grants access based on them, trusting the IdP rather than managing its own password store. Standard protocols carry these assertions: SAML 2.0 for enterprise web-based SSO, OpenID Connect (OIDC, built on OAuth 2.0) for modern API-driven and mobile-friendly authentication, and SCIM (System for Cross-domain Identity Management) for automated, standardized user provisioning and deprovisioning across providers. A federation also requires a defined trust model — direct pairwise trust between the IdP and each SP, or a centralized trust broker/hub that mediates trust so that adding a new cloud provider does not require renegotiating trust with every existing member individually.</w:t>
      </w:r>
    </w:p>
    <w:p w14:paraId="6DBE2B82"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Proposed Secure Identity and Privacy Design</w:t>
      </w:r>
    </w:p>
    <w:p w14:paraId="33980C32"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lastRenderedPageBreak/>
        <w:t>Single authoritative IdP with a federation hub: Designate one identity provider (or a broker such as an enterprise IdP integrated with a cloud access security broker) as the single source of truth for user identity, and have every cloud provider federate against it via OIDC or SAML, rather than maintaining independent pairwise trust relationships.</w:t>
      </w:r>
    </w:p>
    <w:p w14:paraId="6B189847"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Canonical identifier and attribute schema: Define a single, immutable, globally unique identifier (e.g., a UUID-based 'subject' claim) for every user, and publish a canonical attribute schema (role, department, entitlement group) that all providers must map their local claims to, eliminating the naming and format mismatches that caused the original failure.</w:t>
      </w:r>
    </w:p>
    <w:p w14:paraId="2996CBE3"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Automated lifecycle synchronization via SCIM: Implement SCIM-based provisioning so that account creation, attribute updates, and — critically — deprovisioning events are propagated automatically and near-instantly to every federated cloud, closing the window in which orphaned or stale accounts can exist.</w:t>
      </w:r>
    </w:p>
    <w:p w14:paraId="1918931E"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Short-lived, scoped tokens: Use OIDC/OAuth 2.0 with short-lived access tokens and refresh tokens scoped to the minimum required resources, reducing the impact of any single mismatched or leaked token and enabling rapid revocation across the federation.</w:t>
      </w:r>
    </w:p>
    <w:p w14:paraId="5ED09C98"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Attribute-based access control (ABAC) with signed claims: Base authorization decisions on cryptographically signed attribute claims from the trusted IdP rather than on locally cached role tables in each cloud, ensuring privilege decisions always reflect the authoritative source.</w:t>
      </w:r>
    </w:p>
    <w:p w14:paraId="041463FD"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Privacy-preserving attribute release: Apply the principle of minimal disclosure — each SP receives only the identity attributes it needs for its authorization decisions (data minimization), and sensitive attributes (e.g., healthcare or financial role details) are only released to providers contractually and technically permitted to receive them, supporting compliance with data-protection regulations across jurisdictions.</w:t>
      </w:r>
    </w:p>
    <w:p w14:paraId="1D4CA28D" w14:textId="77777777" w:rsidR="00C17EAC" w:rsidRPr="00F65358" w:rsidRDefault="00000000">
      <w:pPr>
        <w:pStyle w:val="ListParagraph"/>
        <w:numPr>
          <w:ilvl w:val="0"/>
          <w:numId w:val="2"/>
        </w:numPr>
        <w:spacing w:after="80" w:line="300" w:lineRule="auto"/>
        <w:rPr>
          <w:rFonts w:ascii="Times New Roman" w:hAnsi="Times New Roman" w:cs="Times New Roman"/>
        </w:rPr>
      </w:pPr>
      <w:r w:rsidRPr="00F65358">
        <w:rPr>
          <w:rFonts w:ascii="Times New Roman" w:hAnsi="Times New Roman" w:cs="Times New Roman"/>
        </w:rPr>
        <w:t>Continuous federation monitoring and reconciliation: Run automated reconciliation jobs that compare user and entitlement state across all federated providers against the authoritative IdP, flagging and auto-remediating drift before it causes another identity mismatch incident.</w:t>
      </w:r>
    </w:p>
    <w:p w14:paraId="2004B332" w14:textId="77777777" w:rsidR="00C17EAC" w:rsidRPr="00F65358" w:rsidRDefault="00000000">
      <w:pPr>
        <w:pStyle w:val="Heading2"/>
        <w:spacing w:before="200" w:after="100"/>
        <w:rPr>
          <w:rFonts w:ascii="Times New Roman" w:hAnsi="Times New Roman" w:cs="Times New Roman"/>
        </w:rPr>
      </w:pPr>
      <w:r w:rsidRPr="00F65358">
        <w:rPr>
          <w:rFonts w:ascii="Times New Roman" w:hAnsi="Times New Roman" w:cs="Times New Roman"/>
          <w:b/>
          <w:bCs/>
        </w:rPr>
        <w:t>Conclusion</w:t>
      </w:r>
    </w:p>
    <w:p w14:paraId="6F5B52F0" w14:textId="65EA7DE9" w:rsidR="004437F1" w:rsidRDefault="00000000">
      <w:pPr>
        <w:spacing w:after="160" w:line="300" w:lineRule="auto"/>
        <w:jc w:val="both"/>
        <w:rPr>
          <w:rFonts w:ascii="Times New Roman" w:hAnsi="Times New Roman" w:cs="Times New Roman"/>
        </w:rPr>
      </w:pPr>
      <w:r w:rsidRPr="00F65358">
        <w:rPr>
          <w:rFonts w:ascii="Times New Roman" w:hAnsi="Times New Roman" w:cs="Times New Roman"/>
        </w:rPr>
        <w:t>The root cause of the described federation failure is the absence of a single canonical identity model and automated lifecycle synchronization across independently operated cloud providers. Adopting a hub-based federation architecture — built on OIDC/SAML for authentication, SCIM for lifecycle synchronization, a canonical attribute schema, and privacy-preserving, minimal-disclosure attribute release — resolves the mismatch at its source and gives the organization a secure, auditable, and scalable identity foundation for operating across multiple cloud providers.</w:t>
      </w:r>
    </w:p>
    <w:p w14:paraId="6FED3B6B" w14:textId="77777777" w:rsidR="004437F1" w:rsidRDefault="004437F1">
      <w:pPr>
        <w:rPr>
          <w:rFonts w:ascii="Times New Roman" w:hAnsi="Times New Roman" w:cs="Times New Roman"/>
        </w:rPr>
      </w:pPr>
      <w:r>
        <w:rPr>
          <w:rFonts w:ascii="Times New Roman" w:hAnsi="Times New Roman" w:cs="Times New Roman"/>
        </w:rPr>
        <w:br w:type="page"/>
      </w:r>
    </w:p>
    <w:p w14:paraId="7B0D67A9" w14:textId="77777777" w:rsidR="004437F1" w:rsidRDefault="004437F1" w:rsidP="004437F1">
      <w:pPr>
        <w:widowControl w:val="0"/>
        <w:pBdr>
          <w:top w:val="nil"/>
          <w:left w:val="nil"/>
          <w:bottom w:val="nil"/>
          <w:right w:val="nil"/>
          <w:between w:val="nil"/>
        </w:pBdr>
        <w:ind w:left="131"/>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Analytical </w:t>
      </w:r>
      <w:proofErr w:type="gramStart"/>
      <w:r>
        <w:rPr>
          <w:rFonts w:ascii="Times New Roman" w:eastAsia="Times New Roman" w:hAnsi="Times New Roman" w:cs="Times New Roman"/>
          <w:b/>
          <w:bCs/>
          <w:color w:val="000000"/>
        </w:rPr>
        <w:t>Problem Solving</w:t>
      </w:r>
      <w:proofErr w:type="gramEnd"/>
      <w:r>
        <w:rPr>
          <w:rFonts w:ascii="Times New Roman" w:eastAsia="Times New Roman" w:hAnsi="Times New Roman" w:cs="Times New Roman"/>
          <w:b/>
          <w:bCs/>
          <w:color w:val="000000"/>
        </w:rPr>
        <w:t xml:space="preserve"> Rubric </w:t>
      </w:r>
    </w:p>
    <w:tbl>
      <w:tblPr>
        <w:tblW w:w="10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0"/>
        <w:gridCol w:w="1700"/>
        <w:gridCol w:w="1720"/>
        <w:gridCol w:w="1700"/>
        <w:gridCol w:w="1720"/>
        <w:gridCol w:w="1700"/>
      </w:tblGrid>
      <w:tr w:rsidR="004437F1" w14:paraId="325BE317" w14:textId="77777777" w:rsidTr="00F6159A">
        <w:trPr>
          <w:trHeight w:val="480"/>
        </w:trPr>
        <w:tc>
          <w:tcPr>
            <w:tcW w:w="1720" w:type="dxa"/>
            <w:tcMar>
              <w:top w:w="100" w:type="dxa"/>
              <w:left w:w="100" w:type="dxa"/>
              <w:bottom w:w="100" w:type="dxa"/>
              <w:right w:w="100" w:type="dxa"/>
            </w:tcMar>
          </w:tcPr>
          <w:p w14:paraId="4C4EBEE5" w14:textId="77777777" w:rsidR="004437F1" w:rsidRDefault="004437F1" w:rsidP="00F6159A">
            <w:pPr>
              <w:widowControl w:val="0"/>
              <w:pBdr>
                <w:top w:val="nil"/>
                <w:left w:val="nil"/>
                <w:bottom w:val="nil"/>
                <w:right w:val="nil"/>
                <w:between w:val="nil"/>
              </w:pBdr>
              <w:ind w:left="138"/>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Criteria </w:t>
            </w:r>
          </w:p>
        </w:tc>
        <w:tc>
          <w:tcPr>
            <w:tcW w:w="1700" w:type="dxa"/>
            <w:tcMar>
              <w:top w:w="100" w:type="dxa"/>
              <w:left w:w="100" w:type="dxa"/>
              <w:bottom w:w="100" w:type="dxa"/>
              <w:right w:w="100" w:type="dxa"/>
            </w:tcMar>
          </w:tcPr>
          <w:p w14:paraId="03FE44D1" w14:textId="77777777" w:rsidR="004437F1" w:rsidRDefault="004437F1" w:rsidP="00F6159A">
            <w:pPr>
              <w:widowControl w:val="0"/>
              <w:pBdr>
                <w:top w:val="nil"/>
                <w:left w:val="nil"/>
                <w:bottom w:val="nil"/>
                <w:right w:val="nil"/>
                <w:between w:val="nil"/>
              </w:pBdr>
              <w:ind w:left="121"/>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Weightage </w:t>
            </w:r>
          </w:p>
        </w:tc>
        <w:tc>
          <w:tcPr>
            <w:tcW w:w="1720" w:type="dxa"/>
            <w:tcMar>
              <w:top w:w="100" w:type="dxa"/>
              <w:left w:w="100" w:type="dxa"/>
              <w:bottom w:w="100" w:type="dxa"/>
              <w:right w:w="100" w:type="dxa"/>
            </w:tcMar>
          </w:tcPr>
          <w:p w14:paraId="4CA2AF70" w14:textId="77777777" w:rsidR="004437F1" w:rsidRDefault="004437F1" w:rsidP="00F6159A">
            <w:pPr>
              <w:widowControl w:val="0"/>
              <w:pBdr>
                <w:top w:val="nil"/>
                <w:left w:val="nil"/>
                <w:bottom w:val="nil"/>
                <w:right w:val="nil"/>
                <w:between w:val="nil"/>
              </w:pBdr>
              <w:ind w:left="133"/>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Level 4 - </w:t>
            </w:r>
          </w:p>
          <w:p w14:paraId="1831274B" w14:textId="77777777" w:rsidR="004437F1" w:rsidRDefault="004437F1" w:rsidP="00F6159A">
            <w:pPr>
              <w:widowControl w:val="0"/>
              <w:pBdr>
                <w:top w:val="nil"/>
                <w:left w:val="nil"/>
                <w:bottom w:val="nil"/>
                <w:right w:val="nil"/>
                <w:between w:val="nil"/>
              </w:pBdr>
              <w:ind w:left="133"/>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Exemplary</w:t>
            </w:r>
          </w:p>
        </w:tc>
        <w:tc>
          <w:tcPr>
            <w:tcW w:w="1700" w:type="dxa"/>
            <w:tcMar>
              <w:top w:w="100" w:type="dxa"/>
              <w:left w:w="100" w:type="dxa"/>
              <w:bottom w:w="100" w:type="dxa"/>
              <w:right w:w="100" w:type="dxa"/>
            </w:tcMar>
          </w:tcPr>
          <w:p w14:paraId="30BD264A" w14:textId="77777777" w:rsidR="004437F1" w:rsidRDefault="004437F1" w:rsidP="00F6159A">
            <w:pPr>
              <w:widowControl w:val="0"/>
              <w:pBdr>
                <w:top w:val="nil"/>
                <w:left w:val="nil"/>
                <w:bottom w:val="nil"/>
                <w:right w:val="nil"/>
                <w:between w:val="nil"/>
              </w:pBdr>
              <w:ind w:left="123"/>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Level 3 – </w:t>
            </w:r>
          </w:p>
          <w:p w14:paraId="6372A7A4" w14:textId="77777777" w:rsidR="004437F1" w:rsidRDefault="004437F1" w:rsidP="00F6159A">
            <w:pPr>
              <w:widowControl w:val="0"/>
              <w:pBdr>
                <w:top w:val="nil"/>
                <w:left w:val="nil"/>
                <w:bottom w:val="nil"/>
                <w:right w:val="nil"/>
                <w:between w:val="nil"/>
              </w:pBdr>
              <w:ind w:left="125"/>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Proficient</w:t>
            </w:r>
          </w:p>
        </w:tc>
        <w:tc>
          <w:tcPr>
            <w:tcW w:w="1720" w:type="dxa"/>
            <w:tcMar>
              <w:top w:w="100" w:type="dxa"/>
              <w:left w:w="100" w:type="dxa"/>
              <w:bottom w:w="100" w:type="dxa"/>
              <w:right w:w="100" w:type="dxa"/>
            </w:tcMar>
          </w:tcPr>
          <w:p w14:paraId="409638B6" w14:textId="77777777" w:rsidR="004437F1" w:rsidRDefault="004437F1" w:rsidP="00F6159A">
            <w:pPr>
              <w:widowControl w:val="0"/>
              <w:pBdr>
                <w:top w:val="nil"/>
                <w:left w:val="nil"/>
                <w:bottom w:val="nil"/>
                <w:right w:val="nil"/>
                <w:between w:val="nil"/>
              </w:pBdr>
              <w:ind w:left="133"/>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Level 2 - </w:t>
            </w:r>
          </w:p>
          <w:p w14:paraId="5E0A7ACD" w14:textId="77777777" w:rsidR="004437F1" w:rsidRDefault="004437F1" w:rsidP="00F6159A">
            <w:pPr>
              <w:widowControl w:val="0"/>
              <w:pBdr>
                <w:top w:val="nil"/>
                <w:left w:val="nil"/>
                <w:bottom w:val="nil"/>
                <w:right w:val="nil"/>
                <w:between w:val="nil"/>
              </w:pBdr>
              <w:ind w:left="132"/>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Developing</w:t>
            </w:r>
          </w:p>
        </w:tc>
        <w:tc>
          <w:tcPr>
            <w:tcW w:w="1700" w:type="dxa"/>
            <w:tcMar>
              <w:top w:w="100" w:type="dxa"/>
              <w:left w:w="100" w:type="dxa"/>
              <w:bottom w:w="100" w:type="dxa"/>
              <w:right w:w="100" w:type="dxa"/>
            </w:tcMar>
          </w:tcPr>
          <w:p w14:paraId="5315FEC3" w14:textId="77777777" w:rsidR="004437F1" w:rsidRDefault="004437F1" w:rsidP="00F6159A">
            <w:pPr>
              <w:widowControl w:val="0"/>
              <w:pBdr>
                <w:top w:val="nil"/>
                <w:left w:val="nil"/>
                <w:bottom w:val="nil"/>
                <w:right w:val="nil"/>
                <w:between w:val="nil"/>
              </w:pBdr>
              <w:ind w:left="123"/>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Level 1 - </w:t>
            </w:r>
          </w:p>
          <w:p w14:paraId="0DDB5516" w14:textId="77777777" w:rsidR="004437F1" w:rsidRDefault="004437F1" w:rsidP="00F6159A">
            <w:pPr>
              <w:widowControl w:val="0"/>
              <w:pBdr>
                <w:top w:val="nil"/>
                <w:left w:val="nil"/>
                <w:bottom w:val="nil"/>
                <w:right w:val="nil"/>
                <w:between w:val="nil"/>
              </w:pBdr>
              <w:ind w:left="124"/>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Beginning</w:t>
            </w:r>
          </w:p>
        </w:tc>
      </w:tr>
      <w:tr w:rsidR="004437F1" w14:paraId="257DA187" w14:textId="77777777" w:rsidTr="00F6159A">
        <w:trPr>
          <w:trHeight w:val="920"/>
        </w:trPr>
        <w:tc>
          <w:tcPr>
            <w:tcW w:w="1720" w:type="dxa"/>
            <w:tcMar>
              <w:top w:w="100" w:type="dxa"/>
              <w:left w:w="100" w:type="dxa"/>
              <w:bottom w:w="100" w:type="dxa"/>
              <w:right w:w="100" w:type="dxa"/>
            </w:tcMar>
          </w:tcPr>
          <w:p w14:paraId="0A23C8BE" w14:textId="77777777" w:rsidR="004437F1" w:rsidRDefault="004437F1" w:rsidP="00F6159A">
            <w:pPr>
              <w:widowControl w:val="0"/>
              <w:pBdr>
                <w:top w:val="nil"/>
                <w:left w:val="nil"/>
                <w:bottom w:val="nil"/>
                <w:right w:val="nil"/>
                <w:between w:val="nil"/>
              </w:pBdr>
              <w:ind w:left="1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Problem </w:t>
            </w:r>
          </w:p>
          <w:p w14:paraId="19D8DD45" w14:textId="77777777" w:rsidR="004437F1" w:rsidRDefault="004437F1" w:rsidP="00F6159A">
            <w:pPr>
              <w:widowControl w:val="0"/>
              <w:pBdr>
                <w:top w:val="nil"/>
                <w:left w:val="nil"/>
                <w:bottom w:val="nil"/>
                <w:right w:val="nil"/>
                <w:between w:val="nil"/>
              </w:pBdr>
              <w:ind w:left="13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Interpretation</w:t>
            </w:r>
          </w:p>
        </w:tc>
        <w:tc>
          <w:tcPr>
            <w:tcW w:w="1700" w:type="dxa"/>
            <w:tcMar>
              <w:top w:w="100" w:type="dxa"/>
              <w:left w:w="100" w:type="dxa"/>
              <w:bottom w:w="100" w:type="dxa"/>
              <w:right w:w="100" w:type="dxa"/>
            </w:tcMar>
          </w:tcPr>
          <w:p w14:paraId="2FAD550B" w14:textId="77777777" w:rsidR="004437F1" w:rsidRDefault="004437F1" w:rsidP="00F6159A">
            <w:pPr>
              <w:widowControl w:val="0"/>
              <w:pBdr>
                <w:top w:val="nil"/>
                <w:left w:val="nil"/>
                <w:bottom w:val="nil"/>
                <w:right w:val="nil"/>
                <w:between w:val="nil"/>
              </w:pBdr>
              <w:ind w:left="12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 </w:t>
            </w:r>
          </w:p>
        </w:tc>
        <w:tc>
          <w:tcPr>
            <w:tcW w:w="1720" w:type="dxa"/>
            <w:tcMar>
              <w:top w:w="100" w:type="dxa"/>
              <w:left w:w="100" w:type="dxa"/>
              <w:bottom w:w="100" w:type="dxa"/>
              <w:right w:w="100" w:type="dxa"/>
            </w:tcMar>
          </w:tcPr>
          <w:p w14:paraId="27A44A95" w14:textId="77777777" w:rsidR="004437F1" w:rsidRDefault="004437F1" w:rsidP="00F6159A">
            <w:pPr>
              <w:widowControl w:val="0"/>
              <w:pBdr>
                <w:top w:val="nil"/>
                <w:left w:val="nil"/>
                <w:bottom w:val="nil"/>
                <w:right w:val="nil"/>
                <w:between w:val="nil"/>
              </w:pBdr>
              <w:ind w:left="13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Interprets all </w:t>
            </w:r>
          </w:p>
          <w:p w14:paraId="64CE09D2" w14:textId="77777777" w:rsidR="004437F1" w:rsidRDefault="004437F1" w:rsidP="00F6159A">
            <w:pPr>
              <w:widowControl w:val="0"/>
              <w:pBdr>
                <w:top w:val="nil"/>
                <w:left w:val="nil"/>
                <w:bottom w:val="nil"/>
                <w:right w:val="nil"/>
                <w:between w:val="nil"/>
              </w:pBdr>
              <w:ind w:left="13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technical </w:t>
            </w:r>
          </w:p>
          <w:p w14:paraId="4F5BB95F" w14:textId="77777777" w:rsidR="004437F1" w:rsidRDefault="004437F1" w:rsidP="00F6159A">
            <w:pPr>
              <w:widowControl w:val="0"/>
              <w:pBdr>
                <w:top w:val="nil"/>
                <w:left w:val="nil"/>
                <w:bottom w:val="nil"/>
                <w:right w:val="nil"/>
                <w:between w:val="nil"/>
              </w:pBdr>
              <w:ind w:left="13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requirements </w:t>
            </w:r>
          </w:p>
          <w:p w14:paraId="0CE34390" w14:textId="77777777" w:rsidR="004437F1" w:rsidRDefault="004437F1" w:rsidP="00F6159A">
            <w:pPr>
              <w:widowControl w:val="0"/>
              <w:pBdr>
                <w:top w:val="nil"/>
                <w:left w:val="nil"/>
                <w:bottom w:val="nil"/>
                <w:right w:val="nil"/>
                <w:between w:val="nil"/>
              </w:pBdr>
              <w:ind w:left="13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accurately</w:t>
            </w:r>
          </w:p>
        </w:tc>
        <w:tc>
          <w:tcPr>
            <w:tcW w:w="1700" w:type="dxa"/>
            <w:tcMar>
              <w:top w:w="100" w:type="dxa"/>
              <w:left w:w="100" w:type="dxa"/>
              <w:bottom w:w="100" w:type="dxa"/>
              <w:right w:w="100" w:type="dxa"/>
            </w:tcMar>
          </w:tcPr>
          <w:p w14:paraId="05A39AD2" w14:textId="77777777" w:rsidR="004437F1" w:rsidRDefault="004437F1" w:rsidP="00F6159A">
            <w:pPr>
              <w:widowControl w:val="0"/>
              <w:pBdr>
                <w:top w:val="nil"/>
                <w:left w:val="nil"/>
                <w:bottom w:val="nil"/>
                <w:right w:val="nil"/>
                <w:between w:val="nil"/>
              </w:pBdr>
              <w:ind w:left="12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Interprets most </w:t>
            </w:r>
          </w:p>
          <w:p w14:paraId="707723E8" w14:textId="77777777" w:rsidR="004437F1" w:rsidRDefault="004437F1" w:rsidP="00F6159A">
            <w:pPr>
              <w:widowControl w:val="0"/>
              <w:pBdr>
                <w:top w:val="nil"/>
                <w:left w:val="nil"/>
                <w:bottom w:val="nil"/>
                <w:right w:val="nil"/>
                <w:between w:val="nil"/>
              </w:pBdr>
              <w:ind w:left="12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requirements </w:t>
            </w:r>
          </w:p>
          <w:p w14:paraId="25A96F46" w14:textId="77777777" w:rsidR="004437F1" w:rsidRDefault="004437F1" w:rsidP="00F6159A">
            <w:pPr>
              <w:widowControl w:val="0"/>
              <w:pBdr>
                <w:top w:val="nil"/>
                <w:left w:val="nil"/>
                <w:bottom w:val="nil"/>
                <w:right w:val="nil"/>
                <w:between w:val="nil"/>
              </w:pBdr>
              <w:ind w:lef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correctly</w:t>
            </w:r>
          </w:p>
        </w:tc>
        <w:tc>
          <w:tcPr>
            <w:tcW w:w="1720" w:type="dxa"/>
            <w:tcMar>
              <w:top w:w="100" w:type="dxa"/>
              <w:left w:w="100" w:type="dxa"/>
              <w:bottom w:w="100" w:type="dxa"/>
              <w:right w:w="100" w:type="dxa"/>
            </w:tcMar>
          </w:tcPr>
          <w:p w14:paraId="701E8ACC" w14:textId="77777777" w:rsidR="004437F1" w:rsidRDefault="004437F1" w:rsidP="00F6159A">
            <w:pPr>
              <w:widowControl w:val="0"/>
              <w:pBdr>
                <w:top w:val="nil"/>
                <w:left w:val="nil"/>
                <w:bottom w:val="nil"/>
                <w:right w:val="nil"/>
                <w:between w:val="nil"/>
              </w:pBdr>
              <w:ind w:left="1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Partial </w:t>
            </w:r>
          </w:p>
          <w:p w14:paraId="5EBFA10E" w14:textId="77777777" w:rsidR="004437F1" w:rsidRDefault="004437F1" w:rsidP="00F6159A">
            <w:pPr>
              <w:widowControl w:val="0"/>
              <w:pBdr>
                <w:top w:val="nil"/>
                <w:left w:val="nil"/>
                <w:bottom w:val="nil"/>
                <w:right w:val="nil"/>
                <w:between w:val="nil"/>
              </w:pBdr>
              <w:ind w:left="13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interpretation</w:t>
            </w:r>
          </w:p>
        </w:tc>
        <w:tc>
          <w:tcPr>
            <w:tcW w:w="1700" w:type="dxa"/>
            <w:tcMar>
              <w:top w:w="100" w:type="dxa"/>
              <w:left w:w="100" w:type="dxa"/>
              <w:bottom w:w="100" w:type="dxa"/>
              <w:right w:w="100" w:type="dxa"/>
            </w:tcMar>
          </w:tcPr>
          <w:p w14:paraId="7892741E" w14:textId="77777777" w:rsidR="004437F1" w:rsidRDefault="004437F1" w:rsidP="00F6159A">
            <w:pPr>
              <w:widowControl w:val="0"/>
              <w:pBdr>
                <w:top w:val="nil"/>
                <w:left w:val="nil"/>
                <w:bottom w:val="nil"/>
                <w:right w:val="nil"/>
                <w:between w:val="nil"/>
              </w:pBdr>
              <w:spacing w:line="229" w:lineRule="auto"/>
              <w:ind w:left="119" w:right="190" w:firstLine="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Misinterprets the problem</w:t>
            </w:r>
          </w:p>
        </w:tc>
      </w:tr>
      <w:tr w:rsidR="004437F1" w14:paraId="61E2090B" w14:textId="77777777" w:rsidTr="00F6159A">
        <w:trPr>
          <w:trHeight w:val="940"/>
        </w:trPr>
        <w:tc>
          <w:tcPr>
            <w:tcW w:w="1720" w:type="dxa"/>
            <w:tcMar>
              <w:top w:w="100" w:type="dxa"/>
              <w:left w:w="100" w:type="dxa"/>
              <w:bottom w:w="100" w:type="dxa"/>
              <w:right w:w="100" w:type="dxa"/>
            </w:tcMar>
          </w:tcPr>
          <w:p w14:paraId="5FAA90FB" w14:textId="77777777" w:rsidR="004437F1" w:rsidRDefault="004437F1" w:rsidP="00F6159A">
            <w:pPr>
              <w:widowControl w:val="0"/>
              <w:pBdr>
                <w:top w:val="nil"/>
                <w:left w:val="nil"/>
                <w:bottom w:val="nil"/>
                <w:right w:val="nil"/>
                <w:between w:val="nil"/>
              </w:pBdr>
              <w:ind w:left="13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Analytical </w:t>
            </w:r>
          </w:p>
          <w:p w14:paraId="2D88DE54" w14:textId="77777777" w:rsidR="004437F1" w:rsidRDefault="004437F1" w:rsidP="00F6159A">
            <w:pPr>
              <w:widowControl w:val="0"/>
              <w:pBdr>
                <w:top w:val="nil"/>
                <w:left w:val="nil"/>
                <w:bottom w:val="nil"/>
                <w:right w:val="nil"/>
                <w:between w:val="nil"/>
              </w:pBdr>
              <w:ind w:left="1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Reasoning</w:t>
            </w:r>
          </w:p>
        </w:tc>
        <w:tc>
          <w:tcPr>
            <w:tcW w:w="1700" w:type="dxa"/>
            <w:tcMar>
              <w:top w:w="100" w:type="dxa"/>
              <w:left w:w="100" w:type="dxa"/>
              <w:bottom w:w="100" w:type="dxa"/>
              <w:right w:w="100" w:type="dxa"/>
            </w:tcMar>
          </w:tcPr>
          <w:p w14:paraId="76C5FAA1" w14:textId="77777777" w:rsidR="004437F1" w:rsidRDefault="004437F1" w:rsidP="00F6159A">
            <w:pPr>
              <w:widowControl w:val="0"/>
              <w:pBdr>
                <w:top w:val="nil"/>
                <w:left w:val="nil"/>
                <w:bottom w:val="nil"/>
                <w:right w:val="nil"/>
                <w:between w:val="nil"/>
              </w:pBdr>
              <w:ind w:left="12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25% </w:t>
            </w:r>
          </w:p>
        </w:tc>
        <w:tc>
          <w:tcPr>
            <w:tcW w:w="1720" w:type="dxa"/>
            <w:tcMar>
              <w:top w:w="100" w:type="dxa"/>
              <w:left w:w="100" w:type="dxa"/>
              <w:bottom w:w="100" w:type="dxa"/>
              <w:right w:w="100" w:type="dxa"/>
            </w:tcMar>
          </w:tcPr>
          <w:p w14:paraId="242CE295" w14:textId="77777777" w:rsidR="004437F1" w:rsidRDefault="004437F1" w:rsidP="00F6159A">
            <w:pPr>
              <w:widowControl w:val="0"/>
              <w:pBdr>
                <w:top w:val="nil"/>
                <w:left w:val="nil"/>
                <w:bottom w:val="nil"/>
                <w:right w:val="nil"/>
                <w:between w:val="nil"/>
              </w:pBdr>
              <w:spacing w:line="229" w:lineRule="auto"/>
              <w:ind w:left="131" w:right="196" w:firstLine="1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Strong reasoning with clear </w:t>
            </w:r>
          </w:p>
          <w:p w14:paraId="68FD3DC7" w14:textId="77777777" w:rsidR="004437F1" w:rsidRDefault="004437F1" w:rsidP="00F6159A">
            <w:pPr>
              <w:widowControl w:val="0"/>
              <w:pBdr>
                <w:top w:val="nil"/>
                <w:left w:val="nil"/>
                <w:bottom w:val="nil"/>
                <w:right w:val="nil"/>
                <w:between w:val="nil"/>
              </w:pBdr>
              <w:spacing w:before="5"/>
              <w:ind w:left="13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cause-effect </w:t>
            </w:r>
          </w:p>
          <w:p w14:paraId="5637D85A" w14:textId="77777777" w:rsidR="004437F1" w:rsidRDefault="004437F1" w:rsidP="00F6159A">
            <w:pPr>
              <w:widowControl w:val="0"/>
              <w:pBdr>
                <w:top w:val="nil"/>
                <w:left w:val="nil"/>
                <w:bottom w:val="nil"/>
                <w:right w:val="nil"/>
                <w:between w:val="nil"/>
              </w:pBdr>
              <w:ind w:left="13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c>
          <w:tcPr>
            <w:tcW w:w="1700" w:type="dxa"/>
            <w:tcMar>
              <w:top w:w="100" w:type="dxa"/>
              <w:left w:w="100" w:type="dxa"/>
              <w:bottom w:w="100" w:type="dxa"/>
              <w:right w:w="100" w:type="dxa"/>
            </w:tcMar>
          </w:tcPr>
          <w:p w14:paraId="3773E577" w14:textId="77777777" w:rsidR="004437F1" w:rsidRDefault="004437F1" w:rsidP="00F6159A">
            <w:pPr>
              <w:widowControl w:val="0"/>
              <w:pBdr>
                <w:top w:val="nil"/>
                <w:left w:val="nil"/>
                <w:bottom w:val="nil"/>
                <w:right w:val="nil"/>
                <w:between w:val="nil"/>
              </w:pBdr>
              <w:spacing w:line="229" w:lineRule="auto"/>
              <w:ind w:left="121" w:right="275" w:firstLine="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Good reasoning with minor gaps</w:t>
            </w:r>
          </w:p>
        </w:tc>
        <w:tc>
          <w:tcPr>
            <w:tcW w:w="1720" w:type="dxa"/>
            <w:tcMar>
              <w:top w:w="100" w:type="dxa"/>
              <w:left w:w="100" w:type="dxa"/>
              <w:bottom w:w="100" w:type="dxa"/>
              <w:right w:w="100" w:type="dxa"/>
            </w:tcMar>
          </w:tcPr>
          <w:p w14:paraId="7436C7DD" w14:textId="77777777" w:rsidR="004437F1" w:rsidRDefault="004437F1" w:rsidP="00F6159A">
            <w:pPr>
              <w:widowControl w:val="0"/>
              <w:pBdr>
                <w:top w:val="nil"/>
                <w:left w:val="nil"/>
                <w:bottom w:val="nil"/>
                <w:right w:val="nil"/>
                <w:between w:val="nil"/>
              </w:pBdr>
              <w:ind w:left="1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analysis </w:t>
            </w:r>
          </w:p>
          <w:p w14:paraId="749E6DFB" w14:textId="77777777" w:rsidR="004437F1" w:rsidRDefault="004437F1" w:rsidP="00F6159A">
            <w:pPr>
              <w:widowControl w:val="0"/>
              <w:pBdr>
                <w:top w:val="nil"/>
                <w:left w:val="nil"/>
                <w:bottom w:val="nil"/>
                <w:right w:val="nil"/>
                <w:between w:val="nil"/>
              </w:pBdr>
              <w:ind w:left="13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only</w:t>
            </w:r>
          </w:p>
        </w:tc>
        <w:tc>
          <w:tcPr>
            <w:tcW w:w="1700" w:type="dxa"/>
            <w:tcMar>
              <w:top w:w="100" w:type="dxa"/>
              <w:left w:w="100" w:type="dxa"/>
              <w:bottom w:w="100" w:type="dxa"/>
              <w:right w:w="100" w:type="dxa"/>
            </w:tcMar>
          </w:tcPr>
          <w:p w14:paraId="7CEE2A65" w14:textId="77777777" w:rsidR="004437F1" w:rsidRDefault="004437F1" w:rsidP="00F6159A">
            <w:pPr>
              <w:widowControl w:val="0"/>
              <w:pBdr>
                <w:top w:val="nil"/>
                <w:left w:val="nil"/>
                <w:bottom w:val="nil"/>
                <w:right w:val="nil"/>
                <w:between w:val="nil"/>
              </w:pBdr>
              <w:ind w:left="12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Weak or no </w:t>
            </w:r>
          </w:p>
          <w:p w14:paraId="57DD5A67" w14:textId="77777777" w:rsidR="004437F1" w:rsidRDefault="004437F1" w:rsidP="00F6159A">
            <w:pPr>
              <w:widowControl w:val="0"/>
              <w:pBdr>
                <w:top w:val="nil"/>
                <w:left w:val="nil"/>
                <w:bottom w:val="nil"/>
                <w:right w:val="nil"/>
                <w:between w:val="nil"/>
              </w:pBdr>
              <w:ind w:left="12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r>
      <w:tr w:rsidR="004437F1" w14:paraId="47E40D19" w14:textId="77777777" w:rsidTr="00F6159A">
        <w:trPr>
          <w:trHeight w:val="940"/>
        </w:trPr>
        <w:tc>
          <w:tcPr>
            <w:tcW w:w="1720" w:type="dxa"/>
            <w:tcMar>
              <w:top w:w="100" w:type="dxa"/>
              <w:left w:w="100" w:type="dxa"/>
              <w:bottom w:w="100" w:type="dxa"/>
              <w:right w:w="100" w:type="dxa"/>
            </w:tcMar>
          </w:tcPr>
          <w:p w14:paraId="3781CCDA" w14:textId="77777777" w:rsidR="004437F1" w:rsidRDefault="004437F1" w:rsidP="00F6159A">
            <w:pPr>
              <w:widowControl w:val="0"/>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Method Selection </w:t>
            </w:r>
          </w:p>
        </w:tc>
        <w:tc>
          <w:tcPr>
            <w:tcW w:w="1700" w:type="dxa"/>
            <w:tcMar>
              <w:top w:w="100" w:type="dxa"/>
              <w:left w:w="100" w:type="dxa"/>
              <w:bottom w:w="100" w:type="dxa"/>
              <w:right w:w="100" w:type="dxa"/>
            </w:tcMar>
          </w:tcPr>
          <w:p w14:paraId="099CA994" w14:textId="77777777" w:rsidR="004437F1" w:rsidRDefault="004437F1" w:rsidP="00F6159A">
            <w:pPr>
              <w:widowControl w:val="0"/>
              <w:pBdr>
                <w:top w:val="nil"/>
                <w:left w:val="nil"/>
                <w:bottom w:val="nil"/>
                <w:right w:val="nil"/>
                <w:between w:val="nil"/>
              </w:pBdr>
              <w:ind w:left="12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 </w:t>
            </w:r>
          </w:p>
        </w:tc>
        <w:tc>
          <w:tcPr>
            <w:tcW w:w="1720" w:type="dxa"/>
            <w:tcMar>
              <w:top w:w="100" w:type="dxa"/>
              <w:left w:w="100" w:type="dxa"/>
              <w:bottom w:w="100" w:type="dxa"/>
              <w:right w:w="100" w:type="dxa"/>
            </w:tcMar>
          </w:tcPr>
          <w:p w14:paraId="5A225932" w14:textId="77777777" w:rsidR="004437F1" w:rsidRDefault="004437F1" w:rsidP="00F6159A">
            <w:pPr>
              <w:widowControl w:val="0"/>
              <w:pBdr>
                <w:top w:val="nil"/>
                <w:left w:val="nil"/>
                <w:bottom w:val="nil"/>
                <w:right w:val="nil"/>
                <w:between w:val="nil"/>
              </w:pBdr>
              <w:ind w:left="13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Chooses highly </w:t>
            </w:r>
          </w:p>
          <w:p w14:paraId="72C4C979" w14:textId="77777777" w:rsidR="004437F1" w:rsidRDefault="004437F1" w:rsidP="00F6159A">
            <w:pPr>
              <w:widowControl w:val="0"/>
              <w:pBdr>
                <w:top w:val="nil"/>
                <w:left w:val="nil"/>
                <w:bottom w:val="nil"/>
                <w:right w:val="nil"/>
                <w:between w:val="nil"/>
              </w:pBdr>
              <w:ind w:left="13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appropriate </w:t>
            </w:r>
          </w:p>
          <w:p w14:paraId="02721FE5" w14:textId="77777777" w:rsidR="004437F1" w:rsidRDefault="004437F1" w:rsidP="00F6159A">
            <w:pPr>
              <w:widowControl w:val="0"/>
              <w:pBdr>
                <w:top w:val="nil"/>
                <w:left w:val="nil"/>
                <w:bottom w:val="nil"/>
                <w:right w:val="nil"/>
                <w:between w:val="nil"/>
              </w:pBdr>
              <w:spacing w:line="229" w:lineRule="auto"/>
              <w:ind w:left="139" w:right="152" w:hanging="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virtualization and security concepts</w:t>
            </w:r>
          </w:p>
        </w:tc>
        <w:tc>
          <w:tcPr>
            <w:tcW w:w="1700" w:type="dxa"/>
            <w:tcMar>
              <w:top w:w="100" w:type="dxa"/>
              <w:left w:w="100" w:type="dxa"/>
              <w:bottom w:w="100" w:type="dxa"/>
              <w:right w:w="100" w:type="dxa"/>
            </w:tcMar>
          </w:tcPr>
          <w:p w14:paraId="6F3E4E42" w14:textId="77777777" w:rsidR="004437F1" w:rsidRDefault="004437F1" w:rsidP="00F6159A">
            <w:pPr>
              <w:widowControl w:val="0"/>
              <w:pBdr>
                <w:top w:val="nil"/>
                <w:left w:val="nil"/>
                <w:bottom w:val="nil"/>
                <w:right w:val="nil"/>
                <w:between w:val="nil"/>
              </w:pBdr>
              <w:spacing w:line="229" w:lineRule="auto"/>
              <w:ind w:left="129" w:right="215"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Chooses mostly suitable concepts</w:t>
            </w:r>
          </w:p>
        </w:tc>
        <w:tc>
          <w:tcPr>
            <w:tcW w:w="1720" w:type="dxa"/>
            <w:tcMar>
              <w:top w:w="100" w:type="dxa"/>
              <w:left w:w="100" w:type="dxa"/>
              <w:bottom w:w="100" w:type="dxa"/>
              <w:right w:w="100" w:type="dxa"/>
            </w:tcMar>
          </w:tcPr>
          <w:p w14:paraId="444D316A" w14:textId="77777777" w:rsidR="004437F1" w:rsidRDefault="004437F1" w:rsidP="00F6159A">
            <w:pPr>
              <w:widowControl w:val="0"/>
              <w:pBdr>
                <w:top w:val="nil"/>
                <w:left w:val="nil"/>
                <w:bottom w:val="nil"/>
                <w:right w:val="nil"/>
                <w:between w:val="nil"/>
              </w:pBdr>
              <w:spacing w:line="229" w:lineRule="auto"/>
              <w:ind w:left="136" w:right="211" w:hanging="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Partially suitable concepts</w:t>
            </w:r>
          </w:p>
        </w:tc>
        <w:tc>
          <w:tcPr>
            <w:tcW w:w="1700" w:type="dxa"/>
            <w:tcMar>
              <w:top w:w="100" w:type="dxa"/>
              <w:left w:w="100" w:type="dxa"/>
              <w:bottom w:w="100" w:type="dxa"/>
              <w:right w:w="100" w:type="dxa"/>
            </w:tcMar>
          </w:tcPr>
          <w:p w14:paraId="606D8E97" w14:textId="77777777" w:rsidR="004437F1" w:rsidRDefault="004437F1" w:rsidP="00F6159A">
            <w:pPr>
              <w:widowControl w:val="0"/>
              <w:pBdr>
                <w:top w:val="nil"/>
                <w:left w:val="nil"/>
                <w:bottom w:val="nil"/>
                <w:right w:val="nil"/>
                <w:between w:val="nil"/>
              </w:pBdr>
              <w:ind w:left="12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Inappropriate </w:t>
            </w:r>
          </w:p>
          <w:p w14:paraId="660423F3" w14:textId="77777777" w:rsidR="004437F1" w:rsidRDefault="004437F1" w:rsidP="00F6159A">
            <w:pPr>
              <w:widowControl w:val="0"/>
              <w:pBdr>
                <w:top w:val="nil"/>
                <w:left w:val="nil"/>
                <w:bottom w:val="nil"/>
                <w:right w:val="nil"/>
                <w:between w:val="nil"/>
              </w:pBdr>
              <w:ind w:left="12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approach</w:t>
            </w:r>
          </w:p>
        </w:tc>
      </w:tr>
      <w:tr w:rsidR="004437F1" w14:paraId="2DF3B4D5" w14:textId="77777777" w:rsidTr="00F6159A">
        <w:trPr>
          <w:trHeight w:val="700"/>
        </w:trPr>
        <w:tc>
          <w:tcPr>
            <w:tcW w:w="1720" w:type="dxa"/>
            <w:tcMar>
              <w:top w:w="100" w:type="dxa"/>
              <w:left w:w="100" w:type="dxa"/>
              <w:bottom w:w="100" w:type="dxa"/>
              <w:right w:w="100" w:type="dxa"/>
            </w:tcMar>
          </w:tcPr>
          <w:p w14:paraId="12D76089" w14:textId="77777777" w:rsidR="004437F1" w:rsidRDefault="004437F1" w:rsidP="00F6159A">
            <w:pPr>
              <w:widowControl w:val="0"/>
              <w:pBdr>
                <w:top w:val="nil"/>
                <w:left w:val="nil"/>
                <w:bottom w:val="nil"/>
                <w:right w:val="nil"/>
                <w:between w:val="nil"/>
              </w:pBdr>
              <w:ind w:left="14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Solution Quality </w:t>
            </w:r>
          </w:p>
        </w:tc>
        <w:tc>
          <w:tcPr>
            <w:tcW w:w="1700" w:type="dxa"/>
            <w:tcMar>
              <w:top w:w="100" w:type="dxa"/>
              <w:left w:w="100" w:type="dxa"/>
              <w:bottom w:w="100" w:type="dxa"/>
              <w:right w:w="100" w:type="dxa"/>
            </w:tcMar>
          </w:tcPr>
          <w:p w14:paraId="6B9F232F" w14:textId="77777777" w:rsidR="004437F1" w:rsidRDefault="004437F1" w:rsidP="00F6159A">
            <w:pPr>
              <w:widowControl w:val="0"/>
              <w:pBdr>
                <w:top w:val="nil"/>
                <w:left w:val="nil"/>
                <w:bottom w:val="nil"/>
                <w:right w:val="nil"/>
                <w:between w:val="nil"/>
              </w:pBdr>
              <w:ind w:left="12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 </w:t>
            </w:r>
          </w:p>
        </w:tc>
        <w:tc>
          <w:tcPr>
            <w:tcW w:w="1720" w:type="dxa"/>
            <w:tcMar>
              <w:top w:w="100" w:type="dxa"/>
              <w:left w:w="100" w:type="dxa"/>
              <w:bottom w:w="100" w:type="dxa"/>
              <w:right w:w="100" w:type="dxa"/>
            </w:tcMar>
          </w:tcPr>
          <w:p w14:paraId="5315C3D9" w14:textId="77777777" w:rsidR="004437F1" w:rsidRDefault="004437F1" w:rsidP="00F6159A">
            <w:pPr>
              <w:widowControl w:val="0"/>
              <w:pBdr>
                <w:top w:val="nil"/>
                <w:left w:val="nil"/>
                <w:bottom w:val="nil"/>
                <w:right w:val="nil"/>
                <w:between w:val="nil"/>
              </w:pBdr>
              <w:spacing w:line="229" w:lineRule="auto"/>
              <w:ind w:left="137" w:right="189" w:hanging="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Provides feasible and technically </w:t>
            </w:r>
          </w:p>
          <w:p w14:paraId="05074CC1" w14:textId="77777777" w:rsidR="004437F1" w:rsidRDefault="004437F1" w:rsidP="00F6159A">
            <w:pPr>
              <w:widowControl w:val="0"/>
              <w:pBdr>
                <w:top w:val="nil"/>
                <w:left w:val="nil"/>
                <w:bottom w:val="nil"/>
                <w:right w:val="nil"/>
                <w:between w:val="nil"/>
              </w:pBdr>
              <w:spacing w:before="5"/>
              <w:ind w:left="13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sound solution</w:t>
            </w:r>
          </w:p>
        </w:tc>
        <w:tc>
          <w:tcPr>
            <w:tcW w:w="1700" w:type="dxa"/>
            <w:tcMar>
              <w:top w:w="100" w:type="dxa"/>
              <w:left w:w="100" w:type="dxa"/>
              <w:bottom w:w="100" w:type="dxa"/>
              <w:right w:w="100" w:type="dxa"/>
            </w:tcMar>
          </w:tcPr>
          <w:p w14:paraId="04183154" w14:textId="77777777" w:rsidR="004437F1" w:rsidRDefault="004437F1" w:rsidP="00F6159A">
            <w:pPr>
              <w:widowControl w:val="0"/>
              <w:pBdr>
                <w:top w:val="nil"/>
                <w:left w:val="nil"/>
                <w:bottom w:val="nil"/>
                <w:right w:val="nil"/>
                <w:between w:val="nil"/>
              </w:pBdr>
              <w:ind w:left="12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Reasonable </w:t>
            </w:r>
          </w:p>
          <w:p w14:paraId="2F29133F" w14:textId="77777777" w:rsidR="004437F1" w:rsidRDefault="004437F1" w:rsidP="00F6159A">
            <w:pPr>
              <w:widowControl w:val="0"/>
              <w:pBdr>
                <w:top w:val="nil"/>
                <w:left w:val="nil"/>
                <w:bottom w:val="nil"/>
                <w:right w:val="nil"/>
                <w:between w:val="nil"/>
              </w:pBdr>
              <w:ind w:left="12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solution with </w:t>
            </w:r>
          </w:p>
          <w:p w14:paraId="55D42669" w14:textId="77777777" w:rsidR="004437F1" w:rsidRDefault="004437F1" w:rsidP="00F6159A">
            <w:pPr>
              <w:widowControl w:val="0"/>
              <w:pBdr>
                <w:top w:val="nil"/>
                <w:left w:val="nil"/>
                <w:bottom w:val="nil"/>
                <w:right w:val="nil"/>
                <w:between w:val="nil"/>
              </w:pBdr>
              <w:ind w:left="12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minor issues</w:t>
            </w:r>
          </w:p>
        </w:tc>
        <w:tc>
          <w:tcPr>
            <w:tcW w:w="1720" w:type="dxa"/>
            <w:tcMar>
              <w:top w:w="100" w:type="dxa"/>
              <w:left w:w="100" w:type="dxa"/>
              <w:bottom w:w="100" w:type="dxa"/>
              <w:right w:w="100" w:type="dxa"/>
            </w:tcMar>
          </w:tcPr>
          <w:p w14:paraId="46D271C5" w14:textId="77777777" w:rsidR="004437F1" w:rsidRDefault="004437F1" w:rsidP="00F6159A">
            <w:pPr>
              <w:widowControl w:val="0"/>
              <w:pBdr>
                <w:top w:val="nil"/>
                <w:left w:val="nil"/>
                <w:bottom w:val="nil"/>
                <w:right w:val="nil"/>
                <w:between w:val="nil"/>
              </w:pBdr>
              <w:ind w:left="1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solution </w:t>
            </w:r>
          </w:p>
          <w:p w14:paraId="1263746D" w14:textId="77777777" w:rsidR="004437F1" w:rsidRDefault="004437F1" w:rsidP="00F6159A">
            <w:pPr>
              <w:widowControl w:val="0"/>
              <w:pBdr>
                <w:top w:val="nil"/>
                <w:left w:val="nil"/>
                <w:bottom w:val="nil"/>
                <w:right w:val="nil"/>
                <w:between w:val="nil"/>
              </w:pBdr>
              <w:ind w:left="13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with limitations</w:t>
            </w:r>
          </w:p>
        </w:tc>
        <w:tc>
          <w:tcPr>
            <w:tcW w:w="1700" w:type="dxa"/>
            <w:tcMar>
              <w:top w:w="100" w:type="dxa"/>
              <w:left w:w="100" w:type="dxa"/>
              <w:bottom w:w="100" w:type="dxa"/>
              <w:right w:w="100" w:type="dxa"/>
            </w:tcMar>
          </w:tcPr>
          <w:p w14:paraId="0C76359E" w14:textId="77777777" w:rsidR="004437F1" w:rsidRDefault="004437F1" w:rsidP="00F6159A">
            <w:pPr>
              <w:widowControl w:val="0"/>
              <w:pBdr>
                <w:top w:val="nil"/>
                <w:left w:val="nil"/>
                <w:bottom w:val="nil"/>
                <w:right w:val="nil"/>
                <w:between w:val="nil"/>
              </w:pBdr>
              <w:spacing w:line="229" w:lineRule="auto"/>
              <w:ind w:left="129" w:right="92" w:hanging="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Unclear or invalid solution</w:t>
            </w:r>
          </w:p>
        </w:tc>
      </w:tr>
      <w:tr w:rsidR="004437F1" w14:paraId="0916A031" w14:textId="77777777" w:rsidTr="00F6159A">
        <w:trPr>
          <w:trHeight w:val="700"/>
        </w:trPr>
        <w:tc>
          <w:tcPr>
            <w:tcW w:w="1720" w:type="dxa"/>
            <w:tcMar>
              <w:top w:w="100" w:type="dxa"/>
              <w:left w:w="100" w:type="dxa"/>
              <w:bottom w:w="100" w:type="dxa"/>
              <w:right w:w="100" w:type="dxa"/>
            </w:tcMar>
          </w:tcPr>
          <w:p w14:paraId="796D1F53" w14:textId="77777777" w:rsidR="004437F1" w:rsidRDefault="004437F1" w:rsidP="00F6159A">
            <w:pPr>
              <w:widowControl w:val="0"/>
              <w:pBdr>
                <w:top w:val="nil"/>
                <w:left w:val="nil"/>
                <w:bottom w:val="nil"/>
                <w:right w:val="nil"/>
                <w:between w:val="nil"/>
              </w:pBdr>
              <w:ind w:left="1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Presentation of </w:t>
            </w:r>
          </w:p>
          <w:p w14:paraId="6A57AC16" w14:textId="77777777" w:rsidR="004437F1" w:rsidRDefault="004437F1" w:rsidP="00F6159A">
            <w:pPr>
              <w:widowControl w:val="0"/>
              <w:pBdr>
                <w:top w:val="nil"/>
                <w:left w:val="nil"/>
                <w:bottom w:val="nil"/>
                <w:right w:val="nil"/>
                <w:between w:val="nil"/>
              </w:pBdr>
              <w:ind w:left="13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c>
          <w:tcPr>
            <w:tcW w:w="1700" w:type="dxa"/>
            <w:tcMar>
              <w:top w:w="100" w:type="dxa"/>
              <w:left w:w="100" w:type="dxa"/>
              <w:bottom w:w="100" w:type="dxa"/>
              <w:right w:w="100" w:type="dxa"/>
            </w:tcMar>
          </w:tcPr>
          <w:p w14:paraId="4071A86D" w14:textId="77777777" w:rsidR="004437F1" w:rsidRDefault="004437F1" w:rsidP="00F6159A">
            <w:pPr>
              <w:widowControl w:val="0"/>
              <w:pBdr>
                <w:top w:val="nil"/>
                <w:left w:val="nil"/>
                <w:bottom w:val="nil"/>
                <w:right w:val="nil"/>
                <w:between w:val="nil"/>
              </w:pBdr>
              <w:ind w:left="14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15% </w:t>
            </w:r>
          </w:p>
        </w:tc>
        <w:tc>
          <w:tcPr>
            <w:tcW w:w="1720" w:type="dxa"/>
            <w:tcMar>
              <w:top w:w="100" w:type="dxa"/>
              <w:left w:w="100" w:type="dxa"/>
              <w:bottom w:w="100" w:type="dxa"/>
              <w:right w:w="100" w:type="dxa"/>
            </w:tcMar>
          </w:tcPr>
          <w:p w14:paraId="63572EAB" w14:textId="77777777" w:rsidR="004437F1" w:rsidRDefault="004437F1" w:rsidP="00F6159A">
            <w:pPr>
              <w:widowControl w:val="0"/>
              <w:pBdr>
                <w:top w:val="nil"/>
                <w:left w:val="nil"/>
                <w:bottom w:val="nil"/>
                <w:right w:val="nil"/>
                <w:between w:val="nil"/>
              </w:pBdr>
              <w:ind w:left="13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Well-structured </w:t>
            </w:r>
          </w:p>
          <w:p w14:paraId="22A6447E" w14:textId="77777777" w:rsidR="004437F1" w:rsidRDefault="004437F1" w:rsidP="00F6159A">
            <w:pPr>
              <w:widowControl w:val="0"/>
              <w:pBdr>
                <w:top w:val="nil"/>
                <w:left w:val="nil"/>
                <w:bottom w:val="nil"/>
                <w:right w:val="nil"/>
                <w:between w:val="nil"/>
              </w:pBdr>
              <w:ind w:left="13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and technically </w:t>
            </w:r>
          </w:p>
          <w:p w14:paraId="5F9E5E9A" w14:textId="77777777" w:rsidR="004437F1" w:rsidRDefault="004437F1" w:rsidP="00F6159A">
            <w:pPr>
              <w:widowControl w:val="0"/>
              <w:pBdr>
                <w:top w:val="nil"/>
                <w:left w:val="nil"/>
                <w:bottom w:val="nil"/>
                <w:right w:val="nil"/>
                <w:between w:val="nil"/>
              </w:pBdr>
              <w:ind w:left="12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precise</w:t>
            </w:r>
          </w:p>
        </w:tc>
        <w:tc>
          <w:tcPr>
            <w:tcW w:w="1700" w:type="dxa"/>
            <w:tcMar>
              <w:top w:w="100" w:type="dxa"/>
              <w:left w:w="100" w:type="dxa"/>
              <w:bottom w:w="100" w:type="dxa"/>
              <w:right w:w="100" w:type="dxa"/>
            </w:tcMar>
          </w:tcPr>
          <w:p w14:paraId="59A02910" w14:textId="77777777" w:rsidR="004437F1" w:rsidRDefault="004437F1" w:rsidP="00F6159A">
            <w:pPr>
              <w:widowControl w:val="0"/>
              <w:pBdr>
                <w:top w:val="nil"/>
                <w:left w:val="nil"/>
                <w:bottom w:val="nil"/>
                <w:right w:val="nil"/>
                <w:between w:val="nil"/>
              </w:pBdr>
              <w:ind w:left="12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Generally clear </w:t>
            </w:r>
          </w:p>
        </w:tc>
        <w:tc>
          <w:tcPr>
            <w:tcW w:w="1720" w:type="dxa"/>
            <w:tcMar>
              <w:top w:w="100" w:type="dxa"/>
              <w:left w:w="100" w:type="dxa"/>
              <w:bottom w:w="100" w:type="dxa"/>
              <w:right w:w="100" w:type="dxa"/>
            </w:tcMar>
          </w:tcPr>
          <w:p w14:paraId="705432F6" w14:textId="77777777" w:rsidR="004437F1" w:rsidRDefault="004437F1" w:rsidP="00F6159A">
            <w:pPr>
              <w:widowControl w:val="0"/>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Somewhat unclear </w:t>
            </w:r>
          </w:p>
        </w:tc>
        <w:tc>
          <w:tcPr>
            <w:tcW w:w="1700" w:type="dxa"/>
            <w:tcMar>
              <w:top w:w="100" w:type="dxa"/>
              <w:left w:w="100" w:type="dxa"/>
              <w:bottom w:w="100" w:type="dxa"/>
              <w:right w:w="100" w:type="dxa"/>
            </w:tcMar>
          </w:tcPr>
          <w:p w14:paraId="6933F3A3" w14:textId="77777777" w:rsidR="004437F1" w:rsidRDefault="004437F1" w:rsidP="00F6159A">
            <w:pPr>
              <w:widowControl w:val="0"/>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Difficult to follow</w:t>
            </w:r>
          </w:p>
        </w:tc>
      </w:tr>
    </w:tbl>
    <w:p w14:paraId="440C2176" w14:textId="77777777" w:rsidR="004437F1" w:rsidRDefault="004437F1" w:rsidP="004437F1">
      <w:pPr>
        <w:widowControl w:val="0"/>
        <w:pBdr>
          <w:top w:val="nil"/>
          <w:left w:val="nil"/>
          <w:bottom w:val="nil"/>
          <w:right w:val="nil"/>
          <w:between w:val="nil"/>
        </w:pBdr>
        <w:rPr>
          <w:color w:val="000000"/>
        </w:rPr>
      </w:pPr>
    </w:p>
    <w:p w14:paraId="206C8569" w14:textId="77777777" w:rsidR="004437F1" w:rsidRDefault="004437F1" w:rsidP="004437F1">
      <w:pPr>
        <w:widowControl w:val="0"/>
        <w:pBdr>
          <w:top w:val="nil"/>
          <w:left w:val="nil"/>
          <w:bottom w:val="nil"/>
          <w:right w:val="nil"/>
          <w:between w:val="nil"/>
        </w:pBdr>
        <w:rPr>
          <w:color w:val="000000"/>
        </w:rPr>
      </w:pPr>
    </w:p>
    <w:p w14:paraId="7E46C2F1" w14:textId="77777777" w:rsidR="004437F1" w:rsidRDefault="004437F1" w:rsidP="004437F1">
      <w:pPr>
        <w:widowControl w:val="0"/>
        <w:pBdr>
          <w:top w:val="nil"/>
          <w:left w:val="nil"/>
          <w:bottom w:val="nil"/>
          <w:right w:val="nil"/>
          <w:between w:val="nil"/>
        </w:pBdr>
        <w:ind w:right="938"/>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Total Marks Awarded:</w:t>
      </w:r>
    </w:p>
    <w:p w14:paraId="0BE8329E" w14:textId="77777777" w:rsidR="00C17EAC" w:rsidRPr="00F65358" w:rsidRDefault="00C17EAC">
      <w:pPr>
        <w:spacing w:after="160" w:line="300" w:lineRule="auto"/>
        <w:jc w:val="both"/>
        <w:rPr>
          <w:rFonts w:ascii="Times New Roman" w:hAnsi="Times New Roman" w:cs="Times New Roman"/>
        </w:rPr>
      </w:pPr>
    </w:p>
    <w:sectPr w:rsidR="00C17EAC" w:rsidRPr="00F653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36261"/>
    <w:multiLevelType w:val="hybridMultilevel"/>
    <w:tmpl w:val="E6E8CEA6"/>
    <w:lvl w:ilvl="0" w:tplc="3FCA7C0E">
      <w:start w:val="1"/>
      <w:numFmt w:val="bullet"/>
      <w:lvlText w:val="●"/>
      <w:lvlJc w:val="left"/>
      <w:pPr>
        <w:ind w:left="720" w:hanging="360"/>
      </w:pPr>
    </w:lvl>
    <w:lvl w:ilvl="1" w:tplc="B360F542">
      <w:start w:val="1"/>
      <w:numFmt w:val="bullet"/>
      <w:lvlText w:val="○"/>
      <w:lvlJc w:val="left"/>
      <w:pPr>
        <w:ind w:left="1440" w:hanging="360"/>
      </w:pPr>
    </w:lvl>
    <w:lvl w:ilvl="2" w:tplc="7402E214">
      <w:start w:val="1"/>
      <w:numFmt w:val="bullet"/>
      <w:lvlText w:val="■"/>
      <w:lvlJc w:val="left"/>
      <w:pPr>
        <w:ind w:left="2160" w:hanging="360"/>
      </w:pPr>
    </w:lvl>
    <w:lvl w:ilvl="3" w:tplc="C466EF1E">
      <w:start w:val="1"/>
      <w:numFmt w:val="bullet"/>
      <w:lvlText w:val="●"/>
      <w:lvlJc w:val="left"/>
      <w:pPr>
        <w:ind w:left="2880" w:hanging="360"/>
      </w:pPr>
    </w:lvl>
    <w:lvl w:ilvl="4" w:tplc="E64A25FC">
      <w:start w:val="1"/>
      <w:numFmt w:val="bullet"/>
      <w:lvlText w:val="○"/>
      <w:lvlJc w:val="left"/>
      <w:pPr>
        <w:ind w:left="3600" w:hanging="360"/>
      </w:pPr>
    </w:lvl>
    <w:lvl w:ilvl="5" w:tplc="B86A5500">
      <w:start w:val="1"/>
      <w:numFmt w:val="bullet"/>
      <w:lvlText w:val="■"/>
      <w:lvlJc w:val="left"/>
      <w:pPr>
        <w:ind w:left="4320" w:hanging="360"/>
      </w:pPr>
    </w:lvl>
    <w:lvl w:ilvl="6" w:tplc="7A9A0C08">
      <w:start w:val="1"/>
      <w:numFmt w:val="bullet"/>
      <w:lvlText w:val="●"/>
      <w:lvlJc w:val="left"/>
      <w:pPr>
        <w:ind w:left="5040" w:hanging="360"/>
      </w:pPr>
    </w:lvl>
    <w:lvl w:ilvl="7" w:tplc="CA2C7954">
      <w:start w:val="1"/>
      <w:numFmt w:val="bullet"/>
      <w:lvlText w:val="●"/>
      <w:lvlJc w:val="left"/>
      <w:pPr>
        <w:ind w:left="5760" w:hanging="360"/>
      </w:pPr>
    </w:lvl>
    <w:lvl w:ilvl="8" w:tplc="14A666FA">
      <w:start w:val="1"/>
      <w:numFmt w:val="bullet"/>
      <w:lvlText w:val="●"/>
      <w:lvlJc w:val="left"/>
      <w:pPr>
        <w:ind w:left="6480" w:hanging="360"/>
      </w:pPr>
    </w:lvl>
  </w:abstractNum>
  <w:abstractNum w:abstractNumId="1" w15:restartNumberingAfterBreak="0">
    <w:nsid w:val="3ECE209E"/>
    <w:multiLevelType w:val="hybridMultilevel"/>
    <w:tmpl w:val="EF5EA0B6"/>
    <w:lvl w:ilvl="0" w:tplc="0164B554">
      <w:start w:val="1"/>
      <w:numFmt w:val="bullet"/>
      <w:lvlText w:val="•"/>
      <w:lvlJc w:val="left"/>
      <w:pPr>
        <w:ind w:left="504" w:hanging="288"/>
      </w:pPr>
    </w:lvl>
    <w:lvl w:ilvl="1" w:tplc="09F8AFB8">
      <w:numFmt w:val="decimal"/>
      <w:lvlText w:val=""/>
      <w:lvlJc w:val="left"/>
    </w:lvl>
    <w:lvl w:ilvl="2" w:tplc="A8ECD2B8">
      <w:numFmt w:val="decimal"/>
      <w:lvlText w:val=""/>
      <w:lvlJc w:val="left"/>
    </w:lvl>
    <w:lvl w:ilvl="3" w:tplc="87A68A88">
      <w:numFmt w:val="decimal"/>
      <w:lvlText w:val=""/>
      <w:lvlJc w:val="left"/>
    </w:lvl>
    <w:lvl w:ilvl="4" w:tplc="29200244">
      <w:numFmt w:val="decimal"/>
      <w:lvlText w:val=""/>
      <w:lvlJc w:val="left"/>
    </w:lvl>
    <w:lvl w:ilvl="5" w:tplc="4CC8F058">
      <w:numFmt w:val="decimal"/>
      <w:lvlText w:val=""/>
      <w:lvlJc w:val="left"/>
    </w:lvl>
    <w:lvl w:ilvl="6" w:tplc="1D720278">
      <w:numFmt w:val="decimal"/>
      <w:lvlText w:val=""/>
      <w:lvlJc w:val="left"/>
    </w:lvl>
    <w:lvl w:ilvl="7" w:tplc="FC8E9DAC">
      <w:numFmt w:val="decimal"/>
      <w:lvlText w:val=""/>
      <w:lvlJc w:val="left"/>
    </w:lvl>
    <w:lvl w:ilvl="8" w:tplc="627C8CAA">
      <w:numFmt w:val="decimal"/>
      <w:lvlText w:val=""/>
      <w:lvlJc w:val="left"/>
    </w:lvl>
  </w:abstractNum>
  <w:num w:numId="1" w16cid:durableId="520701854">
    <w:abstractNumId w:val="0"/>
    <w:lvlOverride w:ilvl="0">
      <w:startOverride w:val="1"/>
    </w:lvlOverride>
  </w:num>
  <w:num w:numId="2" w16cid:durableId="12293396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EAC"/>
    <w:rsid w:val="00222DE8"/>
    <w:rsid w:val="002517C9"/>
    <w:rsid w:val="00327818"/>
    <w:rsid w:val="004437F1"/>
    <w:rsid w:val="006624F3"/>
    <w:rsid w:val="006A7370"/>
    <w:rsid w:val="00C17EAC"/>
    <w:rsid w:val="00DD6C23"/>
    <w:rsid w:val="00F65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53D00"/>
  <w15:docId w15:val="{042ACF16-7963-4A98-8221-9E579B4A2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8"/>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4030</Words>
  <Characters>22973</Characters>
  <Application>Microsoft Office Word</Application>
  <DocSecurity>0</DocSecurity>
  <Lines>191</Lines>
  <Paragraphs>53</Paragraphs>
  <ScaleCrop>false</ScaleCrop>
  <Company/>
  <LinksUpToDate>false</LinksUpToDate>
  <CharactersWithSpaces>26950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and Virtualization Assignment</dc:title>
  <dc:creator>Assignment</dc:creator>
  <cp:lastModifiedBy>Namburi Venkata Sai Sohith</cp:lastModifiedBy>
  <cp:revision>3</cp:revision>
  <dcterms:created xsi:type="dcterms:W3CDTF">2026-08-10T05:51:00Z</dcterms:created>
  <dcterms:modified xsi:type="dcterms:W3CDTF">2026-08-10T05:52:00Z</dcterms:modified>
</cp:coreProperties>
</file>