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61B3" w14:textId="4EA3F1D6" w:rsidR="00C161E8" w:rsidRPr="00055C98" w:rsidRDefault="00C161E8" w:rsidP="00C161E8">
      <w:pPr>
        <w:spacing w:line="276" w:lineRule="auto"/>
        <w:jc w:val="center"/>
        <w:rPr>
          <w:rFonts w:ascii="Times New Roman" w:hAnsi="Times New Roman" w:cs="Times New Roman"/>
          <w:sz w:val="24"/>
          <w:szCs w:val="24"/>
        </w:rPr>
      </w:pPr>
      <w:r w:rsidRPr="00055C98">
        <w:rPr>
          <w:rFonts w:ascii="Times New Roman" w:hAnsi="Times New Roman" w:cs="Times New Roman"/>
          <w:b/>
          <w:bCs/>
          <w:sz w:val="24"/>
          <w:szCs w:val="24"/>
        </w:rPr>
        <w:t>SIMATS ENGINEERING</w:t>
      </w:r>
    </w:p>
    <w:p w14:paraId="2F2C054B" w14:textId="2A7B1535" w:rsidR="00C161E8" w:rsidRPr="00055C98" w:rsidRDefault="00C161E8" w:rsidP="00C161E8">
      <w:pPr>
        <w:spacing w:line="276" w:lineRule="auto"/>
        <w:jc w:val="center"/>
        <w:rPr>
          <w:rFonts w:ascii="Times New Roman" w:hAnsi="Times New Roman" w:cs="Times New Roman"/>
          <w:sz w:val="24"/>
          <w:szCs w:val="24"/>
        </w:rPr>
      </w:pPr>
      <w:r w:rsidRPr="00055C98">
        <w:rPr>
          <w:rFonts w:ascii="Times New Roman" w:hAnsi="Times New Roman" w:cs="Times New Roman"/>
          <w:b/>
          <w:bCs/>
          <w:sz w:val="24"/>
          <w:szCs w:val="24"/>
        </w:rPr>
        <w:t>ASSESSMENT TOOL 2: Scenario-Based</w:t>
      </w:r>
      <w:r w:rsidRPr="00055C98">
        <w:rPr>
          <w:rFonts w:ascii="Times New Roman" w:hAnsi="Times New Roman" w:cs="Times New Roman"/>
          <w:b/>
          <w:bCs/>
          <w:sz w:val="24"/>
          <w:szCs w:val="24"/>
        </w:rPr>
        <w:br/>
      </w:r>
    </w:p>
    <w:p w14:paraId="46D3CC10"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b/>
          <w:bCs/>
          <w:sz w:val="24"/>
          <w:szCs w:val="24"/>
        </w:rPr>
        <w:t xml:space="preserve">COURSE NAME: </w:t>
      </w:r>
      <w:r w:rsidRPr="00055C98">
        <w:rPr>
          <w:rFonts w:ascii="Times New Roman" w:hAnsi="Times New Roman" w:cs="Times New Roman"/>
          <w:sz w:val="24"/>
          <w:szCs w:val="24"/>
        </w:rPr>
        <w:t>Cloud Computing and Big Data Analytics </w:t>
      </w:r>
    </w:p>
    <w:p w14:paraId="46485608" w14:textId="77777777" w:rsidR="00C161E8" w:rsidRPr="00055C98" w:rsidRDefault="00C161E8" w:rsidP="00C161E8">
      <w:pPr>
        <w:spacing w:line="276" w:lineRule="auto"/>
        <w:rPr>
          <w:rFonts w:ascii="Times New Roman" w:hAnsi="Times New Roman" w:cs="Times New Roman"/>
          <w:sz w:val="24"/>
          <w:szCs w:val="24"/>
        </w:rPr>
      </w:pPr>
    </w:p>
    <w:p w14:paraId="6019510A" w14:textId="77777777" w:rsidR="00C161E8" w:rsidRPr="00055C98" w:rsidRDefault="00C161E8" w:rsidP="00C161E8">
      <w:pPr>
        <w:pBdr>
          <w:bottom w:val="single" w:sz="12" w:space="1" w:color="auto"/>
        </w:pBdr>
        <w:spacing w:line="276" w:lineRule="auto"/>
        <w:rPr>
          <w:rFonts w:ascii="Times New Roman" w:hAnsi="Times New Roman" w:cs="Times New Roman"/>
          <w:sz w:val="24"/>
          <w:szCs w:val="24"/>
        </w:rPr>
      </w:pPr>
      <w:r w:rsidRPr="00055C98">
        <w:rPr>
          <w:rFonts w:ascii="Times New Roman" w:hAnsi="Times New Roman" w:cs="Times New Roman"/>
          <w:b/>
          <w:bCs/>
          <w:sz w:val="24"/>
          <w:szCs w:val="24"/>
        </w:rPr>
        <w:t xml:space="preserve">COURSE CODE: </w:t>
      </w:r>
      <w:r w:rsidRPr="00055C98">
        <w:rPr>
          <w:rFonts w:ascii="Times New Roman" w:hAnsi="Times New Roman" w:cs="Times New Roman"/>
          <w:sz w:val="24"/>
          <w:szCs w:val="24"/>
        </w:rPr>
        <w:t>CSA15 </w:t>
      </w:r>
    </w:p>
    <w:p w14:paraId="4646C832" w14:textId="77777777" w:rsidR="00C161E8" w:rsidRPr="00055C98" w:rsidRDefault="00C161E8" w:rsidP="00C161E8">
      <w:pPr>
        <w:pBdr>
          <w:bottom w:val="single" w:sz="12" w:space="1" w:color="auto"/>
        </w:pBdr>
        <w:spacing w:line="276" w:lineRule="auto"/>
        <w:rPr>
          <w:rFonts w:ascii="Times New Roman" w:hAnsi="Times New Roman" w:cs="Times New Roman"/>
          <w:sz w:val="24"/>
          <w:szCs w:val="24"/>
        </w:rPr>
      </w:pPr>
    </w:p>
    <w:p w14:paraId="247AFEA8" w14:textId="77777777" w:rsidR="00C161E8" w:rsidRPr="00055C98" w:rsidRDefault="00C161E8" w:rsidP="00C161E8">
      <w:pPr>
        <w:spacing w:line="276" w:lineRule="auto"/>
        <w:rPr>
          <w:rFonts w:ascii="Times New Roman" w:hAnsi="Times New Roman" w:cs="Times New Roman"/>
          <w:b/>
          <w:bCs/>
          <w:sz w:val="24"/>
          <w:szCs w:val="24"/>
        </w:rPr>
      </w:pPr>
    </w:p>
    <w:p w14:paraId="1D883A5E"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b/>
          <w:bCs/>
          <w:sz w:val="24"/>
          <w:szCs w:val="24"/>
        </w:rPr>
        <w:t>COURSE OUTCOME COVERED </w:t>
      </w:r>
      <w:r w:rsidRPr="00055C98">
        <w:rPr>
          <w:rFonts w:ascii="Times New Roman" w:hAnsi="Times New Roman" w:cs="Times New Roman"/>
          <w:b/>
          <w:bCs/>
          <w:sz w:val="24"/>
          <w:szCs w:val="24"/>
        </w:rPr>
        <w:br/>
      </w:r>
    </w:p>
    <w:p w14:paraId="0E33D8A1"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b/>
          <w:bCs/>
          <w:sz w:val="24"/>
          <w:szCs w:val="24"/>
        </w:rPr>
        <w:t xml:space="preserve">CO2: </w:t>
      </w:r>
      <w:proofErr w:type="spellStart"/>
      <w:r w:rsidRPr="00055C98">
        <w:rPr>
          <w:rFonts w:ascii="Times New Roman" w:hAnsi="Times New Roman" w:cs="Times New Roman"/>
          <w:i/>
          <w:iCs/>
          <w:sz w:val="24"/>
          <w:szCs w:val="24"/>
        </w:rPr>
        <w:t>Analyze</w:t>
      </w:r>
      <w:proofErr w:type="spellEnd"/>
      <w:r w:rsidRPr="00055C98">
        <w:rPr>
          <w:rFonts w:ascii="Times New Roman" w:hAnsi="Times New Roman" w:cs="Times New Roman"/>
          <w:i/>
          <w:iCs/>
          <w:sz w:val="24"/>
          <w:szCs w:val="24"/>
        </w:rPr>
        <w:t xml:space="preserve"> virtualization architectures to identify performance and security issues in cloud computing environments. </w:t>
      </w:r>
      <w:r w:rsidRPr="00055C98">
        <w:rPr>
          <w:rFonts w:ascii="Times New Roman" w:hAnsi="Times New Roman" w:cs="Times New Roman"/>
          <w:sz w:val="24"/>
          <w:szCs w:val="24"/>
        </w:rPr>
        <w:t>(BL3) </w:t>
      </w:r>
    </w:p>
    <w:p w14:paraId="760A5FF8" w14:textId="77777777" w:rsidR="00C161E8" w:rsidRPr="00055C98" w:rsidRDefault="00C161E8" w:rsidP="00C161E8">
      <w:pPr>
        <w:spacing w:line="276" w:lineRule="auto"/>
        <w:rPr>
          <w:rFonts w:ascii="Times New Roman" w:hAnsi="Times New Roman" w:cs="Times New Roman"/>
          <w:sz w:val="24"/>
          <w:szCs w:val="24"/>
        </w:rPr>
      </w:pPr>
    </w:p>
    <w:p w14:paraId="071091E0" w14:textId="77777777" w:rsidR="00C161E8" w:rsidRPr="00055C98" w:rsidRDefault="00C161E8" w:rsidP="00C161E8">
      <w:pPr>
        <w:spacing w:line="276" w:lineRule="auto"/>
        <w:rPr>
          <w:rFonts w:ascii="Times New Roman" w:hAnsi="Times New Roman" w:cs="Times New Roman"/>
          <w:sz w:val="24"/>
          <w:szCs w:val="24"/>
        </w:rPr>
      </w:pPr>
    </w:p>
    <w:p w14:paraId="0B23AFB8"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 xml:space="preserve">Dave's Taxonomy: Manipulation (Level 2) </w:t>
      </w:r>
    </w:p>
    <w:p w14:paraId="50E9356F" w14:textId="6F0AC490"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Question Count: 5 </w:t>
      </w:r>
    </w:p>
    <w:p w14:paraId="1DB3BDC4" w14:textId="32BF46C5" w:rsidR="00C161E8" w:rsidRPr="00055C98" w:rsidRDefault="00C161E8" w:rsidP="00C161E8">
      <w:pPr>
        <w:spacing w:line="276" w:lineRule="auto"/>
        <w:rPr>
          <w:rFonts w:ascii="Times New Roman" w:hAnsi="Times New Roman" w:cs="Times New Roman"/>
          <w:b/>
          <w:bCs/>
          <w:sz w:val="24"/>
          <w:szCs w:val="24"/>
        </w:rPr>
      </w:pPr>
      <w:r w:rsidRPr="00055C98">
        <w:rPr>
          <w:rFonts w:ascii="Times New Roman" w:hAnsi="Times New Roman" w:cs="Times New Roman"/>
          <w:b/>
          <w:bCs/>
          <w:sz w:val="24"/>
          <w:szCs w:val="24"/>
        </w:rPr>
        <w:t>Total Marks: 25 </w:t>
      </w:r>
    </w:p>
    <w:p w14:paraId="1383C4E6" w14:textId="77777777" w:rsidR="00C161E8" w:rsidRPr="00055C98" w:rsidRDefault="00C161E8" w:rsidP="00C161E8">
      <w:pPr>
        <w:spacing w:line="276" w:lineRule="auto"/>
        <w:rPr>
          <w:rFonts w:ascii="Times New Roman" w:hAnsi="Times New Roman" w:cs="Times New Roman"/>
          <w:b/>
          <w:bCs/>
          <w:sz w:val="24"/>
          <w:szCs w:val="24"/>
        </w:rPr>
      </w:pPr>
      <w:r w:rsidRPr="00055C98">
        <w:rPr>
          <w:rFonts w:ascii="Times New Roman" w:hAnsi="Times New Roman" w:cs="Times New Roman"/>
          <w:b/>
          <w:bCs/>
          <w:sz w:val="24"/>
          <w:szCs w:val="24"/>
        </w:rPr>
        <w:t>______________________________________________________________________________</w:t>
      </w:r>
    </w:p>
    <w:p w14:paraId="412563FA" w14:textId="77777777" w:rsidR="00C161E8" w:rsidRPr="00055C98" w:rsidRDefault="00C161E8" w:rsidP="00C161E8">
      <w:pPr>
        <w:spacing w:line="276" w:lineRule="auto"/>
        <w:rPr>
          <w:rFonts w:ascii="Times New Roman" w:hAnsi="Times New Roman" w:cs="Times New Roman"/>
          <w:sz w:val="24"/>
          <w:szCs w:val="24"/>
        </w:rPr>
      </w:pPr>
    </w:p>
    <w:p w14:paraId="69AEB63F"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b/>
          <w:bCs/>
          <w:sz w:val="24"/>
          <w:szCs w:val="24"/>
        </w:rPr>
        <w:t>Code of Conduct </w:t>
      </w:r>
    </w:p>
    <w:p w14:paraId="52793F0B" w14:textId="77777777" w:rsidR="00C161E8" w:rsidRPr="00055C98" w:rsidRDefault="00C161E8" w:rsidP="00C161E8">
      <w:pPr>
        <w:spacing w:line="276" w:lineRule="auto"/>
        <w:rPr>
          <w:rFonts w:ascii="Times New Roman" w:hAnsi="Times New Roman" w:cs="Times New Roman"/>
          <w:sz w:val="24"/>
          <w:szCs w:val="24"/>
        </w:rPr>
      </w:pPr>
    </w:p>
    <w:p w14:paraId="10745EF1" w14:textId="11162D8B"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 xml:space="preserve">I </w:t>
      </w:r>
      <w:r w:rsidR="00055C98" w:rsidRPr="00055C98">
        <w:rPr>
          <w:rFonts w:ascii="Times New Roman" w:hAnsi="Times New Roman" w:cs="Times New Roman"/>
          <w:sz w:val="24"/>
          <w:szCs w:val="24"/>
        </w:rPr>
        <w:t xml:space="preserve">NAMBURI VENKATA SAI SOHITH (192425140) </w:t>
      </w:r>
      <w:r w:rsidRPr="00055C98">
        <w:rPr>
          <w:rFonts w:ascii="Times New Roman" w:hAnsi="Times New Roman" w:cs="Times New Roman"/>
          <w:sz w:val="24"/>
          <w:szCs w:val="24"/>
        </w:rPr>
        <w:t>(Name / Reg No) certify that this submission is my original work and that I have adhered to the guidelines specified for this assessment. </w:t>
      </w:r>
    </w:p>
    <w:p w14:paraId="5B6B0423"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 xml:space="preserve">I understand that any violation of academic integrity rules will result in disciplinary action. </w:t>
      </w:r>
    </w:p>
    <w:p w14:paraId="338AA295" w14:textId="77777777"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 xml:space="preserve"> </w:t>
      </w:r>
    </w:p>
    <w:p w14:paraId="688C0F3C" w14:textId="32CE87CC" w:rsidR="00C161E8" w:rsidRPr="00055C98" w:rsidRDefault="00C161E8" w:rsidP="00C161E8">
      <w:pPr>
        <w:spacing w:line="276" w:lineRule="auto"/>
        <w:rPr>
          <w:rFonts w:ascii="Times New Roman" w:hAnsi="Times New Roman" w:cs="Times New Roman"/>
          <w:sz w:val="24"/>
          <w:szCs w:val="24"/>
        </w:rPr>
      </w:pPr>
      <w:r w:rsidRPr="00055C98">
        <w:rPr>
          <w:rFonts w:ascii="Times New Roman" w:hAnsi="Times New Roman" w:cs="Times New Roman"/>
          <w:sz w:val="24"/>
          <w:szCs w:val="24"/>
        </w:rPr>
        <w:t xml:space="preserve">Signature of the student: </w:t>
      </w:r>
      <w:r w:rsidR="00055C98" w:rsidRPr="00055C98">
        <w:rPr>
          <w:rFonts w:ascii="Times New Roman" w:hAnsi="Times New Roman" w:cs="Times New Roman"/>
          <w:sz w:val="24"/>
          <w:szCs w:val="24"/>
        </w:rPr>
        <w:t xml:space="preserve">N. SOHITH </w:t>
      </w:r>
    </w:p>
    <w:p w14:paraId="120F4A16" w14:textId="60315A38" w:rsidR="00923D50" w:rsidRPr="00055C98" w:rsidRDefault="00923D50">
      <w:pPr>
        <w:rPr>
          <w:rFonts w:ascii="Times New Roman" w:hAnsi="Times New Roman" w:cs="Times New Roman"/>
        </w:rPr>
      </w:pPr>
    </w:p>
    <w:p w14:paraId="3D015208"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13D897F8"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08DC879C"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52582B0F"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027EF255"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774B1B59"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1F242185"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0FF69D45" w14:textId="77777777" w:rsidR="00C161E8" w:rsidRPr="00055C98" w:rsidRDefault="00C161E8">
      <w:pPr>
        <w:pStyle w:val="Heading1"/>
        <w:pBdr>
          <w:bottom w:val="single" w:sz="8" w:space="4" w:color="2E5395"/>
        </w:pBdr>
        <w:spacing w:before="100" w:after="200"/>
        <w:rPr>
          <w:rFonts w:ascii="Times New Roman" w:hAnsi="Times New Roman" w:cs="Times New Roman"/>
          <w:b/>
          <w:bCs/>
          <w:color w:val="2E5395"/>
          <w:sz w:val="30"/>
          <w:szCs w:val="30"/>
        </w:rPr>
      </w:pPr>
    </w:p>
    <w:p w14:paraId="6F99EC42" w14:textId="4826B4E5" w:rsidR="00923D50" w:rsidRPr="00055C98" w:rsidRDefault="00000000">
      <w:pPr>
        <w:pStyle w:val="Heading1"/>
        <w:pBdr>
          <w:bottom w:val="single" w:sz="8" w:space="4" w:color="2E5395"/>
        </w:pBdr>
        <w:spacing w:before="100" w:after="200"/>
        <w:rPr>
          <w:rFonts w:ascii="Times New Roman" w:hAnsi="Times New Roman" w:cs="Times New Roman"/>
        </w:rPr>
      </w:pPr>
      <w:r w:rsidRPr="00055C98">
        <w:rPr>
          <w:rFonts w:ascii="Times New Roman" w:hAnsi="Times New Roman" w:cs="Times New Roman"/>
          <w:b/>
          <w:bCs/>
          <w:color w:val="2E5395"/>
          <w:sz w:val="30"/>
          <w:szCs w:val="30"/>
        </w:rPr>
        <w:t>Q1. Cloud Architecture for a Large-Scale Video Streaming Platform</w:t>
      </w:r>
    </w:p>
    <w:p w14:paraId="7F098324"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Requirements</w:t>
      </w:r>
    </w:p>
    <w:p w14:paraId="2AF8F889"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video streaming platform serving millions of concurrent users must minimize buffering, deliver content close to the viewer, absorb unpredictable demand spikes (new releases, live events), and remain cost-efficient at very high data volumes. Meeting this requires an architecture built around global content distribution, aggressive caching, elastic compute, and intelligent traffic management, rather than a single monolithic backend.</w:t>
      </w:r>
    </w:p>
    <w:p w14:paraId="2C636E5F"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Core Architecture and Scalability</w:t>
      </w:r>
    </w:p>
    <w:p w14:paraId="7D8DFABD"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The platform should be decomposed into loosely coupled microservices — user authentication, </w:t>
      </w:r>
      <w:proofErr w:type="spellStart"/>
      <w:r w:rsidRPr="00055C98">
        <w:rPr>
          <w:rFonts w:ascii="Times New Roman" w:hAnsi="Times New Roman" w:cs="Times New Roman"/>
        </w:rPr>
        <w:t>catalog</w:t>
      </w:r>
      <w:proofErr w:type="spellEnd"/>
      <w:r w:rsidRPr="00055C98">
        <w:rPr>
          <w:rFonts w:ascii="Times New Roman" w:hAnsi="Times New Roman" w:cs="Times New Roman"/>
        </w:rPr>
        <w:t>/search, recommendation, transcoding, playback/session management, and billing — each independently deployable and scalable in containers orchestrated by Kubernetes. Raw video is uploaded to object storage (e.g., S3-class storage) and processed by an elastic transcoding pipeline that produces multiple adaptive-bitrate renditions (via HLS/DASH) so each client can stream at the quality its network supports. A global Content Delivery Network (CDN) with edge points-of-presence caches these video segments</w:t>
      </w:r>
      <w:r w:rsidRPr="00055C98">
        <w:rPr>
          <w:rFonts w:ascii="Times New Roman" w:hAnsi="Times New Roman" w:cs="Times New Roman"/>
        </w:rPr>
        <w:t xml:space="preserve"> close to end users, so the overwhelming majority of playback requests never reach the origin infrastructure at all — this is the single largest lever for handling millions of concurrent viewers without buffering.</w:t>
      </w:r>
    </w:p>
    <w:p w14:paraId="4AD928C2"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Caching Techniques</w:t>
      </w:r>
    </w:p>
    <w:p w14:paraId="07FD7D50"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Edge/CDN caching of video segments and manifest files, with long time-to-live for immutable video chunks.</w:t>
      </w:r>
    </w:p>
    <w:p w14:paraId="22BD0995"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Origin shielding: a mid-tier cache layer between edge nodes and origin storage to prevent 'thundering herd' requests to origin during a popular live event.</w:t>
      </w:r>
    </w:p>
    <w:p w14:paraId="4925505A"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 xml:space="preserve">Application-layer caching (Redis/Memcached) for </w:t>
      </w:r>
      <w:proofErr w:type="spellStart"/>
      <w:r w:rsidRPr="00055C98">
        <w:rPr>
          <w:rFonts w:ascii="Times New Roman" w:hAnsi="Times New Roman" w:cs="Times New Roman"/>
        </w:rPr>
        <w:t>catalog</w:t>
      </w:r>
      <w:proofErr w:type="spellEnd"/>
      <w:r w:rsidRPr="00055C98">
        <w:rPr>
          <w:rFonts w:ascii="Times New Roman" w:hAnsi="Times New Roman" w:cs="Times New Roman"/>
        </w:rPr>
        <w:t xml:space="preserve"> metadata, user session state, and recommendation results to keep API latency low.</w:t>
      </w:r>
    </w:p>
    <w:p w14:paraId="37886184"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Pre-warming caches ahead of scheduled high-demand events (major releases, live sports) by proactively pushing content to edge nodes.</w:t>
      </w:r>
    </w:p>
    <w:p w14:paraId="0611D01C"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Load Balancing and Auto-Scaling for Smooth Streaming</w:t>
      </w:r>
    </w:p>
    <w:p w14:paraId="74697CC3"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A layered load-balancing strategy is required: global DNS/Anycast-based load balancing routes each user to the nearest healthy CDN edge or regional cluster; within a region, Layer-7 (application) load balancers distribute API and playback-session traffic across container instances based on health checks and current load. Auto-scaling groups (or Kubernetes Horizontal Pod </w:t>
      </w:r>
      <w:proofErr w:type="spellStart"/>
      <w:r w:rsidRPr="00055C98">
        <w:rPr>
          <w:rFonts w:ascii="Times New Roman" w:hAnsi="Times New Roman" w:cs="Times New Roman"/>
        </w:rPr>
        <w:t>Autoscalers</w:t>
      </w:r>
      <w:proofErr w:type="spellEnd"/>
      <w:r w:rsidRPr="00055C98">
        <w:rPr>
          <w:rFonts w:ascii="Times New Roman" w:hAnsi="Times New Roman" w:cs="Times New Roman"/>
        </w:rPr>
        <w:t>) monitor CPU, memory, request latency, and queue depth for each microservice and add or remove instances automatically — critical for absorbing sudden viewership spikes, such as a live event start, within seconds rather than requiring manual intervention. Because video delivery is offloaded to the CDN, auto-scaling primarily protects the control-</w:t>
      </w:r>
      <w:r w:rsidRPr="00055C98">
        <w:rPr>
          <w:rFonts w:ascii="Times New Roman" w:hAnsi="Times New Roman" w:cs="Times New Roman"/>
        </w:rPr>
        <w:lastRenderedPageBreak/>
        <w:t>plane services (authentication, session management, recommendations), which see spikes correlated with viewer counts even though the heavy bandwidth its</w:t>
      </w:r>
      <w:r w:rsidRPr="00055C98">
        <w:rPr>
          <w:rFonts w:ascii="Times New Roman" w:hAnsi="Times New Roman" w:cs="Times New Roman"/>
        </w:rPr>
        <w:t>elf is handled at the edge.</w:t>
      </w:r>
    </w:p>
    <w:p w14:paraId="0DE446B2"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Cost Optimization Strategies</w:t>
      </w:r>
    </w:p>
    <w:p w14:paraId="0978C5E7"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Use tiered storage: hot/recent content on fast storage, older or rarely watched content moved automatically to cheaper cold/archive storage tiers.</w:t>
      </w:r>
    </w:p>
    <w:p w14:paraId="794CDAF9"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Leverage spot/preemptible compute instances for non-real-time work such as batch transcoding, with on-demand or reserved instances reserved for latency-critical serving paths.</w:t>
      </w:r>
    </w:p>
    <w:p w14:paraId="14797B2B"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Negotiate CDN pricing and use multi-CDN strategies to route traffic to the most cost-effective provider per region without sacrificing performance.</w:t>
      </w:r>
    </w:p>
    <w:p w14:paraId="1376EC14"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Apply reserved capacity or savings-plan pricing for predictable baseline load, while relying on auto-scaling and on-demand pricing only for the variable peak portion of traffic.</w:t>
      </w:r>
    </w:p>
    <w:p w14:paraId="544B6B5E"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Compress and right-size adaptive bitrate renditions so bandwidth costs scale efficiently with actual device and network conditions rather than always serving maximum quality.</w:t>
      </w:r>
    </w:p>
    <w:p w14:paraId="6C62E683"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Combined, these choices allow the platform to deliver low-buffering playback to a global, highly variable audience while keeping infrastructure spend proportional to actual demand rather than provisioned for worst-case peak at all times.</w:t>
      </w:r>
    </w:p>
    <w:p w14:paraId="293228FA" w14:textId="77777777" w:rsidR="00923D50" w:rsidRPr="00055C98" w:rsidRDefault="00000000">
      <w:pPr>
        <w:rPr>
          <w:rFonts w:ascii="Times New Roman" w:hAnsi="Times New Roman" w:cs="Times New Roman"/>
        </w:rPr>
      </w:pPr>
      <w:r w:rsidRPr="00055C98">
        <w:rPr>
          <w:rFonts w:ascii="Times New Roman" w:hAnsi="Times New Roman" w:cs="Times New Roman"/>
        </w:rPr>
        <w:br w:type="page"/>
      </w:r>
    </w:p>
    <w:p w14:paraId="045ABC31" w14:textId="77777777" w:rsidR="00923D50" w:rsidRPr="00055C98" w:rsidRDefault="00000000">
      <w:pPr>
        <w:pStyle w:val="Heading1"/>
        <w:pBdr>
          <w:bottom w:val="single" w:sz="8" w:space="4" w:color="2E5395"/>
        </w:pBdr>
        <w:spacing w:before="100" w:after="200"/>
        <w:rPr>
          <w:rFonts w:ascii="Times New Roman" w:hAnsi="Times New Roman" w:cs="Times New Roman"/>
        </w:rPr>
      </w:pPr>
      <w:r w:rsidRPr="00055C98">
        <w:rPr>
          <w:rFonts w:ascii="Times New Roman" w:hAnsi="Times New Roman" w:cs="Times New Roman"/>
          <w:b/>
          <w:bCs/>
          <w:color w:val="2E5395"/>
          <w:sz w:val="30"/>
          <w:szCs w:val="30"/>
        </w:rPr>
        <w:lastRenderedPageBreak/>
        <w:t>Q2. Container Orchestration and Multi-Cloud Strategy for a Fintech Startup</w:t>
      </w:r>
    </w:p>
    <w:p w14:paraId="27F24E36"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The Challenge</w:t>
      </w:r>
    </w:p>
    <w:p w14:paraId="15AF401E"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fintech startup running containerized applications across multiple cloud providers faces two intertwined problems: keeping deployments consistent across environments with different native tooling, and coordinating rollouts, configuration, and networking so that the same application behaves identically regardless of which cloud is currently serving a given request. Financial workloads add the additional constraint that any inconsistency can directly translate into compliance or transaction-integrity risk.</w:t>
      </w:r>
    </w:p>
    <w:p w14:paraId="7F3B71D9"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Proposed Solution: Kubernetes as a Common Orchestration Layer</w:t>
      </w:r>
    </w:p>
    <w:p w14:paraId="268B7F74"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The core recommendation is to standardize on Kubernetes as the container orchestration platform across all providers (using each provider's managed Kubernetes offering, e.g., EKS, AKS, GKE, or a self-managed distribution), since Kubernetes provides a consistent API and deployment model regardless of the underlying infrastructure. Application packaging should be standardized using Helm charts or </w:t>
      </w:r>
      <w:proofErr w:type="spellStart"/>
      <w:r w:rsidRPr="00055C98">
        <w:rPr>
          <w:rFonts w:ascii="Times New Roman" w:hAnsi="Times New Roman" w:cs="Times New Roman"/>
        </w:rPr>
        <w:t>Kustomize</w:t>
      </w:r>
      <w:proofErr w:type="spellEnd"/>
      <w:r w:rsidRPr="00055C98">
        <w:rPr>
          <w:rFonts w:ascii="Times New Roman" w:hAnsi="Times New Roman" w:cs="Times New Roman"/>
        </w:rPr>
        <w:t xml:space="preserve"> overlays, with a </w:t>
      </w:r>
      <w:proofErr w:type="spellStart"/>
      <w:r w:rsidRPr="00055C98">
        <w:rPr>
          <w:rFonts w:ascii="Times New Roman" w:hAnsi="Times New Roman" w:cs="Times New Roman"/>
        </w:rPr>
        <w:t>GitOps</w:t>
      </w:r>
      <w:proofErr w:type="spellEnd"/>
      <w:r w:rsidRPr="00055C98">
        <w:rPr>
          <w:rFonts w:ascii="Times New Roman" w:hAnsi="Times New Roman" w:cs="Times New Roman"/>
        </w:rPr>
        <w:t xml:space="preserve"> workflow (e.g., </w:t>
      </w:r>
      <w:proofErr w:type="spellStart"/>
      <w:r w:rsidRPr="00055C98">
        <w:rPr>
          <w:rFonts w:ascii="Times New Roman" w:hAnsi="Times New Roman" w:cs="Times New Roman"/>
        </w:rPr>
        <w:t>ArgoCD</w:t>
      </w:r>
      <w:proofErr w:type="spellEnd"/>
      <w:r w:rsidRPr="00055C98">
        <w:rPr>
          <w:rFonts w:ascii="Times New Roman" w:hAnsi="Times New Roman" w:cs="Times New Roman"/>
        </w:rPr>
        <w:t xml:space="preserve"> or Flux) driving deployments: the desired state of every environment is stored in a single Git repository, and the </w:t>
      </w:r>
      <w:proofErr w:type="spellStart"/>
      <w:r w:rsidRPr="00055C98">
        <w:rPr>
          <w:rFonts w:ascii="Times New Roman" w:hAnsi="Times New Roman" w:cs="Times New Roman"/>
        </w:rPr>
        <w:t>GitOps</w:t>
      </w:r>
      <w:proofErr w:type="spellEnd"/>
      <w:r w:rsidRPr="00055C98">
        <w:rPr>
          <w:rFonts w:ascii="Times New Roman" w:hAnsi="Times New Roman" w:cs="Times New Roman"/>
        </w:rPr>
        <w:t xml:space="preserve"> controller continuously reconciles each cluster to match it. This eliminates configuration drift between clouds because every environment is deployed from the same declarative source rather than manual, provider-specific steps.</w:t>
      </w:r>
    </w:p>
    <w:p w14:paraId="50A55517"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Service Discovery and Scaling</w:t>
      </w:r>
    </w:p>
    <w:p w14:paraId="71BE25EC"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Within each cluster, Kubernetes' built-in service discovery (DNS-based service names and virtual IPs) allows containers to locate each other without hardcoded addresses. Across clusters in different clouds, a service mesh (such as Istio or </w:t>
      </w:r>
      <w:proofErr w:type="spellStart"/>
      <w:r w:rsidRPr="00055C98">
        <w:rPr>
          <w:rFonts w:ascii="Times New Roman" w:hAnsi="Times New Roman" w:cs="Times New Roman"/>
        </w:rPr>
        <w:t>Linkerd</w:t>
      </w:r>
      <w:proofErr w:type="spellEnd"/>
      <w:r w:rsidRPr="00055C98">
        <w:rPr>
          <w:rFonts w:ascii="Times New Roman" w:hAnsi="Times New Roman" w:cs="Times New Roman"/>
        </w:rPr>
        <w:t xml:space="preserve">) extended with multi-cluster support provides unified service discovery, mutual TLS between services regardless of which cloud they run in, and consistent traffic policies (retries, circuit breaking, canary routing) applied identically everywhere. Horizontal Pod </w:t>
      </w:r>
      <w:proofErr w:type="spellStart"/>
      <w:r w:rsidRPr="00055C98">
        <w:rPr>
          <w:rFonts w:ascii="Times New Roman" w:hAnsi="Times New Roman" w:cs="Times New Roman"/>
        </w:rPr>
        <w:t>Autoscalers</w:t>
      </w:r>
      <w:proofErr w:type="spellEnd"/>
      <w:r w:rsidRPr="00055C98">
        <w:rPr>
          <w:rFonts w:ascii="Times New Roman" w:hAnsi="Times New Roman" w:cs="Times New Roman"/>
        </w:rPr>
        <w:t>, tuned to CPU/memory/custom transaction-rate metrics, handle scaling independently within each cluster, while a global traffic manager (DNS-based or an external load balancer with health checks) distributes user traffic across clouds and can shift load away from a degraded provider automatically.</w:t>
      </w:r>
    </w:p>
    <w:p w14:paraId="26C1D562"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Managing Consistency</w:t>
      </w:r>
    </w:p>
    <w:p w14:paraId="7523D3CF"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 xml:space="preserve">Centralized secrets and configuration management (e.g., </w:t>
      </w:r>
      <w:proofErr w:type="spellStart"/>
      <w:r w:rsidRPr="00055C98">
        <w:rPr>
          <w:rFonts w:ascii="Times New Roman" w:hAnsi="Times New Roman" w:cs="Times New Roman"/>
        </w:rPr>
        <w:t>HashiCorp</w:t>
      </w:r>
      <w:proofErr w:type="spellEnd"/>
      <w:r w:rsidRPr="00055C98">
        <w:rPr>
          <w:rFonts w:ascii="Times New Roman" w:hAnsi="Times New Roman" w:cs="Times New Roman"/>
        </w:rPr>
        <w:t xml:space="preserve"> Vault or a cloud-agnostic secrets manager) so credentials and configuration are consistent and centrally auditable across providers.</w:t>
      </w:r>
    </w:p>
    <w:p w14:paraId="7A81A9C7"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 shared container registry with images built once and promoted through environments, avoiding provider-specific image builds that could drift.</w:t>
      </w:r>
    </w:p>
    <w:p w14:paraId="5B5B219D"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Standardized observability stack (Prometheus/Grafana, centralized logging) deployed identically in every cluster so operational visibility is uniform.</w:t>
      </w:r>
    </w:p>
    <w:p w14:paraId="52257AA5"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Policy-as-code (e.g., OPA/Gatekeeper) to enforce the same security and compliance rules across every cluster regardless of cloud provider.</w:t>
      </w:r>
    </w:p>
    <w:p w14:paraId="02DEFA64"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lastRenderedPageBreak/>
        <w:t>Benefits of a Multi-Cloud Deployment Model</w:t>
      </w:r>
    </w:p>
    <w:p w14:paraId="3F3877C4"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Avoids vendor lock-in and preserves negotiating leverage with cloud providers.</w:t>
      </w:r>
    </w:p>
    <w:p w14:paraId="74575ED6"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Improves resilience: an outage or regional failure at one provider does not take the whole platform down.</w:t>
      </w:r>
    </w:p>
    <w:p w14:paraId="56DE3745"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Allows workload placement optimization — using each provider's strengths (pricing, regional presence, specific managed services) where they best fit.</w:t>
      </w:r>
    </w:p>
    <w:p w14:paraId="25FB31E7"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Supports regulatory requirements that may mandate data residency or provider diversity for critical financial infrastructure.</w:t>
      </w:r>
    </w:p>
    <w:p w14:paraId="30B62A9C"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Risks of a Multi-Cloud Deployment Model</w:t>
      </w:r>
    </w:p>
    <w:p w14:paraId="578D654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Increased operational complexity: more moving parts, more tooling, and a steeper learning curve for the engineering team.</w:t>
      </w:r>
    </w:p>
    <w:p w14:paraId="6673675A"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Higher cross-cloud data transfer costs and potential latency for services that must communicate between providers.</w:t>
      </w:r>
    </w:p>
    <w:p w14:paraId="7450CC9F"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Harder-to-reason-about security posture, since IAM, network security, and compliance controls differ subtly between providers and must be reconciled.</w:t>
      </w:r>
    </w:p>
    <w:p w14:paraId="5AC6E34D"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 xml:space="preserve">Testing and incident response become more complex, since a failure could originate from provider-specific </w:t>
      </w:r>
      <w:proofErr w:type="spellStart"/>
      <w:r w:rsidRPr="00055C98">
        <w:rPr>
          <w:rFonts w:ascii="Times New Roman" w:hAnsi="Times New Roman" w:cs="Times New Roman"/>
        </w:rPr>
        <w:t>behavior</w:t>
      </w:r>
      <w:proofErr w:type="spellEnd"/>
      <w:r w:rsidRPr="00055C98">
        <w:rPr>
          <w:rFonts w:ascii="Times New Roman" w:hAnsi="Times New Roman" w:cs="Times New Roman"/>
        </w:rPr>
        <w:t xml:space="preserve"> that is difficult to reproduce elsewhere.</w:t>
      </w:r>
    </w:p>
    <w:p w14:paraId="1B0ADE69"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For a fintech startup, the recommended approach is to adopt Kubernetes plus </w:t>
      </w:r>
      <w:proofErr w:type="spellStart"/>
      <w:r w:rsidRPr="00055C98">
        <w:rPr>
          <w:rFonts w:ascii="Times New Roman" w:hAnsi="Times New Roman" w:cs="Times New Roman"/>
        </w:rPr>
        <w:t>GitOps</w:t>
      </w:r>
      <w:proofErr w:type="spellEnd"/>
      <w:r w:rsidRPr="00055C98">
        <w:rPr>
          <w:rFonts w:ascii="Times New Roman" w:hAnsi="Times New Roman" w:cs="Times New Roman"/>
        </w:rPr>
        <w:t xml:space="preserve"> as the unifying layer, invest early in a service mesh and centralized secrets/observability, and treat multi-cloud primarily as a resilience and negotiating strategy rather than spreading workloads thinly across providers before the operational maturity to manage that complexity exists.</w:t>
      </w:r>
    </w:p>
    <w:p w14:paraId="0B032908" w14:textId="77777777" w:rsidR="00923D50" w:rsidRPr="00055C98" w:rsidRDefault="00000000">
      <w:pPr>
        <w:rPr>
          <w:rFonts w:ascii="Times New Roman" w:hAnsi="Times New Roman" w:cs="Times New Roman"/>
        </w:rPr>
      </w:pPr>
      <w:r w:rsidRPr="00055C98">
        <w:rPr>
          <w:rFonts w:ascii="Times New Roman" w:hAnsi="Times New Roman" w:cs="Times New Roman"/>
        </w:rPr>
        <w:br w:type="page"/>
      </w:r>
    </w:p>
    <w:p w14:paraId="1349C4F1" w14:textId="77777777" w:rsidR="00923D50" w:rsidRPr="00055C98" w:rsidRDefault="00000000">
      <w:pPr>
        <w:pStyle w:val="Heading1"/>
        <w:pBdr>
          <w:bottom w:val="single" w:sz="8" w:space="4" w:color="2E5395"/>
        </w:pBdr>
        <w:spacing w:before="100" w:after="200"/>
        <w:rPr>
          <w:rFonts w:ascii="Times New Roman" w:hAnsi="Times New Roman" w:cs="Times New Roman"/>
        </w:rPr>
      </w:pPr>
      <w:r w:rsidRPr="00055C98">
        <w:rPr>
          <w:rFonts w:ascii="Times New Roman" w:hAnsi="Times New Roman" w:cs="Times New Roman"/>
          <w:b/>
          <w:bCs/>
          <w:color w:val="2E5395"/>
          <w:sz w:val="30"/>
          <w:szCs w:val="30"/>
        </w:rPr>
        <w:lastRenderedPageBreak/>
        <w:t>Q3. Backup and Disaster Recovery Strategy for an E-Learning Platform</w:t>
      </w:r>
    </w:p>
    <w:p w14:paraId="10150B66"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The Problem</w:t>
      </w:r>
    </w:p>
    <w:p w14:paraId="1263043A"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An e-learning platform has suffered data loss from accidental deletion — course content, student records, or assessment data removed by human error rather than infrastructure failure. This is one of the most common causes of cloud data loss and requires a backup and disaster recovery (DR) strategy that protects against accidental deletion, corruption, and larger-scale regional failures alike.</w:t>
      </w:r>
    </w:p>
    <w:p w14:paraId="7BA5D313"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Solution Design: Backup, Replication, and Versioning</w:t>
      </w:r>
    </w:p>
    <w:p w14:paraId="239F6DF9"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The platform's data — databases, uploaded course materials in object storage, and configuration — should be protected through three complementary mechanisms. First, automated, scheduled backups (e.g., nightly full backups plus continuous transaction-log backups for databases) should be stored in a separate storage account or even a separate cloud region from the primary data, with a defined retention window (e.g., 35 days) so that a deletion discovered days later can still be recovered. Second, object versi</w:t>
      </w:r>
      <w:r w:rsidRPr="00055C98">
        <w:rPr>
          <w:rFonts w:ascii="Times New Roman" w:hAnsi="Times New Roman" w:cs="Times New Roman"/>
        </w:rPr>
        <w:t>oning should be enabled on all storage buckets holding course content, so every overwrite or delete creates a new version rather than destroying data — accidental deletion becomes a simple version-restore operation rather than a true loss. Third, cross-region replication keeps a continuously synchronized copy of both the database (via native replication, e.g., read replicas or a multi-region managed database) and object storage in a secondary region, protecting against a regional outage in addition to accid</w:t>
      </w:r>
      <w:r w:rsidRPr="00055C98">
        <w:rPr>
          <w:rFonts w:ascii="Times New Roman" w:hAnsi="Times New Roman" w:cs="Times New Roman"/>
        </w:rPr>
        <w:t>ental deletion.</w:t>
      </w:r>
    </w:p>
    <w:p w14:paraId="364ABCDA"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Achieving RTO and RPO Targets</w:t>
      </w:r>
    </w:p>
    <w:p w14:paraId="6C3BD767"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Recovery Point Objective (RPO) — the maximum acceptable data loss measured in time — is driven primarily by backup and replication frequency. Continuous transaction-log shipping or synchronous/near-synchronous database replication can achieve an RPO of seconds to a few minutes, while less critical assets (e.g., static course files) backed up hourly might have an RPO of one hour, which is an acceptable and cost-appropriate trade-off. Recovery Time Objective (RTO) — how quickly service is restored — is achiev</w:t>
      </w:r>
      <w:r w:rsidRPr="00055C98">
        <w:rPr>
          <w:rFonts w:ascii="Times New Roman" w:hAnsi="Times New Roman" w:cs="Times New Roman"/>
        </w:rPr>
        <w:t>ed through automation and pre-provisioned standby capacity: infrastructure-as-code templates allow a full environment to be redeployed in a secondary region within minutes, and having a warm standby (a scaled-down but running replica environment) rather than relying purely on backups being restored from cold storage significantly reduces RTO compared to a cold-start recovery. The organization should explicitly define target RPO/RPO values for each data class (e.g., student grades: RPO 5 minutes, RTO 30 minu</w:t>
      </w:r>
      <w:r w:rsidRPr="00055C98">
        <w:rPr>
          <w:rFonts w:ascii="Times New Roman" w:hAnsi="Times New Roman" w:cs="Times New Roman"/>
        </w:rPr>
        <w:t>tes; static content: RPO 1 hour, RTO 2 hours) and architect the backup/replication cadence to meet each tier's requirement rather than applying one blanket policy to all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2846"/>
        <w:gridCol w:w="1736"/>
        <w:gridCol w:w="1736"/>
      </w:tblGrid>
      <w:tr w:rsidR="00923D50" w:rsidRPr="00055C98" w14:paraId="689D9DA9" w14:textId="77777777">
        <w:trPr>
          <w:tblHeader/>
        </w:trPr>
        <w:tc>
          <w:tcPr>
            <w:tcW w:w="0" w:type="dxa"/>
            <w:shd w:val="clear" w:color="auto" w:fill="2E5395"/>
            <w:tcMar>
              <w:top w:w="80" w:type="dxa"/>
              <w:left w:w="100" w:type="dxa"/>
              <w:bottom w:w="80" w:type="dxa"/>
              <w:right w:w="100" w:type="dxa"/>
            </w:tcMar>
          </w:tcPr>
          <w:p w14:paraId="4EC36CF3" w14:textId="77777777" w:rsidR="00923D50" w:rsidRPr="00055C98" w:rsidRDefault="00000000">
            <w:pPr>
              <w:rPr>
                <w:rFonts w:ascii="Times New Roman" w:hAnsi="Times New Roman" w:cs="Times New Roman"/>
              </w:rPr>
            </w:pPr>
            <w:r w:rsidRPr="00055C98">
              <w:rPr>
                <w:rFonts w:ascii="Times New Roman" w:hAnsi="Times New Roman" w:cs="Times New Roman"/>
                <w:b/>
                <w:bCs/>
                <w:color w:val="FFFFFF"/>
              </w:rPr>
              <w:t>Data Class</w:t>
            </w:r>
          </w:p>
        </w:tc>
        <w:tc>
          <w:tcPr>
            <w:tcW w:w="0" w:type="dxa"/>
            <w:shd w:val="clear" w:color="auto" w:fill="2E5395"/>
            <w:tcMar>
              <w:top w:w="80" w:type="dxa"/>
              <w:left w:w="100" w:type="dxa"/>
              <w:bottom w:w="80" w:type="dxa"/>
              <w:right w:w="100" w:type="dxa"/>
            </w:tcMar>
          </w:tcPr>
          <w:p w14:paraId="3A377AB9" w14:textId="77777777" w:rsidR="00923D50" w:rsidRPr="00055C98" w:rsidRDefault="00000000">
            <w:pPr>
              <w:rPr>
                <w:rFonts w:ascii="Times New Roman" w:hAnsi="Times New Roman" w:cs="Times New Roman"/>
              </w:rPr>
            </w:pPr>
            <w:r w:rsidRPr="00055C98">
              <w:rPr>
                <w:rFonts w:ascii="Times New Roman" w:hAnsi="Times New Roman" w:cs="Times New Roman"/>
                <w:b/>
                <w:bCs/>
                <w:color w:val="FFFFFF"/>
              </w:rPr>
              <w:t>Protection Mechanism</w:t>
            </w:r>
          </w:p>
        </w:tc>
        <w:tc>
          <w:tcPr>
            <w:tcW w:w="0" w:type="dxa"/>
            <w:shd w:val="clear" w:color="auto" w:fill="2E5395"/>
            <w:tcMar>
              <w:top w:w="80" w:type="dxa"/>
              <w:left w:w="100" w:type="dxa"/>
              <w:bottom w:w="80" w:type="dxa"/>
              <w:right w:w="100" w:type="dxa"/>
            </w:tcMar>
          </w:tcPr>
          <w:p w14:paraId="7D6BD9E1" w14:textId="77777777" w:rsidR="00923D50" w:rsidRPr="00055C98" w:rsidRDefault="00000000">
            <w:pPr>
              <w:rPr>
                <w:rFonts w:ascii="Times New Roman" w:hAnsi="Times New Roman" w:cs="Times New Roman"/>
              </w:rPr>
            </w:pPr>
            <w:r w:rsidRPr="00055C98">
              <w:rPr>
                <w:rFonts w:ascii="Times New Roman" w:hAnsi="Times New Roman" w:cs="Times New Roman"/>
                <w:b/>
                <w:bCs/>
                <w:color w:val="FFFFFF"/>
              </w:rPr>
              <w:t>Target RPO</w:t>
            </w:r>
          </w:p>
        </w:tc>
        <w:tc>
          <w:tcPr>
            <w:tcW w:w="0" w:type="dxa"/>
            <w:shd w:val="clear" w:color="auto" w:fill="2E5395"/>
            <w:tcMar>
              <w:top w:w="80" w:type="dxa"/>
              <w:left w:w="100" w:type="dxa"/>
              <w:bottom w:w="80" w:type="dxa"/>
              <w:right w:w="100" w:type="dxa"/>
            </w:tcMar>
          </w:tcPr>
          <w:p w14:paraId="2D92824D" w14:textId="77777777" w:rsidR="00923D50" w:rsidRPr="00055C98" w:rsidRDefault="00000000">
            <w:pPr>
              <w:rPr>
                <w:rFonts w:ascii="Times New Roman" w:hAnsi="Times New Roman" w:cs="Times New Roman"/>
              </w:rPr>
            </w:pPr>
            <w:r w:rsidRPr="00055C98">
              <w:rPr>
                <w:rFonts w:ascii="Times New Roman" w:hAnsi="Times New Roman" w:cs="Times New Roman"/>
                <w:b/>
                <w:bCs/>
                <w:color w:val="FFFFFF"/>
              </w:rPr>
              <w:t>Target RTO</w:t>
            </w:r>
          </w:p>
        </w:tc>
      </w:tr>
      <w:tr w:rsidR="00923D50" w:rsidRPr="00055C98" w14:paraId="7D31C10C" w14:textId="77777777">
        <w:tc>
          <w:tcPr>
            <w:tcW w:w="0" w:type="dxa"/>
            <w:tcMar>
              <w:top w:w="80" w:type="dxa"/>
              <w:left w:w="100" w:type="dxa"/>
              <w:bottom w:w="80" w:type="dxa"/>
              <w:right w:w="100" w:type="dxa"/>
            </w:tcMar>
          </w:tcPr>
          <w:p w14:paraId="01B6467F"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Student records / grades</w:t>
            </w:r>
          </w:p>
        </w:tc>
        <w:tc>
          <w:tcPr>
            <w:tcW w:w="0" w:type="dxa"/>
            <w:tcMar>
              <w:top w:w="80" w:type="dxa"/>
              <w:left w:w="100" w:type="dxa"/>
              <w:bottom w:w="80" w:type="dxa"/>
              <w:right w:w="100" w:type="dxa"/>
            </w:tcMar>
          </w:tcPr>
          <w:p w14:paraId="48BB3168"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Continuous replication + transaction-log backup</w:t>
            </w:r>
          </w:p>
        </w:tc>
        <w:tc>
          <w:tcPr>
            <w:tcW w:w="0" w:type="dxa"/>
            <w:tcMar>
              <w:top w:w="80" w:type="dxa"/>
              <w:left w:w="100" w:type="dxa"/>
              <w:bottom w:w="80" w:type="dxa"/>
              <w:right w:w="100" w:type="dxa"/>
            </w:tcMar>
          </w:tcPr>
          <w:p w14:paraId="50633042"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~5 minutes</w:t>
            </w:r>
          </w:p>
        </w:tc>
        <w:tc>
          <w:tcPr>
            <w:tcW w:w="0" w:type="dxa"/>
            <w:tcMar>
              <w:top w:w="80" w:type="dxa"/>
              <w:left w:w="100" w:type="dxa"/>
              <w:bottom w:w="80" w:type="dxa"/>
              <w:right w:w="100" w:type="dxa"/>
            </w:tcMar>
          </w:tcPr>
          <w:p w14:paraId="083F3DC7"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~30 minutes</w:t>
            </w:r>
          </w:p>
        </w:tc>
      </w:tr>
      <w:tr w:rsidR="00923D50" w:rsidRPr="00055C98" w14:paraId="05F03CDB" w14:textId="77777777">
        <w:tc>
          <w:tcPr>
            <w:tcW w:w="0" w:type="dxa"/>
            <w:tcMar>
              <w:top w:w="80" w:type="dxa"/>
              <w:left w:w="100" w:type="dxa"/>
              <w:bottom w:w="80" w:type="dxa"/>
              <w:right w:w="100" w:type="dxa"/>
            </w:tcMar>
          </w:tcPr>
          <w:p w14:paraId="78C7EDAE"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Course content (video/docs)</w:t>
            </w:r>
          </w:p>
        </w:tc>
        <w:tc>
          <w:tcPr>
            <w:tcW w:w="0" w:type="dxa"/>
            <w:tcMar>
              <w:top w:w="80" w:type="dxa"/>
              <w:left w:w="100" w:type="dxa"/>
              <w:bottom w:w="80" w:type="dxa"/>
              <w:right w:w="100" w:type="dxa"/>
            </w:tcMar>
          </w:tcPr>
          <w:p w14:paraId="28F62406"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Versioned object storage + cross-region replication</w:t>
            </w:r>
          </w:p>
        </w:tc>
        <w:tc>
          <w:tcPr>
            <w:tcW w:w="0" w:type="dxa"/>
            <w:tcMar>
              <w:top w:w="80" w:type="dxa"/>
              <w:left w:w="100" w:type="dxa"/>
              <w:bottom w:w="80" w:type="dxa"/>
              <w:right w:w="100" w:type="dxa"/>
            </w:tcMar>
          </w:tcPr>
          <w:p w14:paraId="05D0BEBE"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~1 hour</w:t>
            </w:r>
          </w:p>
        </w:tc>
        <w:tc>
          <w:tcPr>
            <w:tcW w:w="0" w:type="dxa"/>
            <w:tcMar>
              <w:top w:w="80" w:type="dxa"/>
              <w:left w:w="100" w:type="dxa"/>
              <w:bottom w:w="80" w:type="dxa"/>
              <w:right w:w="100" w:type="dxa"/>
            </w:tcMar>
          </w:tcPr>
          <w:p w14:paraId="34323A38"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~2 hours</w:t>
            </w:r>
          </w:p>
        </w:tc>
      </w:tr>
      <w:tr w:rsidR="00923D50" w:rsidRPr="00055C98" w14:paraId="3DE1B08C" w14:textId="77777777">
        <w:tc>
          <w:tcPr>
            <w:tcW w:w="0" w:type="dxa"/>
            <w:tcMar>
              <w:top w:w="80" w:type="dxa"/>
              <w:left w:w="100" w:type="dxa"/>
              <w:bottom w:w="80" w:type="dxa"/>
              <w:right w:w="100" w:type="dxa"/>
            </w:tcMar>
          </w:tcPr>
          <w:p w14:paraId="6C5B4E1C"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lastRenderedPageBreak/>
              <w:t>Platform configuration</w:t>
            </w:r>
          </w:p>
        </w:tc>
        <w:tc>
          <w:tcPr>
            <w:tcW w:w="0" w:type="dxa"/>
            <w:tcMar>
              <w:top w:w="80" w:type="dxa"/>
              <w:left w:w="100" w:type="dxa"/>
              <w:bottom w:w="80" w:type="dxa"/>
              <w:right w:w="100" w:type="dxa"/>
            </w:tcMar>
          </w:tcPr>
          <w:p w14:paraId="05D07CFD"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Infrastructure-as-code + config backups</w:t>
            </w:r>
          </w:p>
        </w:tc>
        <w:tc>
          <w:tcPr>
            <w:tcW w:w="0" w:type="dxa"/>
            <w:tcMar>
              <w:top w:w="80" w:type="dxa"/>
              <w:left w:w="100" w:type="dxa"/>
              <w:bottom w:w="80" w:type="dxa"/>
              <w:right w:w="100" w:type="dxa"/>
            </w:tcMar>
          </w:tcPr>
          <w:p w14:paraId="2A57B048"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~15 minutes</w:t>
            </w:r>
          </w:p>
        </w:tc>
        <w:tc>
          <w:tcPr>
            <w:tcW w:w="0" w:type="dxa"/>
            <w:tcMar>
              <w:top w:w="80" w:type="dxa"/>
              <w:left w:w="100" w:type="dxa"/>
              <w:bottom w:w="80" w:type="dxa"/>
              <w:right w:w="100" w:type="dxa"/>
            </w:tcMar>
          </w:tcPr>
          <w:p w14:paraId="011280BE" w14:textId="77777777" w:rsidR="00923D50" w:rsidRPr="00055C98" w:rsidRDefault="00000000">
            <w:pPr>
              <w:rPr>
                <w:rFonts w:ascii="Times New Roman" w:hAnsi="Times New Roman" w:cs="Times New Roman"/>
              </w:rPr>
            </w:pPr>
            <w:r w:rsidRPr="00055C98">
              <w:rPr>
                <w:rFonts w:ascii="Times New Roman" w:hAnsi="Times New Roman" w:cs="Times New Roman"/>
                <w:color w:val="000000"/>
              </w:rPr>
              <w:t>~15 minutes</w:t>
            </w:r>
          </w:p>
        </w:tc>
      </w:tr>
    </w:tbl>
    <w:p w14:paraId="163EB531"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Steps to Ensure Business Continuity</w:t>
      </w:r>
    </w:p>
    <w:p w14:paraId="7EB9DEEE"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Implement least-privilege access controls and deletion protection (e.g., MFA-delete, soft-delete with a retention period) to reduce the frequency of accidental deletion in the first place.</w:t>
      </w:r>
    </w:p>
    <w:p w14:paraId="3BAA5143"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Automate backups and replication so recovery does not depend on a human remembering to run a manual process.</w:t>
      </w:r>
    </w:p>
    <w:p w14:paraId="0FFC5A79"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Regularly test recovery procedures with scheduled disaster-recovery drills, restoring from backup into an isolated environment to verify both RTO/RPO are actually achievable and that backups are not silently corrupted.</w:t>
      </w:r>
    </w:p>
    <w:p w14:paraId="5F27935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Maintain a documented, rehearsed incident-response and failover runbook so staff can execute recovery quickly and consistently under pressure.</w:t>
      </w:r>
    </w:p>
    <w:p w14:paraId="0C4C8A70"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Monitor backup job success/failure with alerting, so a failed backup is caught immediately rather than discovered only when a restore is needed.</w:t>
      </w:r>
    </w:p>
    <w:p w14:paraId="6F679AA4"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Together, versioned storage, tiered backup/replication aligned to data-class RPO/RTO targets, and regularly tested recovery procedures give the e-learning platform resilience against both simple accidental deletion and larger-scale regional disasters.</w:t>
      </w:r>
    </w:p>
    <w:p w14:paraId="74A46901" w14:textId="77777777" w:rsidR="00923D50" w:rsidRPr="00055C98" w:rsidRDefault="00000000">
      <w:pPr>
        <w:rPr>
          <w:rFonts w:ascii="Times New Roman" w:hAnsi="Times New Roman" w:cs="Times New Roman"/>
        </w:rPr>
      </w:pPr>
      <w:r w:rsidRPr="00055C98">
        <w:rPr>
          <w:rFonts w:ascii="Times New Roman" w:hAnsi="Times New Roman" w:cs="Times New Roman"/>
        </w:rPr>
        <w:br w:type="page"/>
      </w:r>
    </w:p>
    <w:p w14:paraId="625D4D10" w14:textId="77777777" w:rsidR="00923D50" w:rsidRPr="00055C98" w:rsidRDefault="00000000">
      <w:pPr>
        <w:pStyle w:val="Heading1"/>
        <w:pBdr>
          <w:bottom w:val="single" w:sz="8" w:space="4" w:color="2E5395"/>
        </w:pBdr>
        <w:spacing w:before="100" w:after="200"/>
        <w:rPr>
          <w:rFonts w:ascii="Times New Roman" w:hAnsi="Times New Roman" w:cs="Times New Roman"/>
        </w:rPr>
      </w:pPr>
      <w:r w:rsidRPr="00055C98">
        <w:rPr>
          <w:rFonts w:ascii="Times New Roman" w:hAnsi="Times New Roman" w:cs="Times New Roman"/>
          <w:b/>
          <w:bCs/>
          <w:color w:val="2E5395"/>
          <w:sz w:val="30"/>
          <w:szCs w:val="30"/>
        </w:rPr>
        <w:lastRenderedPageBreak/>
        <w:t>Q4. Hybrid Cloud Architecture for a Government Agency</w:t>
      </w:r>
    </w:p>
    <w:p w14:paraId="306248D6"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Context and Constraints</w:t>
      </w:r>
    </w:p>
    <w:p w14:paraId="45911468"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government agency must keep certain sensitive workloads on-premises to satisfy data-sovereignty, security clearance, or regulatory requirements, while less sensitive or more elastic workloads can benefit from public cloud scalability and cost efficiency. A hybrid cloud architecture must therefore provide secure, reliable connectivity between the two environments while preserving strict compliance boundaries around where sensitive data is allowed to reside and how it may move.</w:t>
      </w:r>
    </w:p>
    <w:p w14:paraId="69C8AB60"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Hybrid Architecture Design</w:t>
      </w:r>
    </w:p>
    <w:p w14:paraId="52637AA9"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Sensitive workloads — those handling classified, personally identifiable, or regulated data — remain on dedicated on-premises infrastructure or a private/government-community cloud, under the agency's direct physical and administrative control. Non-sensitive, high-elasticity workloads (public-facing informational portals, non-sensitive analytics, development/test environments) are deployed to a public cloud. The two environments are connected via a dedicated, private network link — such as a direct intercon</w:t>
      </w:r>
      <w:r w:rsidRPr="00055C98">
        <w:rPr>
          <w:rFonts w:ascii="Times New Roman" w:hAnsi="Times New Roman" w:cs="Times New Roman"/>
        </w:rPr>
        <w:t>nect service (e.g., AWS Direct Connect, Azure ExpressRoute, or a government-grade equivalent) rather than a connection routed over the public internet — supplemented by an IPsec VPN as a redundant/failover path. A clear data-classification and workload-placement policy governs which specific systems and datasets are permitted in each environment, enforced through automated tagging and policy engines rather than relying solely on manual review.</w:t>
      </w:r>
    </w:p>
    <w:p w14:paraId="4D6577BD"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Secure Communication Between Environments</w:t>
      </w:r>
    </w:p>
    <w:p w14:paraId="48AF7F67"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Dedicated private connectivity (direct interconnect + VPN failover) rather than public-internet-routed traffic between on-premises and cloud.</w:t>
      </w:r>
    </w:p>
    <w:p w14:paraId="0FB761EC"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Network segmentation with firewalls and a DMZ pattern at the boundary, so only explicitly permitted traffic flows between environments.</w:t>
      </w:r>
    </w:p>
    <w:p w14:paraId="09344380"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End-to-end encryption in transit (TLS 1.2+/1.3) for all cross-environment traffic, independent of the underlying network-layer protection.</w:t>
      </w:r>
    </w:p>
    <w:p w14:paraId="350E31C9"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Strict, least-privilege firewall and security-group rules limiting cross-environment communication to only the specific ports and services required.</w:t>
      </w:r>
    </w:p>
    <w:p w14:paraId="7C98ACE7"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Identity Management</w:t>
      </w:r>
    </w:p>
    <w:p w14:paraId="082E25AA"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unified identity layer is essential so users and services are authenticated consistently regardless of which environment they are accessing. The agency's existing on-premises directory (e.g., Active Directory) should be federated with the cloud provider's identity service via SAML or OIDC, so cloud access relies on the same authoritative identity source and multi-factor authentication policy as on-premises systems, rather than maintaining a second, potentially inconsistent identity store. Role-based and a</w:t>
      </w:r>
      <w:r w:rsidRPr="00055C98">
        <w:rPr>
          <w:rFonts w:ascii="Times New Roman" w:hAnsi="Times New Roman" w:cs="Times New Roman"/>
        </w:rPr>
        <w:t xml:space="preserve">ttribute-based access control should enforce the principle of least privilege on both sides, and privileged access to sensitive on-premises systems should require step-up authentication and be logged for audit. Service-to-service </w:t>
      </w:r>
      <w:r w:rsidRPr="00055C98">
        <w:rPr>
          <w:rFonts w:ascii="Times New Roman" w:hAnsi="Times New Roman" w:cs="Times New Roman"/>
        </w:rPr>
        <w:lastRenderedPageBreak/>
        <w:t>authentication between environments should use short-lived certificates or tokens rather than long-lived shared credentials.</w:t>
      </w:r>
    </w:p>
    <w:p w14:paraId="6D679517"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Encryption Implementation</w:t>
      </w:r>
    </w:p>
    <w:p w14:paraId="39CF853F"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Encryption at rest for all data in both environments, using agency- or customer-managed encryption keys (not solely provider-managed keys) for the most sensitive data classes, giving the agency direct control over key lifecycle and revocation.</w:t>
      </w:r>
    </w:p>
    <w:p w14:paraId="69379F52"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Encryption in transit for all data crossing the on-premises/cloud boundary, and ideally for all internal traffic as well (zero-trust posture).</w:t>
      </w:r>
    </w:p>
    <w:p w14:paraId="15E7FA0A"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 centralized key management system (on-premises HSM or a cloud KMS integrated with an on-premises root of trust) so cryptographic keys for sensitive data never leave agency control.</w:t>
      </w:r>
    </w:p>
    <w:p w14:paraId="7F6FFEA9"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Challenges in Managing Hybrid Environments</w:t>
      </w:r>
    </w:p>
    <w:p w14:paraId="06899FF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Consistency of security policy and monitoring across two fundamentally different infrastructure stacks, requiring unified tooling to avoid blind spots.</w:t>
      </w:r>
    </w:p>
    <w:p w14:paraId="68CAA942"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Latency and reliability of the interconnect between environments becoming a single point of failure or performance bottleneck for workloads that span both.</w:t>
      </w:r>
    </w:p>
    <w:p w14:paraId="41CC43B6"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Complexity of maintaining accurate data classification and preventing sensitive data from inadvertently migrating to or being processed in the public cloud environment.</w:t>
      </w:r>
    </w:p>
    <w:p w14:paraId="544E64D3"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Skill and staffing requirements, since hybrid operations demand expertise in both traditional on-premises infrastructure and cloud-native tooling.</w:t>
      </w:r>
    </w:p>
    <w:p w14:paraId="5E7EC5F9"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Auditing and compliance reporting across two environments with different native logging formats, requiring normalization into a single audit trail for regulators.</w:t>
      </w:r>
    </w:p>
    <w:p w14:paraId="407DBAB2"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well-governed hybrid design — private connectivity, federated identity, strong encryption with agency-controlled keys, and clear, automatically enforced data-placement policy — allows the agency to gain public cloud efficiency for appropriate workloads while keeping sensitive systems within the compliance boundary the mission requires.</w:t>
      </w:r>
    </w:p>
    <w:p w14:paraId="32702551" w14:textId="77777777" w:rsidR="00923D50" w:rsidRPr="00055C98" w:rsidRDefault="00000000">
      <w:pPr>
        <w:rPr>
          <w:rFonts w:ascii="Times New Roman" w:hAnsi="Times New Roman" w:cs="Times New Roman"/>
        </w:rPr>
      </w:pPr>
      <w:r w:rsidRPr="00055C98">
        <w:rPr>
          <w:rFonts w:ascii="Times New Roman" w:hAnsi="Times New Roman" w:cs="Times New Roman"/>
        </w:rPr>
        <w:br w:type="page"/>
      </w:r>
    </w:p>
    <w:p w14:paraId="1354686C" w14:textId="77777777" w:rsidR="00923D50" w:rsidRPr="00055C98" w:rsidRDefault="00000000">
      <w:pPr>
        <w:pStyle w:val="Heading1"/>
        <w:pBdr>
          <w:bottom w:val="single" w:sz="8" w:space="4" w:color="2E5395"/>
        </w:pBdr>
        <w:spacing w:before="100" w:after="200"/>
        <w:rPr>
          <w:rFonts w:ascii="Times New Roman" w:hAnsi="Times New Roman" w:cs="Times New Roman"/>
        </w:rPr>
      </w:pPr>
      <w:r w:rsidRPr="00055C98">
        <w:rPr>
          <w:rFonts w:ascii="Times New Roman" w:hAnsi="Times New Roman" w:cs="Times New Roman"/>
          <w:b/>
          <w:bCs/>
          <w:color w:val="2E5395"/>
          <w:sz w:val="30"/>
          <w:szCs w:val="30"/>
        </w:rPr>
        <w:lastRenderedPageBreak/>
        <w:t>Q5. Multi-Region High Availability and Fault Tolerance for a SaaS Application</w:t>
      </w:r>
    </w:p>
    <w:p w14:paraId="2836C277"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Requirement</w:t>
      </w:r>
    </w:p>
    <w:p w14:paraId="57CF10CB"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A SaaS provider must keep its application available and correct even if an entire cloud region becomes unavailable — due to a provider outage, natural disaster, or major network failure. This requires a multi-region deployment strategy encompassing redundant compute, synchronized data, automated failover, and proactive monitoring, rather than relying on a single region's availability zones alone.</w:t>
      </w:r>
    </w:p>
    <w:p w14:paraId="3DC4131D"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Multi-Region Deployment Strategy</w:t>
      </w:r>
    </w:p>
    <w:p w14:paraId="261E116F"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The application should be deployed as identical, independently functioning stacks in at least two (ideally three, for quorum-based decisions) geographically separated regions, each spanning multiple availability zones for intra-region resilience. An active-active configuration — where multiple regions simultaneously serve live traffic — provides the strongest availability and also improves latency for geographically distributed users, though it demands careful conflict handling for writes. Where application</w:t>
      </w:r>
      <w:r w:rsidRPr="00055C98">
        <w:rPr>
          <w:rFonts w:ascii="Times New Roman" w:hAnsi="Times New Roman" w:cs="Times New Roman"/>
        </w:rPr>
        <w:t xml:space="preserve"> consistency requirements make active-active complex, an active-passive (warm standby) configuration is a reasonable alternative: a fully provisioned, continuously updated standby region that can take over quickly, at the cost of some idle capacity. A global traffic manager using DNS-based routing with health checks (or an Anycast/global load balancer) directs users to the nearest healthy region and automatically withdraws traffic from a failed region.</w:t>
      </w:r>
    </w:p>
    <w:p w14:paraId="6A8F9741"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Data Replication</w:t>
      </w:r>
    </w:p>
    <w:p w14:paraId="21AA80D7" w14:textId="77777777" w:rsidR="00923D50" w:rsidRPr="00055C98" w:rsidRDefault="00000000">
      <w:pPr>
        <w:spacing w:after="160" w:line="300" w:lineRule="auto"/>
        <w:jc w:val="both"/>
        <w:rPr>
          <w:rFonts w:ascii="Times New Roman" w:hAnsi="Times New Roman" w:cs="Times New Roman"/>
        </w:rPr>
      </w:pPr>
      <w:r w:rsidRPr="00055C98">
        <w:rPr>
          <w:rFonts w:ascii="Times New Roman" w:hAnsi="Times New Roman" w:cs="Times New Roman"/>
        </w:rPr>
        <w:t xml:space="preserve">The database layer needs a replication strategy matched to the consistency the application requires. For strongly consistent data, a multi-region database with synchronous or quorum-based replication (accepting the associated write-latency cost) ensures no committed transaction is lost if a region fails. For less strictly consistent data, asynchronous cross-region replication with conflict-resolution logic (last-writer-wins, or application-level merge logic) allows lower write latency while still providing </w:t>
      </w:r>
      <w:r w:rsidRPr="00055C98">
        <w:rPr>
          <w:rFonts w:ascii="Times New Roman" w:hAnsi="Times New Roman" w:cs="Times New Roman"/>
        </w:rPr>
        <w:t>a near-real-time standby copy. Object storage and static assets should use built-in cross-region replication features offered by the cloud provider. Regardless of approach, the replication lag directly determines the achievable RPO in a regional failover, so it must be monitored continuously and kept within the agreed target.</w:t>
      </w:r>
    </w:p>
    <w:p w14:paraId="251D84FC"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Failover Mechanisms</w:t>
      </w:r>
    </w:p>
    <w:p w14:paraId="788378F5"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Automated health checks at the load-balancer and application level continuously verify region health across compute, database, and dependent services, not just basic network reachability.</w:t>
      </w:r>
    </w:p>
    <w:p w14:paraId="66C43ECB"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DNS-based or global-load-balancer failover automatically redirects traffic away from an unhealthy region once health checks fail a defined threshold, without requiring manual DNS changes.</w:t>
      </w:r>
    </w:p>
    <w:p w14:paraId="11A9F240"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Database failover promotes a replica in a healthy region to primary automatically (or via a well-rehearsed, scripted manual step for stricter consistency requirements), with application configuration designed to reconnect to the new primary without a full redeploy.</w:t>
      </w:r>
    </w:p>
    <w:p w14:paraId="3FBF486F"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lastRenderedPageBreak/>
        <w:t>Regular, automated failover drills (chaos-engineering style region-failure simulations) validate that failover actually works as designed rather than only on paper.</w:t>
      </w:r>
    </w:p>
    <w:p w14:paraId="284A933B" w14:textId="77777777" w:rsidR="00923D50" w:rsidRPr="00055C98" w:rsidRDefault="00000000">
      <w:pPr>
        <w:pStyle w:val="Heading2"/>
        <w:spacing w:before="200" w:after="100"/>
        <w:rPr>
          <w:rFonts w:ascii="Times New Roman" w:hAnsi="Times New Roman" w:cs="Times New Roman"/>
        </w:rPr>
      </w:pPr>
      <w:r w:rsidRPr="00055C98">
        <w:rPr>
          <w:rFonts w:ascii="Times New Roman" w:hAnsi="Times New Roman" w:cs="Times New Roman"/>
          <w:b/>
          <w:bCs/>
        </w:rPr>
        <w:t>Monitoring and Alerting for Proactive Detection</w:t>
      </w:r>
    </w:p>
    <w:p w14:paraId="4FFF0E2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Multi-region synthetic monitoring that continuously exercises real user journeys (login, key transactions) from outside the infrastructure, so degradation is caught the way a real user would experience it.</w:t>
      </w:r>
    </w:p>
    <w:p w14:paraId="06CEF890"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Centralized metrics and logging aggregation (e.g., Prometheus/Grafana or a managed observability platform) correlating data across all regions into a single pane of glass, since a per-region-only view can miss cross-region replication lag or partial failures.</w:t>
      </w:r>
    </w:p>
    <w:p w14:paraId="4D22729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Alerting on leading indicators — rising replication lag, increasing error rates, degraded health-check latency — rather than only on hard outages, so operators can intervene before a full regional failure occurs.</w:t>
      </w:r>
    </w:p>
    <w:p w14:paraId="3D931998" w14:textId="77777777" w:rsidR="00923D50" w:rsidRPr="00055C98" w:rsidRDefault="00000000">
      <w:pPr>
        <w:pStyle w:val="ListParagraph"/>
        <w:numPr>
          <w:ilvl w:val="0"/>
          <w:numId w:val="2"/>
        </w:numPr>
        <w:spacing w:after="80" w:line="300" w:lineRule="auto"/>
        <w:rPr>
          <w:rFonts w:ascii="Times New Roman" w:hAnsi="Times New Roman" w:cs="Times New Roman"/>
        </w:rPr>
      </w:pPr>
      <w:r w:rsidRPr="00055C98">
        <w:rPr>
          <w:rFonts w:ascii="Times New Roman" w:hAnsi="Times New Roman" w:cs="Times New Roman"/>
        </w:rPr>
        <w:t>Clear escalation and on-call runbooks tied to specific alert thresholds, ensuring the team can execute failover procedures quickly and consistently during an actual incident.</w:t>
      </w:r>
    </w:p>
    <w:p w14:paraId="4F49B708" w14:textId="77777777" w:rsidR="00923D50" w:rsidRDefault="00000000">
      <w:pPr>
        <w:spacing w:after="160" w:line="300" w:lineRule="auto"/>
        <w:jc w:val="both"/>
        <w:rPr>
          <w:rFonts w:ascii="Times New Roman" w:hAnsi="Times New Roman" w:cs="Times New Roman"/>
        </w:rPr>
      </w:pPr>
      <w:r w:rsidRPr="00055C98">
        <w:rPr>
          <w:rFonts w:ascii="Times New Roman" w:hAnsi="Times New Roman" w:cs="Times New Roman"/>
        </w:rPr>
        <w:t>Together, an active-active or active-passive multi-region deployment, replication strategy matched to consistency needs, automated health-check-driven failover, and proactive, leading-indicator-based monitoring allow the SaaS platform to continue operating through a full regional outage while keeping data loss and downtime within clearly defined, teste</w:t>
      </w:r>
      <w:r w:rsidRPr="00055C98">
        <w:rPr>
          <w:rFonts w:ascii="Times New Roman" w:hAnsi="Times New Roman" w:cs="Times New Roman"/>
        </w:rPr>
        <w:t>d targ</w:t>
      </w:r>
      <w:r w:rsidRPr="00055C98">
        <w:rPr>
          <w:rFonts w:ascii="Times New Roman" w:hAnsi="Times New Roman" w:cs="Times New Roman"/>
        </w:rPr>
        <w:t>e</w:t>
      </w:r>
      <w:r w:rsidRPr="00055C98">
        <w:rPr>
          <w:rFonts w:ascii="Times New Roman" w:hAnsi="Times New Roman" w:cs="Times New Roman"/>
        </w:rPr>
        <w:t>t</w:t>
      </w:r>
      <w:r w:rsidRPr="00055C98">
        <w:rPr>
          <w:rFonts w:ascii="Times New Roman" w:hAnsi="Times New Roman" w:cs="Times New Roman"/>
        </w:rPr>
        <w:t>s</w:t>
      </w:r>
      <w:r w:rsidRPr="00055C98">
        <w:rPr>
          <w:rFonts w:ascii="Times New Roman" w:hAnsi="Times New Roman" w:cs="Times New Roman"/>
        </w:rPr>
        <w:t>.</w:t>
      </w:r>
    </w:p>
    <w:p w14:paraId="3DD069D0" w14:textId="40D86FAC" w:rsidR="00055C98" w:rsidRDefault="00055C98">
      <w:pPr>
        <w:spacing w:after="160" w:line="300" w:lineRule="auto"/>
        <w:jc w:val="both"/>
        <w:rPr>
          <w:rFonts w:ascii="Times New Roman" w:hAnsi="Times New Roman" w:cs="Times New Roman"/>
        </w:rPr>
      </w:pPr>
    </w:p>
    <w:p w14:paraId="4A40ED1B" w14:textId="77777777" w:rsidR="00055C98" w:rsidRDefault="00055C98">
      <w:pPr>
        <w:rPr>
          <w:rFonts w:ascii="Times New Roman" w:hAnsi="Times New Roman" w:cs="Times New Roman"/>
        </w:rPr>
      </w:pPr>
      <w:r>
        <w:rPr>
          <w:rFonts w:ascii="Times New Roman" w:hAnsi="Times New Roman" w:cs="Times New Roman"/>
        </w:rPr>
        <w:br w:type="page"/>
      </w:r>
    </w:p>
    <w:p w14:paraId="52420D2C"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lastRenderedPageBreak/>
        <w:t xml:space="preserve">Analytical </w:t>
      </w:r>
      <w:proofErr w:type="gramStart"/>
      <w:r w:rsidRPr="00055C98">
        <w:rPr>
          <w:rFonts w:ascii="Times New Roman" w:hAnsi="Times New Roman" w:cs="Times New Roman"/>
          <w:b/>
          <w:bCs/>
        </w:rPr>
        <w:t>Problem Solving</w:t>
      </w:r>
      <w:proofErr w:type="gramEnd"/>
      <w:r w:rsidRPr="00055C98">
        <w:rPr>
          <w:rFonts w:ascii="Times New Roman" w:hAnsi="Times New Roman" w:cs="Times New Roman"/>
          <w:b/>
          <w:bCs/>
        </w:rPr>
        <w:t xml:space="preserve"> Rubric </w:t>
      </w:r>
    </w:p>
    <w:tbl>
      <w:tblPr>
        <w:tblW w:w="10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055C98" w:rsidRPr="00055C98" w14:paraId="55A0A844" w14:textId="77777777">
        <w:trPr>
          <w:trHeight w:val="48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02B6D"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Criteria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EC84A"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Weightage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6BAF6"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Level 4 - </w:t>
            </w:r>
          </w:p>
          <w:p w14:paraId="775F67C6"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Exemplary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D132A"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Level 3 – </w:t>
            </w:r>
          </w:p>
          <w:p w14:paraId="5074EC07"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Proficient</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A41B"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Level 2 - </w:t>
            </w:r>
          </w:p>
          <w:p w14:paraId="1197784D"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Developing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EE94D"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 xml:space="preserve">Level 1 - </w:t>
            </w:r>
          </w:p>
          <w:p w14:paraId="3A792C2E" w14:textId="77777777" w:rsidR="00055C98" w:rsidRPr="00055C98" w:rsidRDefault="00055C98" w:rsidP="00055C98">
            <w:pPr>
              <w:spacing w:after="160" w:line="300" w:lineRule="auto"/>
              <w:jc w:val="both"/>
              <w:rPr>
                <w:rFonts w:ascii="Times New Roman" w:hAnsi="Times New Roman" w:cs="Times New Roman"/>
                <w:b/>
                <w:bCs/>
              </w:rPr>
            </w:pPr>
            <w:r w:rsidRPr="00055C98">
              <w:rPr>
                <w:rFonts w:ascii="Times New Roman" w:hAnsi="Times New Roman" w:cs="Times New Roman"/>
                <w:b/>
                <w:bCs/>
              </w:rPr>
              <w:t>Beginning</w:t>
            </w:r>
          </w:p>
        </w:tc>
      </w:tr>
      <w:tr w:rsidR="00055C98" w:rsidRPr="00055C98" w14:paraId="03A6BAA4" w14:textId="77777777">
        <w:trPr>
          <w:trHeight w:val="92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42474"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Problem </w:t>
            </w:r>
          </w:p>
          <w:p w14:paraId="0FD73143"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Interpretation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996E1"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E10C7"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Interprets all </w:t>
            </w:r>
          </w:p>
          <w:p w14:paraId="4386705E"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technical </w:t>
            </w:r>
          </w:p>
          <w:p w14:paraId="1791AA5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requirements </w:t>
            </w:r>
          </w:p>
          <w:p w14:paraId="4A402CB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accurately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1086F"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Interprets most </w:t>
            </w:r>
          </w:p>
          <w:p w14:paraId="11AD3F87"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requirements </w:t>
            </w:r>
          </w:p>
          <w:p w14:paraId="3E6AD02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correctly</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0EF51"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Partial </w:t>
            </w:r>
          </w:p>
          <w:p w14:paraId="5EA9CD44"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interpretation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4978D"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Misinterprets the problem</w:t>
            </w:r>
          </w:p>
        </w:tc>
      </w:tr>
      <w:tr w:rsidR="00055C98" w:rsidRPr="00055C98" w14:paraId="1D9D7B30" w14:textId="77777777">
        <w:trPr>
          <w:trHeight w:val="94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2E4D2"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Analytical </w:t>
            </w:r>
          </w:p>
          <w:p w14:paraId="3D210B74"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Reasoning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13FB3"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25%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598B6"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Strong reasoning with clear </w:t>
            </w:r>
          </w:p>
          <w:p w14:paraId="50B03A0F"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cause-effect </w:t>
            </w:r>
          </w:p>
          <w:p w14:paraId="13B03748"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analysis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572D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Good reasoning with minor gaps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45A7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Basic analysis </w:t>
            </w:r>
          </w:p>
          <w:p w14:paraId="1020047E"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only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90727"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Weak or no </w:t>
            </w:r>
          </w:p>
          <w:p w14:paraId="6D74318A"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analysis</w:t>
            </w:r>
          </w:p>
        </w:tc>
      </w:tr>
      <w:tr w:rsidR="00055C98" w:rsidRPr="00055C98" w14:paraId="77190776" w14:textId="77777777">
        <w:trPr>
          <w:trHeight w:val="94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BA440"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Method Selection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8ED7D"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B9DC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Chooses highly </w:t>
            </w:r>
          </w:p>
          <w:p w14:paraId="46503B60"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appropriate </w:t>
            </w:r>
          </w:p>
          <w:p w14:paraId="0F029D2E"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virtualization and security concepts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4B63D"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Chooses mostly suitable concepts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03BC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Partially suitable concepts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1C6E9"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Inappropriate </w:t>
            </w:r>
          </w:p>
          <w:p w14:paraId="6918CA62"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approach</w:t>
            </w:r>
          </w:p>
        </w:tc>
      </w:tr>
      <w:tr w:rsidR="00055C98" w:rsidRPr="00055C98" w14:paraId="671B7A57" w14:textId="77777777">
        <w:trPr>
          <w:trHeight w:val="70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02F5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Solution Quality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588B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A48A4"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Provides feasible and technically </w:t>
            </w:r>
          </w:p>
          <w:p w14:paraId="5001A0F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sound solution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A7A0"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Reasonable </w:t>
            </w:r>
          </w:p>
          <w:p w14:paraId="3A93900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solution with </w:t>
            </w:r>
          </w:p>
          <w:p w14:paraId="4A09FDEA"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minor issues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EE6E0"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Basic solution </w:t>
            </w:r>
          </w:p>
          <w:p w14:paraId="5FCC1CA7"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with limitations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4277B"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Unclear or invalid solution</w:t>
            </w:r>
          </w:p>
        </w:tc>
      </w:tr>
      <w:tr w:rsidR="00055C98" w:rsidRPr="00055C98" w14:paraId="1DCBDF8A" w14:textId="77777777">
        <w:trPr>
          <w:trHeight w:val="70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14196"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Presentation of </w:t>
            </w:r>
          </w:p>
          <w:p w14:paraId="10ADD323"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Analysis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9AFAA"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15%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17AC"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Well-structured </w:t>
            </w:r>
          </w:p>
          <w:p w14:paraId="420A18B2"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and technically </w:t>
            </w:r>
          </w:p>
          <w:p w14:paraId="18623E35"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precise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2D0E"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3598"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 xml:space="preserve">Somewhat unclear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EFB50" w14:textId="77777777" w:rsidR="00055C98" w:rsidRPr="00055C98" w:rsidRDefault="00055C98" w:rsidP="00055C98">
            <w:pPr>
              <w:spacing w:after="160" w:line="300" w:lineRule="auto"/>
              <w:jc w:val="both"/>
              <w:rPr>
                <w:rFonts w:ascii="Times New Roman" w:hAnsi="Times New Roman" w:cs="Times New Roman"/>
              </w:rPr>
            </w:pPr>
            <w:r w:rsidRPr="00055C98">
              <w:rPr>
                <w:rFonts w:ascii="Times New Roman" w:hAnsi="Times New Roman" w:cs="Times New Roman"/>
              </w:rPr>
              <w:t>Difficult to follow</w:t>
            </w:r>
          </w:p>
        </w:tc>
      </w:tr>
    </w:tbl>
    <w:p w14:paraId="314B82CE" w14:textId="77777777" w:rsidR="00055C98" w:rsidRPr="00055C98" w:rsidRDefault="00055C98" w:rsidP="00055C98">
      <w:pPr>
        <w:spacing w:after="160" w:line="300" w:lineRule="auto"/>
        <w:jc w:val="both"/>
        <w:rPr>
          <w:rFonts w:ascii="Times New Roman" w:hAnsi="Times New Roman" w:cs="Times New Roman"/>
        </w:rPr>
      </w:pPr>
    </w:p>
    <w:p w14:paraId="38E5F23A" w14:textId="77777777" w:rsidR="00055C98" w:rsidRPr="00055C98" w:rsidRDefault="00055C98" w:rsidP="00055C98">
      <w:pPr>
        <w:spacing w:after="160" w:line="300" w:lineRule="auto"/>
        <w:jc w:val="both"/>
        <w:rPr>
          <w:rFonts w:ascii="Times New Roman" w:hAnsi="Times New Roman" w:cs="Times New Roman"/>
        </w:rPr>
      </w:pPr>
    </w:p>
    <w:p w14:paraId="3DA6BE1F" w14:textId="48345B65" w:rsidR="00055C98" w:rsidRPr="00055C98" w:rsidRDefault="00055C98">
      <w:pPr>
        <w:spacing w:after="160" w:line="300" w:lineRule="auto"/>
        <w:jc w:val="both"/>
        <w:rPr>
          <w:rFonts w:ascii="Times New Roman" w:hAnsi="Times New Roman" w:cs="Times New Roman"/>
          <w:b/>
          <w:bCs/>
        </w:rPr>
      </w:pPr>
      <w:r w:rsidRPr="00055C98">
        <w:rPr>
          <w:rFonts w:ascii="Times New Roman" w:hAnsi="Times New Roman" w:cs="Times New Roman"/>
          <w:b/>
          <w:bCs/>
        </w:rPr>
        <w:t>Total Marks Awarded:</w:t>
      </w:r>
    </w:p>
    <w:sectPr w:rsidR="00055C98" w:rsidRPr="00055C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E1163"/>
    <w:multiLevelType w:val="hybridMultilevel"/>
    <w:tmpl w:val="73FC065A"/>
    <w:lvl w:ilvl="0" w:tplc="FAFA00DA">
      <w:start w:val="1"/>
      <w:numFmt w:val="bullet"/>
      <w:lvlText w:val="•"/>
      <w:lvlJc w:val="left"/>
      <w:pPr>
        <w:ind w:left="504" w:hanging="288"/>
      </w:pPr>
    </w:lvl>
    <w:lvl w:ilvl="1" w:tplc="0804E204">
      <w:numFmt w:val="decimal"/>
      <w:lvlText w:val=""/>
      <w:lvlJc w:val="left"/>
    </w:lvl>
    <w:lvl w:ilvl="2" w:tplc="6634443E">
      <w:numFmt w:val="decimal"/>
      <w:lvlText w:val=""/>
      <w:lvlJc w:val="left"/>
    </w:lvl>
    <w:lvl w:ilvl="3" w:tplc="84A06B80">
      <w:numFmt w:val="decimal"/>
      <w:lvlText w:val=""/>
      <w:lvlJc w:val="left"/>
    </w:lvl>
    <w:lvl w:ilvl="4" w:tplc="8BE677EC">
      <w:numFmt w:val="decimal"/>
      <w:lvlText w:val=""/>
      <w:lvlJc w:val="left"/>
    </w:lvl>
    <w:lvl w:ilvl="5" w:tplc="3CD8A58E">
      <w:numFmt w:val="decimal"/>
      <w:lvlText w:val=""/>
      <w:lvlJc w:val="left"/>
    </w:lvl>
    <w:lvl w:ilvl="6" w:tplc="B740A3C8">
      <w:numFmt w:val="decimal"/>
      <w:lvlText w:val=""/>
      <w:lvlJc w:val="left"/>
    </w:lvl>
    <w:lvl w:ilvl="7" w:tplc="A9C45AF2">
      <w:numFmt w:val="decimal"/>
      <w:lvlText w:val=""/>
      <w:lvlJc w:val="left"/>
    </w:lvl>
    <w:lvl w:ilvl="8" w:tplc="6770B3BE">
      <w:numFmt w:val="decimal"/>
      <w:lvlText w:val=""/>
      <w:lvlJc w:val="left"/>
    </w:lvl>
  </w:abstractNum>
  <w:abstractNum w:abstractNumId="1" w15:restartNumberingAfterBreak="0">
    <w:nsid w:val="50AB66BC"/>
    <w:multiLevelType w:val="hybridMultilevel"/>
    <w:tmpl w:val="0094A0F2"/>
    <w:lvl w:ilvl="0" w:tplc="F57ADD50">
      <w:start w:val="1"/>
      <w:numFmt w:val="bullet"/>
      <w:lvlText w:val="●"/>
      <w:lvlJc w:val="left"/>
      <w:pPr>
        <w:ind w:left="720" w:hanging="360"/>
      </w:pPr>
    </w:lvl>
    <w:lvl w:ilvl="1" w:tplc="EBC20E74">
      <w:start w:val="1"/>
      <w:numFmt w:val="bullet"/>
      <w:lvlText w:val="○"/>
      <w:lvlJc w:val="left"/>
      <w:pPr>
        <w:ind w:left="1440" w:hanging="360"/>
      </w:pPr>
    </w:lvl>
    <w:lvl w:ilvl="2" w:tplc="F5B8316C">
      <w:start w:val="1"/>
      <w:numFmt w:val="bullet"/>
      <w:lvlText w:val="■"/>
      <w:lvlJc w:val="left"/>
      <w:pPr>
        <w:ind w:left="2160" w:hanging="360"/>
      </w:pPr>
    </w:lvl>
    <w:lvl w:ilvl="3" w:tplc="77AEB3DE">
      <w:start w:val="1"/>
      <w:numFmt w:val="bullet"/>
      <w:lvlText w:val="●"/>
      <w:lvlJc w:val="left"/>
      <w:pPr>
        <w:ind w:left="2880" w:hanging="360"/>
      </w:pPr>
    </w:lvl>
    <w:lvl w:ilvl="4" w:tplc="D6CABB3A">
      <w:start w:val="1"/>
      <w:numFmt w:val="bullet"/>
      <w:lvlText w:val="○"/>
      <w:lvlJc w:val="left"/>
      <w:pPr>
        <w:ind w:left="3600" w:hanging="360"/>
      </w:pPr>
    </w:lvl>
    <w:lvl w:ilvl="5" w:tplc="481CA8DC">
      <w:start w:val="1"/>
      <w:numFmt w:val="bullet"/>
      <w:lvlText w:val="■"/>
      <w:lvlJc w:val="left"/>
      <w:pPr>
        <w:ind w:left="4320" w:hanging="360"/>
      </w:pPr>
    </w:lvl>
    <w:lvl w:ilvl="6" w:tplc="8DCADF26">
      <w:start w:val="1"/>
      <w:numFmt w:val="bullet"/>
      <w:lvlText w:val="●"/>
      <w:lvlJc w:val="left"/>
      <w:pPr>
        <w:ind w:left="5040" w:hanging="360"/>
      </w:pPr>
    </w:lvl>
    <w:lvl w:ilvl="7" w:tplc="637AA49C">
      <w:start w:val="1"/>
      <w:numFmt w:val="bullet"/>
      <w:lvlText w:val="●"/>
      <w:lvlJc w:val="left"/>
      <w:pPr>
        <w:ind w:left="5760" w:hanging="360"/>
      </w:pPr>
    </w:lvl>
    <w:lvl w:ilvl="8" w:tplc="65865DF0">
      <w:start w:val="1"/>
      <w:numFmt w:val="bullet"/>
      <w:lvlText w:val="●"/>
      <w:lvlJc w:val="left"/>
      <w:pPr>
        <w:ind w:left="6480" w:hanging="360"/>
      </w:pPr>
    </w:lvl>
  </w:abstractNum>
  <w:num w:numId="1" w16cid:durableId="388769292">
    <w:abstractNumId w:val="1"/>
    <w:lvlOverride w:ilvl="0">
      <w:startOverride w:val="1"/>
    </w:lvlOverride>
  </w:num>
  <w:num w:numId="2" w16cid:durableId="1504198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D50"/>
    <w:rsid w:val="00055C98"/>
    <w:rsid w:val="006A7370"/>
    <w:rsid w:val="00923D50"/>
    <w:rsid w:val="00AA0DE2"/>
    <w:rsid w:val="00C16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E9BF"/>
  <w15:docId w15:val="{D6C67905-A9C7-4CB1-A517-DFC1F1AA8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1E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3530</Words>
  <Characters>20127</Characters>
  <Application>Microsoft Office Word</Application>
  <DocSecurity>0</DocSecurity>
  <Lines>167</Lines>
  <Paragraphs>47</Paragraphs>
  <ScaleCrop>false</ScaleCrop>
  <Company/>
  <LinksUpToDate>false</LinksUpToDate>
  <CharactersWithSpaces>23610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Architecture and Operations Assignment</dc:title>
  <dc:creator>Assignment</dc:creator>
  <cp:lastModifiedBy>Namburi Venkata Sai Sohith</cp:lastModifiedBy>
  <cp:revision>2</cp:revision>
  <dcterms:created xsi:type="dcterms:W3CDTF">2026-08-10T05:55:00Z</dcterms:created>
  <dcterms:modified xsi:type="dcterms:W3CDTF">2026-08-10T05:55:00Z</dcterms:modified>
</cp:coreProperties>
</file>