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640AF" w14:textId="77777777" w:rsidR="005D0497" w:rsidRPr="00AF01DB" w:rsidRDefault="005D0497" w:rsidP="005D0497">
      <w:pPr>
        <w:spacing w:line="276" w:lineRule="auto"/>
        <w:jc w:val="center"/>
        <w:rPr>
          <w:rFonts w:ascii="Times New Roman" w:hAnsi="Times New Roman" w:cs="Times New Roman"/>
          <w:sz w:val="24"/>
          <w:szCs w:val="24"/>
        </w:rPr>
      </w:pPr>
      <w:r w:rsidRPr="00AF01DB">
        <w:rPr>
          <w:rFonts w:ascii="Times New Roman" w:hAnsi="Times New Roman" w:cs="Times New Roman"/>
          <w:b/>
          <w:bCs/>
          <w:sz w:val="24"/>
          <w:szCs w:val="24"/>
        </w:rPr>
        <w:t>SIMATS ENGINEERING</w:t>
      </w:r>
    </w:p>
    <w:p w14:paraId="43DC3A6D" w14:textId="47B0AA02" w:rsidR="005D0497" w:rsidRPr="00AF01DB" w:rsidRDefault="005D0497" w:rsidP="005D0497">
      <w:pPr>
        <w:spacing w:line="276" w:lineRule="auto"/>
        <w:jc w:val="center"/>
        <w:rPr>
          <w:rFonts w:ascii="Times New Roman" w:hAnsi="Times New Roman" w:cs="Times New Roman"/>
          <w:sz w:val="24"/>
          <w:szCs w:val="24"/>
        </w:rPr>
      </w:pPr>
      <w:r w:rsidRPr="00AF01DB">
        <w:rPr>
          <w:rFonts w:ascii="Times New Roman" w:hAnsi="Times New Roman" w:cs="Times New Roman"/>
          <w:b/>
          <w:bCs/>
          <w:sz w:val="24"/>
          <w:szCs w:val="24"/>
        </w:rPr>
        <w:t>ASSESSMENT TOOL 3: Application Based Questions</w:t>
      </w:r>
      <w:r w:rsidRPr="00AF01DB">
        <w:rPr>
          <w:rFonts w:ascii="Times New Roman" w:hAnsi="Times New Roman" w:cs="Times New Roman"/>
          <w:b/>
          <w:bCs/>
          <w:sz w:val="24"/>
          <w:szCs w:val="24"/>
        </w:rPr>
        <w:br/>
      </w:r>
    </w:p>
    <w:p w14:paraId="72BA364F" w14:textId="77777777" w:rsidR="005D0497" w:rsidRPr="00AF01DB" w:rsidRDefault="005D0497" w:rsidP="005D0497">
      <w:pPr>
        <w:spacing w:line="276" w:lineRule="auto"/>
        <w:rPr>
          <w:rFonts w:ascii="Times New Roman" w:hAnsi="Times New Roman" w:cs="Times New Roman"/>
          <w:sz w:val="24"/>
          <w:szCs w:val="24"/>
        </w:rPr>
      </w:pPr>
      <w:r w:rsidRPr="00AF01DB">
        <w:rPr>
          <w:rFonts w:ascii="Times New Roman" w:hAnsi="Times New Roman" w:cs="Times New Roman"/>
          <w:b/>
          <w:bCs/>
          <w:sz w:val="24"/>
          <w:szCs w:val="24"/>
        </w:rPr>
        <w:t xml:space="preserve">COURSE NAME: </w:t>
      </w:r>
      <w:r w:rsidRPr="00AF01DB">
        <w:rPr>
          <w:rFonts w:ascii="Times New Roman" w:hAnsi="Times New Roman" w:cs="Times New Roman"/>
          <w:sz w:val="24"/>
          <w:szCs w:val="24"/>
        </w:rPr>
        <w:t>Cloud Computing and Big Data Analytics </w:t>
      </w:r>
    </w:p>
    <w:p w14:paraId="6CC25A99" w14:textId="77777777" w:rsidR="005D0497" w:rsidRPr="00AF01DB" w:rsidRDefault="005D0497" w:rsidP="005D0497">
      <w:pPr>
        <w:spacing w:line="276" w:lineRule="auto"/>
        <w:rPr>
          <w:rFonts w:ascii="Times New Roman" w:hAnsi="Times New Roman" w:cs="Times New Roman"/>
          <w:sz w:val="24"/>
          <w:szCs w:val="24"/>
        </w:rPr>
      </w:pPr>
    </w:p>
    <w:p w14:paraId="771AA0FB" w14:textId="77777777" w:rsidR="005D0497" w:rsidRPr="00AF01DB" w:rsidRDefault="005D0497" w:rsidP="005D0497">
      <w:pPr>
        <w:pBdr>
          <w:bottom w:val="single" w:sz="12" w:space="1" w:color="auto"/>
        </w:pBdr>
        <w:spacing w:line="276" w:lineRule="auto"/>
        <w:rPr>
          <w:rFonts w:ascii="Times New Roman" w:hAnsi="Times New Roman" w:cs="Times New Roman"/>
          <w:sz w:val="24"/>
          <w:szCs w:val="24"/>
        </w:rPr>
      </w:pPr>
      <w:r w:rsidRPr="00AF01DB">
        <w:rPr>
          <w:rFonts w:ascii="Times New Roman" w:hAnsi="Times New Roman" w:cs="Times New Roman"/>
          <w:b/>
          <w:bCs/>
          <w:sz w:val="24"/>
          <w:szCs w:val="24"/>
        </w:rPr>
        <w:t xml:space="preserve">COURSE CODE: </w:t>
      </w:r>
      <w:r w:rsidRPr="00AF01DB">
        <w:rPr>
          <w:rFonts w:ascii="Times New Roman" w:hAnsi="Times New Roman" w:cs="Times New Roman"/>
          <w:sz w:val="24"/>
          <w:szCs w:val="24"/>
        </w:rPr>
        <w:t>CSA15 </w:t>
      </w:r>
    </w:p>
    <w:p w14:paraId="539EB1B2" w14:textId="77777777" w:rsidR="005D0497" w:rsidRPr="00AF01DB" w:rsidRDefault="005D0497" w:rsidP="005D0497">
      <w:pPr>
        <w:pBdr>
          <w:bottom w:val="single" w:sz="12" w:space="1" w:color="auto"/>
        </w:pBdr>
        <w:spacing w:line="276" w:lineRule="auto"/>
        <w:rPr>
          <w:rFonts w:ascii="Times New Roman" w:hAnsi="Times New Roman" w:cs="Times New Roman"/>
          <w:sz w:val="24"/>
          <w:szCs w:val="24"/>
        </w:rPr>
      </w:pPr>
    </w:p>
    <w:p w14:paraId="0A13E4E4" w14:textId="77777777" w:rsidR="005D0497" w:rsidRPr="00AF01DB" w:rsidRDefault="005D0497" w:rsidP="005D0497">
      <w:pPr>
        <w:spacing w:line="276" w:lineRule="auto"/>
        <w:rPr>
          <w:rFonts w:ascii="Times New Roman" w:hAnsi="Times New Roman" w:cs="Times New Roman"/>
          <w:b/>
          <w:bCs/>
          <w:sz w:val="24"/>
          <w:szCs w:val="24"/>
        </w:rPr>
      </w:pPr>
    </w:p>
    <w:p w14:paraId="3840AF88" w14:textId="77777777" w:rsidR="005D0497" w:rsidRPr="00AF01DB" w:rsidRDefault="005D0497" w:rsidP="005D0497">
      <w:pPr>
        <w:spacing w:line="276" w:lineRule="auto"/>
        <w:rPr>
          <w:rFonts w:ascii="Times New Roman" w:hAnsi="Times New Roman" w:cs="Times New Roman"/>
          <w:sz w:val="24"/>
          <w:szCs w:val="24"/>
        </w:rPr>
      </w:pPr>
      <w:r w:rsidRPr="00AF01DB">
        <w:rPr>
          <w:rFonts w:ascii="Times New Roman" w:hAnsi="Times New Roman" w:cs="Times New Roman"/>
          <w:b/>
          <w:bCs/>
          <w:sz w:val="24"/>
          <w:szCs w:val="24"/>
        </w:rPr>
        <w:t>COURSE OUTCOME COVERED </w:t>
      </w:r>
      <w:r w:rsidRPr="00AF01DB">
        <w:rPr>
          <w:rFonts w:ascii="Times New Roman" w:hAnsi="Times New Roman" w:cs="Times New Roman"/>
          <w:b/>
          <w:bCs/>
          <w:sz w:val="24"/>
          <w:szCs w:val="24"/>
        </w:rPr>
        <w:br/>
      </w:r>
    </w:p>
    <w:p w14:paraId="249AD0CB" w14:textId="77777777" w:rsidR="005D0497" w:rsidRPr="00AF01DB" w:rsidRDefault="005D0497" w:rsidP="005D0497">
      <w:pPr>
        <w:spacing w:line="276" w:lineRule="auto"/>
        <w:rPr>
          <w:rFonts w:ascii="Times New Roman" w:hAnsi="Times New Roman" w:cs="Times New Roman"/>
          <w:sz w:val="24"/>
          <w:szCs w:val="24"/>
        </w:rPr>
      </w:pPr>
      <w:r w:rsidRPr="00AF01DB">
        <w:rPr>
          <w:rFonts w:ascii="Times New Roman" w:hAnsi="Times New Roman" w:cs="Times New Roman"/>
          <w:b/>
          <w:bCs/>
          <w:sz w:val="24"/>
          <w:szCs w:val="24"/>
        </w:rPr>
        <w:t xml:space="preserve">CO2: </w:t>
      </w:r>
      <w:proofErr w:type="spellStart"/>
      <w:r w:rsidRPr="00AF01DB">
        <w:rPr>
          <w:rFonts w:ascii="Times New Roman" w:hAnsi="Times New Roman" w:cs="Times New Roman"/>
          <w:i/>
          <w:iCs/>
          <w:sz w:val="24"/>
          <w:szCs w:val="24"/>
        </w:rPr>
        <w:t>Analyze</w:t>
      </w:r>
      <w:proofErr w:type="spellEnd"/>
      <w:r w:rsidRPr="00AF01DB">
        <w:rPr>
          <w:rFonts w:ascii="Times New Roman" w:hAnsi="Times New Roman" w:cs="Times New Roman"/>
          <w:i/>
          <w:iCs/>
          <w:sz w:val="24"/>
          <w:szCs w:val="24"/>
        </w:rPr>
        <w:t xml:space="preserve"> virtualization architectures to identify performance and security issues in cloud computing environments. </w:t>
      </w:r>
      <w:r w:rsidRPr="00AF01DB">
        <w:rPr>
          <w:rFonts w:ascii="Times New Roman" w:hAnsi="Times New Roman" w:cs="Times New Roman"/>
          <w:sz w:val="24"/>
          <w:szCs w:val="24"/>
        </w:rPr>
        <w:t>(BL3) </w:t>
      </w:r>
    </w:p>
    <w:p w14:paraId="6248D429" w14:textId="77777777" w:rsidR="005D0497" w:rsidRPr="00AF01DB" w:rsidRDefault="005D0497" w:rsidP="005D0497">
      <w:pPr>
        <w:spacing w:line="276" w:lineRule="auto"/>
        <w:rPr>
          <w:rFonts w:ascii="Times New Roman" w:hAnsi="Times New Roman" w:cs="Times New Roman"/>
          <w:sz w:val="24"/>
          <w:szCs w:val="24"/>
        </w:rPr>
      </w:pPr>
    </w:p>
    <w:p w14:paraId="1F000FA0" w14:textId="77777777" w:rsidR="005D0497" w:rsidRPr="00AF01DB" w:rsidRDefault="005D0497" w:rsidP="005D0497">
      <w:pPr>
        <w:spacing w:line="276" w:lineRule="auto"/>
        <w:rPr>
          <w:rFonts w:ascii="Times New Roman" w:hAnsi="Times New Roman" w:cs="Times New Roman"/>
          <w:sz w:val="24"/>
          <w:szCs w:val="24"/>
        </w:rPr>
      </w:pPr>
    </w:p>
    <w:p w14:paraId="606421B9" w14:textId="77777777" w:rsidR="005D0497" w:rsidRPr="00AF01DB" w:rsidRDefault="005D0497" w:rsidP="005D0497">
      <w:pPr>
        <w:spacing w:line="276" w:lineRule="auto"/>
        <w:rPr>
          <w:rFonts w:ascii="Times New Roman" w:hAnsi="Times New Roman" w:cs="Times New Roman"/>
          <w:sz w:val="24"/>
          <w:szCs w:val="24"/>
        </w:rPr>
      </w:pPr>
      <w:r w:rsidRPr="00AF01DB">
        <w:rPr>
          <w:rFonts w:ascii="Times New Roman" w:hAnsi="Times New Roman" w:cs="Times New Roman"/>
          <w:sz w:val="24"/>
          <w:szCs w:val="24"/>
        </w:rPr>
        <w:t xml:space="preserve">Dave's Taxonomy: Manipulation (Level 2) </w:t>
      </w:r>
    </w:p>
    <w:p w14:paraId="7C6EA3AD" w14:textId="77777777" w:rsidR="005D0497" w:rsidRPr="00AF01DB" w:rsidRDefault="005D0497" w:rsidP="005D0497">
      <w:pPr>
        <w:spacing w:line="276" w:lineRule="auto"/>
        <w:rPr>
          <w:rFonts w:ascii="Times New Roman" w:hAnsi="Times New Roman" w:cs="Times New Roman"/>
          <w:sz w:val="24"/>
          <w:szCs w:val="24"/>
        </w:rPr>
      </w:pPr>
      <w:r w:rsidRPr="00AF01DB">
        <w:rPr>
          <w:rFonts w:ascii="Times New Roman" w:hAnsi="Times New Roman" w:cs="Times New Roman"/>
          <w:sz w:val="24"/>
          <w:szCs w:val="24"/>
        </w:rPr>
        <w:t>Question Count: 5 </w:t>
      </w:r>
    </w:p>
    <w:p w14:paraId="3B8A0C26" w14:textId="77777777" w:rsidR="005D0497" w:rsidRPr="00AF01DB" w:rsidRDefault="005D0497" w:rsidP="005D0497">
      <w:pPr>
        <w:spacing w:line="276" w:lineRule="auto"/>
        <w:rPr>
          <w:rFonts w:ascii="Times New Roman" w:hAnsi="Times New Roman" w:cs="Times New Roman"/>
          <w:b/>
          <w:bCs/>
          <w:sz w:val="24"/>
          <w:szCs w:val="24"/>
        </w:rPr>
      </w:pPr>
      <w:r w:rsidRPr="00AF01DB">
        <w:rPr>
          <w:rFonts w:ascii="Times New Roman" w:hAnsi="Times New Roman" w:cs="Times New Roman"/>
          <w:b/>
          <w:bCs/>
          <w:sz w:val="24"/>
          <w:szCs w:val="24"/>
        </w:rPr>
        <w:t>Total Marks: 25 </w:t>
      </w:r>
    </w:p>
    <w:p w14:paraId="3A00E1A6" w14:textId="77777777" w:rsidR="005D0497" w:rsidRPr="00AF01DB" w:rsidRDefault="005D0497" w:rsidP="005D0497">
      <w:pPr>
        <w:spacing w:line="276" w:lineRule="auto"/>
        <w:rPr>
          <w:rFonts w:ascii="Times New Roman" w:hAnsi="Times New Roman" w:cs="Times New Roman"/>
          <w:b/>
          <w:bCs/>
          <w:sz w:val="24"/>
          <w:szCs w:val="24"/>
        </w:rPr>
      </w:pPr>
      <w:r w:rsidRPr="00AF01DB">
        <w:rPr>
          <w:rFonts w:ascii="Times New Roman" w:hAnsi="Times New Roman" w:cs="Times New Roman"/>
          <w:b/>
          <w:bCs/>
          <w:sz w:val="24"/>
          <w:szCs w:val="24"/>
        </w:rPr>
        <w:t>______________________________________________________________________________</w:t>
      </w:r>
    </w:p>
    <w:p w14:paraId="4EDD80F5" w14:textId="77777777" w:rsidR="005D0497" w:rsidRPr="00AF01DB" w:rsidRDefault="005D0497" w:rsidP="005D0497">
      <w:pPr>
        <w:spacing w:line="276" w:lineRule="auto"/>
        <w:rPr>
          <w:rFonts w:ascii="Times New Roman" w:hAnsi="Times New Roman" w:cs="Times New Roman"/>
          <w:sz w:val="24"/>
          <w:szCs w:val="24"/>
        </w:rPr>
      </w:pPr>
    </w:p>
    <w:p w14:paraId="22A9272C" w14:textId="77777777" w:rsidR="005D0497" w:rsidRPr="00AF01DB" w:rsidRDefault="005D0497" w:rsidP="005D0497">
      <w:pPr>
        <w:spacing w:line="276" w:lineRule="auto"/>
        <w:rPr>
          <w:rFonts w:ascii="Times New Roman" w:hAnsi="Times New Roman" w:cs="Times New Roman"/>
          <w:sz w:val="24"/>
          <w:szCs w:val="24"/>
        </w:rPr>
      </w:pPr>
      <w:r w:rsidRPr="00AF01DB">
        <w:rPr>
          <w:rFonts w:ascii="Times New Roman" w:hAnsi="Times New Roman" w:cs="Times New Roman"/>
          <w:b/>
          <w:bCs/>
          <w:sz w:val="24"/>
          <w:szCs w:val="24"/>
        </w:rPr>
        <w:t>Code of Conduct </w:t>
      </w:r>
    </w:p>
    <w:p w14:paraId="4E50999A" w14:textId="77777777" w:rsidR="005D0497" w:rsidRPr="00AF01DB" w:rsidRDefault="005D0497" w:rsidP="005D0497">
      <w:pPr>
        <w:spacing w:line="276" w:lineRule="auto"/>
        <w:rPr>
          <w:rFonts w:ascii="Times New Roman" w:hAnsi="Times New Roman" w:cs="Times New Roman"/>
          <w:sz w:val="24"/>
          <w:szCs w:val="24"/>
        </w:rPr>
      </w:pPr>
    </w:p>
    <w:p w14:paraId="052181E4" w14:textId="0DBE2096" w:rsidR="005D0497" w:rsidRPr="00AF01DB" w:rsidRDefault="005D0497" w:rsidP="005D0497">
      <w:pPr>
        <w:spacing w:line="276" w:lineRule="auto"/>
        <w:rPr>
          <w:rFonts w:ascii="Times New Roman" w:hAnsi="Times New Roman" w:cs="Times New Roman"/>
          <w:sz w:val="24"/>
          <w:szCs w:val="24"/>
        </w:rPr>
      </w:pPr>
      <w:r w:rsidRPr="00AF01DB">
        <w:rPr>
          <w:rFonts w:ascii="Times New Roman" w:hAnsi="Times New Roman" w:cs="Times New Roman"/>
          <w:sz w:val="24"/>
          <w:szCs w:val="24"/>
        </w:rPr>
        <w:t xml:space="preserve">I </w:t>
      </w:r>
      <w:r w:rsidR="00AF01DB" w:rsidRPr="00AF01DB">
        <w:rPr>
          <w:rFonts w:ascii="Times New Roman" w:hAnsi="Times New Roman" w:cs="Times New Roman"/>
          <w:sz w:val="24"/>
          <w:szCs w:val="24"/>
        </w:rPr>
        <w:t xml:space="preserve">NAMBURI VENKATA SAI SOHITH (192425140) </w:t>
      </w:r>
      <w:r w:rsidRPr="00AF01DB">
        <w:rPr>
          <w:rFonts w:ascii="Times New Roman" w:hAnsi="Times New Roman" w:cs="Times New Roman"/>
          <w:sz w:val="24"/>
          <w:szCs w:val="24"/>
        </w:rPr>
        <w:t>(Name / Reg No) certify that this submission is my original work and that I have adhered to the guidelines specified for this assessment. </w:t>
      </w:r>
    </w:p>
    <w:p w14:paraId="7180AC3E" w14:textId="77777777" w:rsidR="005D0497" w:rsidRPr="00AF01DB" w:rsidRDefault="005D0497" w:rsidP="005D0497">
      <w:pPr>
        <w:spacing w:line="276" w:lineRule="auto"/>
        <w:rPr>
          <w:rFonts w:ascii="Times New Roman" w:hAnsi="Times New Roman" w:cs="Times New Roman"/>
          <w:sz w:val="24"/>
          <w:szCs w:val="24"/>
        </w:rPr>
      </w:pPr>
      <w:r w:rsidRPr="00AF01DB">
        <w:rPr>
          <w:rFonts w:ascii="Times New Roman" w:hAnsi="Times New Roman" w:cs="Times New Roman"/>
          <w:sz w:val="24"/>
          <w:szCs w:val="24"/>
        </w:rPr>
        <w:t xml:space="preserve">I understand that any violation of academic integrity rules will result in disciplinary action. </w:t>
      </w:r>
    </w:p>
    <w:p w14:paraId="705CAB00" w14:textId="77777777" w:rsidR="005D0497" w:rsidRPr="00AF01DB" w:rsidRDefault="005D0497" w:rsidP="005D0497">
      <w:pPr>
        <w:spacing w:line="276" w:lineRule="auto"/>
        <w:rPr>
          <w:rFonts w:ascii="Times New Roman" w:hAnsi="Times New Roman" w:cs="Times New Roman"/>
          <w:sz w:val="24"/>
          <w:szCs w:val="24"/>
        </w:rPr>
      </w:pPr>
      <w:r w:rsidRPr="00AF01DB">
        <w:rPr>
          <w:rFonts w:ascii="Times New Roman" w:hAnsi="Times New Roman" w:cs="Times New Roman"/>
          <w:sz w:val="24"/>
          <w:szCs w:val="24"/>
        </w:rPr>
        <w:t xml:space="preserve"> </w:t>
      </w:r>
    </w:p>
    <w:p w14:paraId="2E190F2B" w14:textId="68CE97FE" w:rsidR="005D0497" w:rsidRPr="00AF01DB" w:rsidRDefault="005D0497" w:rsidP="005D0497">
      <w:pPr>
        <w:spacing w:line="276" w:lineRule="auto"/>
        <w:rPr>
          <w:rFonts w:ascii="Times New Roman" w:hAnsi="Times New Roman" w:cs="Times New Roman"/>
          <w:sz w:val="24"/>
          <w:szCs w:val="24"/>
        </w:rPr>
      </w:pPr>
      <w:r w:rsidRPr="00AF01DB">
        <w:rPr>
          <w:rFonts w:ascii="Times New Roman" w:hAnsi="Times New Roman" w:cs="Times New Roman"/>
          <w:sz w:val="24"/>
          <w:szCs w:val="24"/>
        </w:rPr>
        <w:t xml:space="preserve">Signature of the student: </w:t>
      </w:r>
      <w:r w:rsidR="00AF01DB" w:rsidRPr="00AF01DB">
        <w:rPr>
          <w:rFonts w:ascii="Times New Roman" w:hAnsi="Times New Roman" w:cs="Times New Roman"/>
          <w:sz w:val="24"/>
          <w:szCs w:val="24"/>
        </w:rPr>
        <w:t xml:space="preserve">N. SOHITH </w:t>
      </w:r>
    </w:p>
    <w:p w14:paraId="1267BB51" w14:textId="77777777" w:rsidR="005D0497" w:rsidRPr="00AF01DB" w:rsidRDefault="005D0497" w:rsidP="005D0497">
      <w:pPr>
        <w:rPr>
          <w:rFonts w:ascii="Times New Roman" w:hAnsi="Times New Roman" w:cs="Times New Roman"/>
        </w:rPr>
      </w:pPr>
    </w:p>
    <w:p w14:paraId="17687055" w14:textId="77777777" w:rsidR="00545FDA" w:rsidRPr="00AF01DB" w:rsidRDefault="00000000">
      <w:pPr>
        <w:rPr>
          <w:rFonts w:ascii="Times New Roman" w:hAnsi="Times New Roman" w:cs="Times New Roman"/>
        </w:rPr>
      </w:pPr>
      <w:r w:rsidRPr="00AF01DB">
        <w:rPr>
          <w:rFonts w:ascii="Times New Roman" w:hAnsi="Times New Roman" w:cs="Times New Roman"/>
        </w:rPr>
        <w:br w:type="page"/>
      </w:r>
    </w:p>
    <w:p w14:paraId="1CAA3CD4" w14:textId="77777777" w:rsidR="00545FDA" w:rsidRPr="00AF01DB" w:rsidRDefault="00000000">
      <w:pPr>
        <w:pStyle w:val="Heading1"/>
        <w:pBdr>
          <w:bottom w:val="single" w:sz="8" w:space="4" w:color="2E5395"/>
        </w:pBdr>
        <w:spacing w:before="100" w:after="200"/>
        <w:rPr>
          <w:rFonts w:ascii="Times New Roman" w:hAnsi="Times New Roman" w:cs="Times New Roman"/>
        </w:rPr>
      </w:pPr>
      <w:r w:rsidRPr="00AF01DB">
        <w:rPr>
          <w:rFonts w:ascii="Times New Roman" w:hAnsi="Times New Roman" w:cs="Times New Roman"/>
          <w:b/>
          <w:bCs/>
          <w:color w:val="2E5395"/>
          <w:sz w:val="30"/>
          <w:szCs w:val="30"/>
        </w:rPr>
        <w:lastRenderedPageBreak/>
        <w:t>Q1. Auto-Scaling and Load Balancing for Seasonal E-Commerce Traffic Spikes</w:t>
      </w:r>
    </w:p>
    <w:p w14:paraId="49EC6396"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The Problem</w:t>
      </w:r>
    </w:p>
    <w:p w14:paraId="0CB551C7"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 xml:space="preserve">Seasonal sales events such as Black Friday, Cyber Monday, or a flash sale can drive traffic to many multiples of a company's normal baseline within minutes, and just as quickly drop off once the event ends. Provisioning fixed infrastructure for peak load would mean paying for idle capacity most of the year, while provisioning only for average </w:t>
      </w:r>
      <w:proofErr w:type="spellStart"/>
      <w:r w:rsidRPr="00AF01DB">
        <w:rPr>
          <w:rFonts w:ascii="Times New Roman" w:hAnsi="Times New Roman" w:cs="Times New Roman"/>
        </w:rPr>
        <w:t>load</w:t>
      </w:r>
      <w:proofErr w:type="spellEnd"/>
      <w:r w:rsidRPr="00AF01DB">
        <w:rPr>
          <w:rFonts w:ascii="Times New Roman" w:hAnsi="Times New Roman" w:cs="Times New Roman"/>
        </w:rPr>
        <w:t xml:space="preserve"> guarantees crashes and lost sales during the spike. Cloud auto-scaling combined with load balancing solves exactly this problem by matching capacity to demand automatically and in near real time.</w:t>
      </w:r>
    </w:p>
    <w:p w14:paraId="230F026E"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How Auto-Scaling Handles the Spike</w:t>
      </w:r>
    </w:p>
    <w:p w14:paraId="11DD0636"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Auto-scaling groups monitor metrics such as CPU utilization, memory usage, request rate, or queue depth for each tier of the application (web front end, application servers, checkout/payment service) and automatically launch additional instances or container replicas when demand crosses defined thresholds, then scale back down once traffic subsides. Predictive or scheduled scaling can be layered on top for known events — the company can pre-scale the fleet an hour before a sale is scheduled to begin, avoidi</w:t>
      </w:r>
      <w:r w:rsidRPr="00AF01DB">
        <w:rPr>
          <w:rFonts w:ascii="Times New Roman" w:hAnsi="Times New Roman" w:cs="Times New Roman"/>
        </w:rPr>
        <w:t>ng the brief lag inherent in purely reactive scaling. Because compute, not just the web tier, is elastic, backend services such as inventory checks and order processing scale in proportion to front-end traffic rather than becoming the new bottleneck once the web tier is scaled.</w:t>
      </w:r>
    </w:p>
    <w:p w14:paraId="67440DB2"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How Load Balancing Distributes the Demand</w:t>
      </w:r>
    </w:p>
    <w:p w14:paraId="38CE5BD4"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 xml:space="preserve">A load balancer sits in front of the auto-scaled fleet and distributes incoming requests evenly across all healthy instances, using algorithms such as round-robin, least-connections, or latency-based routing. It continuously performs health checks, automatically routing traffic away from any instance that becomes unresponsive or overloaded, and seamlessly incorporating newly launched instances into the pool as auto-scaling adds them. For a geographically distributed customer base, a global load balancer or </w:t>
      </w:r>
      <w:r w:rsidRPr="00AF01DB">
        <w:rPr>
          <w:rFonts w:ascii="Times New Roman" w:hAnsi="Times New Roman" w:cs="Times New Roman"/>
        </w:rPr>
        <w:t>CDN-integrated routing layer can also direct users to the nearest healthy regional deployment, reducing latency and spreading load across multiple regions during extreme spikes.</w:t>
      </w:r>
    </w:p>
    <w:p w14:paraId="5FA598A6"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Reducing Downtime and Improving User Experience</w:t>
      </w:r>
    </w:p>
    <w:p w14:paraId="6EDE00D4"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 xml:space="preserve">Together, auto-scaling and load balancing prevent the two most common causes of an outage during a traffic spike: resource exhaustion (addressed by adding capacity automatically) and single points of overload (addressed by spreading requests evenly and routing around unhealthy instances). The practical result for shoppers is a site that continues to load quickly and process checkouts reliably even as concurrent users surge, rather than timing out or displaying error pages — directly protecting both revenue </w:t>
      </w:r>
      <w:r w:rsidRPr="00AF01DB">
        <w:rPr>
          <w:rFonts w:ascii="Times New Roman" w:hAnsi="Times New Roman" w:cs="Times New Roman"/>
        </w:rPr>
        <w:t>and customer trust during the highest-value sales period of the year.</w:t>
      </w:r>
    </w:p>
    <w:p w14:paraId="55D2ADC4"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The Role of Monitoring Tools</w:t>
      </w:r>
    </w:p>
    <w:p w14:paraId="0E610FA6"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Real-time dashboards (e.g., CloudWatch, Grafana) give operators visibility into current load, instance health, and scaling activity as the event unfolds.</w:t>
      </w:r>
    </w:p>
    <w:p w14:paraId="3CA205CF"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lastRenderedPageBreak/>
        <w:t>Threshold-based alerting notifies the team if auto-scaling is not keeping pace with demand or if error rates begin rising, enabling manual intervention before customers are affected.</w:t>
      </w:r>
    </w:p>
    <w:p w14:paraId="2EC59A03"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Historical traffic analysis from previous sales events informs the scaling policies and thresholds used for the current event, improving predictive scaling accuracy over time.</w:t>
      </w:r>
    </w:p>
    <w:p w14:paraId="6DB22753"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Application performance monitoring (APM) tracks end-to-end transaction latency (e.g., time to complete checkout), catching degradation that infrastructure-level metrics alone might miss.</w:t>
      </w:r>
    </w:p>
    <w:p w14:paraId="669B8ADE"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Real-World E-Commerce Scenario</w:t>
      </w:r>
    </w:p>
    <w:p w14:paraId="782B6041"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A large online retailer preparing for its annual Black Friday sale typically pre-scales its web and application tiers hours in advance based on historical traffic patterns, while leaving reactive auto-scaling enabled to handle any demand beyond the forecast. A multi-region, load-balanced architecture ensures that a surge concentrated in one geography does not overwhelm infrastructure serving other regions, and real-time monitoring dashboards allow the operations team to watch checkout success rates and page</w:t>
      </w:r>
      <w:r w:rsidRPr="00AF01DB">
        <w:rPr>
          <w:rFonts w:ascii="Times New Roman" w:hAnsi="Times New Roman" w:cs="Times New Roman"/>
        </w:rPr>
        <w:t>-load latency throughout the event, intervening immediately if any service shows signs of strain. This combination is precisely why major retailers can reliably process order volumes many times their normal daily traffic within a single compressed shopping window.</w:t>
      </w:r>
    </w:p>
    <w:p w14:paraId="33189640" w14:textId="77777777" w:rsidR="00545FDA" w:rsidRPr="00AF01DB" w:rsidRDefault="00000000">
      <w:pPr>
        <w:rPr>
          <w:rFonts w:ascii="Times New Roman" w:hAnsi="Times New Roman" w:cs="Times New Roman"/>
        </w:rPr>
      </w:pPr>
      <w:r w:rsidRPr="00AF01DB">
        <w:rPr>
          <w:rFonts w:ascii="Times New Roman" w:hAnsi="Times New Roman" w:cs="Times New Roman"/>
        </w:rPr>
        <w:br w:type="page"/>
      </w:r>
    </w:p>
    <w:p w14:paraId="5148D9CF" w14:textId="77777777" w:rsidR="00545FDA" w:rsidRPr="00AF01DB" w:rsidRDefault="00000000">
      <w:pPr>
        <w:pStyle w:val="Heading1"/>
        <w:pBdr>
          <w:bottom w:val="single" w:sz="8" w:space="4" w:color="2E5395"/>
        </w:pBdr>
        <w:spacing w:before="100" w:after="200"/>
        <w:rPr>
          <w:rFonts w:ascii="Times New Roman" w:hAnsi="Times New Roman" w:cs="Times New Roman"/>
        </w:rPr>
      </w:pPr>
      <w:r w:rsidRPr="00AF01DB">
        <w:rPr>
          <w:rFonts w:ascii="Times New Roman" w:hAnsi="Times New Roman" w:cs="Times New Roman"/>
          <w:b/>
          <w:bCs/>
          <w:color w:val="2E5395"/>
          <w:sz w:val="30"/>
          <w:szCs w:val="30"/>
        </w:rPr>
        <w:lastRenderedPageBreak/>
        <w:t>Q2. Secure and Durable Cloud Storage for Large-Volume Backup Data</w:t>
      </w:r>
    </w:p>
    <w:p w14:paraId="72D8BBC1"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The Requirement</w:t>
      </w:r>
    </w:p>
    <w:p w14:paraId="7FA7C7FB"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An organization storing large volumes of backup data in the cloud needs three things simultaneously: assurance that the data will not be lost (durability), protection against unauthorized access (security), and cost efficiency at scale, since backup data volumes tend to grow continuously over time. Cloud object storage services are purpose-built to meet all three requirements far more effectively than most organizations could achieve with self-managed, on-premises storage.</w:t>
      </w:r>
    </w:p>
    <w:p w14:paraId="62AFE589"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Durability and Data Redundancy</w:t>
      </w:r>
    </w:p>
    <w:p w14:paraId="1105B4A1"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Cloud storage providers achieve extremely high durability — often quoted as 99.999999999% (eleven nines) annual durability — by automatically storing multiple copies of every object across physically separate storage devices, and frequently across multiple availability zones or even multiple geographic regions. Techniques such as erasure coding split data into fragments with additional parity information distributed across many disks, so that any single disk, server, or even an entire facility can fail with</w:t>
      </w:r>
      <w:r w:rsidRPr="00AF01DB">
        <w:rPr>
          <w:rFonts w:ascii="Times New Roman" w:hAnsi="Times New Roman" w:cs="Times New Roman"/>
        </w:rPr>
        <w:t>out any data loss, since the missing fragments can be mathematically reconstructed from the remaining ones. Cross-region replication extends this protection to the regional level, ensuring that a full regional outage or disaster does not threaten the availability of backup data at all.</w:t>
      </w:r>
    </w:p>
    <w:p w14:paraId="22EF41A2"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Encryption and Access Control</w:t>
      </w:r>
    </w:p>
    <w:p w14:paraId="4FB59FB8"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Encryption at rest, using provider-managed or customer-managed keys, ensures backup data is unreadable if underlying storage media were ever improperly accessed.</w:t>
      </w:r>
    </w:p>
    <w:p w14:paraId="05BD34B5"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Encryption in transit (TLS) protects backup data as it moves from the organization's systems to the cloud storage service.</w:t>
      </w:r>
    </w:p>
    <w:p w14:paraId="469BB595"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Fine-grained identity and access management (IAM) policies restrict who and what (users, applications, automated backup jobs) can read, write, or delete specific backup data, following the principle of least privilege.</w:t>
      </w:r>
    </w:p>
    <w:p w14:paraId="5E91E6F3"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Immutable/write-once-read-many (WORM) storage or object-lock features prevent backup data from being altered or deleted for a defined retention period, protecting against ransomware and insider threats.</w:t>
      </w:r>
    </w:p>
    <w:p w14:paraId="1E55DF9B"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Audit logging of every access and modification to backup data provides a verifiable trail for security review and compliance reporting.</w:t>
      </w:r>
    </w:p>
    <w:p w14:paraId="5F70034A"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Cost Advantages Compared to Traditional Storage</w:t>
      </w:r>
    </w:p>
    <w:p w14:paraId="673B20BF"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 xml:space="preserve">No upfront capital expenditure on physical storage hardware, racks, and </w:t>
      </w:r>
      <w:proofErr w:type="spellStart"/>
      <w:r w:rsidRPr="00AF01DB">
        <w:rPr>
          <w:rFonts w:ascii="Times New Roman" w:hAnsi="Times New Roman" w:cs="Times New Roman"/>
        </w:rPr>
        <w:t>datacenter</w:t>
      </w:r>
      <w:proofErr w:type="spellEnd"/>
      <w:r w:rsidRPr="00AF01DB">
        <w:rPr>
          <w:rFonts w:ascii="Times New Roman" w:hAnsi="Times New Roman" w:cs="Times New Roman"/>
        </w:rPr>
        <w:t xml:space="preserve"> space; cloud storage is consumed and billed on a pay-as-you-go basis.</w:t>
      </w:r>
    </w:p>
    <w:p w14:paraId="62642AAF"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Automatic, tiered storage classes (frequent-access, infrequent-access, archive/cold storage) allow the organization to place older backups in far cheaper storage tiers automatically via lifecycle policies, something that requires manual hardware migration in a traditional environment.</w:t>
      </w:r>
    </w:p>
    <w:p w14:paraId="37C6599C"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lastRenderedPageBreak/>
        <w:t>No ongoing cost of maintaining, powering, cooling, and eventually replacing physical storage hardware, nor the staffing overhead of managing that hardware.</w:t>
      </w:r>
    </w:p>
    <w:p w14:paraId="4F688DF0"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Elastic capacity means the organization never over-provisions storage 'just in case' the way traditional infrastructure often must, since cloud storage scales seamlessly as backup volume grows.</w:t>
      </w:r>
    </w:p>
    <w:p w14:paraId="791A08F9"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Disaster Recovery Use Case Example</w:t>
      </w:r>
    </w:p>
    <w:p w14:paraId="76D74206"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 xml:space="preserve">Consider a mid-sized company whose primary </w:t>
      </w:r>
      <w:proofErr w:type="spellStart"/>
      <w:r w:rsidRPr="00AF01DB">
        <w:rPr>
          <w:rFonts w:ascii="Times New Roman" w:hAnsi="Times New Roman" w:cs="Times New Roman"/>
        </w:rPr>
        <w:t>datacenter</w:t>
      </w:r>
      <w:proofErr w:type="spellEnd"/>
      <w:r w:rsidRPr="00AF01DB">
        <w:rPr>
          <w:rFonts w:ascii="Times New Roman" w:hAnsi="Times New Roman" w:cs="Times New Roman"/>
        </w:rPr>
        <w:t xml:space="preserve"> suffers a fire that destroys on-site servers and backup tapes. Because the company had been replicating nightly backups to cloud storage in a separate geographic region with versioning and cross-region replication enabled, the IT team is able to provision new compute infrastructure in the cloud and restore the most recent backup within hours rather than the days or weeks it would take to rebuild from an on-premises-only backup strategy — and because the cloud copies were geographically separated </w:t>
      </w:r>
      <w:r w:rsidRPr="00AF01DB">
        <w:rPr>
          <w:rFonts w:ascii="Times New Roman" w:hAnsi="Times New Roman" w:cs="Times New Roman"/>
        </w:rPr>
        <w:t xml:space="preserve">from the primary site, the disaster that destroyed the primary </w:t>
      </w:r>
      <w:proofErr w:type="spellStart"/>
      <w:r w:rsidRPr="00AF01DB">
        <w:rPr>
          <w:rFonts w:ascii="Times New Roman" w:hAnsi="Times New Roman" w:cs="Times New Roman"/>
        </w:rPr>
        <w:t>datacenter</w:t>
      </w:r>
      <w:proofErr w:type="spellEnd"/>
      <w:r w:rsidRPr="00AF01DB">
        <w:rPr>
          <w:rFonts w:ascii="Times New Roman" w:hAnsi="Times New Roman" w:cs="Times New Roman"/>
        </w:rPr>
        <w:t xml:space="preserve"> had no impact on backup availability at all.</w:t>
      </w:r>
    </w:p>
    <w:p w14:paraId="3B0CCCE7" w14:textId="77777777" w:rsidR="00545FDA" w:rsidRPr="00AF01DB" w:rsidRDefault="00000000">
      <w:pPr>
        <w:rPr>
          <w:rFonts w:ascii="Times New Roman" w:hAnsi="Times New Roman" w:cs="Times New Roman"/>
        </w:rPr>
      </w:pPr>
      <w:r w:rsidRPr="00AF01DB">
        <w:rPr>
          <w:rFonts w:ascii="Times New Roman" w:hAnsi="Times New Roman" w:cs="Times New Roman"/>
        </w:rPr>
        <w:br w:type="page"/>
      </w:r>
    </w:p>
    <w:p w14:paraId="751D82F8" w14:textId="77777777" w:rsidR="00545FDA" w:rsidRPr="00AF01DB" w:rsidRDefault="00000000">
      <w:pPr>
        <w:pStyle w:val="Heading1"/>
        <w:pBdr>
          <w:bottom w:val="single" w:sz="8" w:space="4" w:color="2E5395"/>
        </w:pBdr>
        <w:spacing w:before="100" w:after="200"/>
        <w:rPr>
          <w:rFonts w:ascii="Times New Roman" w:hAnsi="Times New Roman" w:cs="Times New Roman"/>
        </w:rPr>
      </w:pPr>
      <w:r w:rsidRPr="00AF01DB">
        <w:rPr>
          <w:rFonts w:ascii="Times New Roman" w:hAnsi="Times New Roman" w:cs="Times New Roman"/>
          <w:b/>
          <w:bCs/>
          <w:color w:val="2E5395"/>
          <w:sz w:val="30"/>
          <w:szCs w:val="30"/>
        </w:rPr>
        <w:lastRenderedPageBreak/>
        <w:t>Q3. CDNs and Edge Infrastructure for Global Mobile App Performance</w:t>
      </w:r>
    </w:p>
    <w:p w14:paraId="0836681F"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The Global Deployment Challenge</w:t>
      </w:r>
    </w:p>
    <w:p w14:paraId="2A4522D6"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 xml:space="preserve">A mobile app company deploying globally faces a fundamental physical constraint: network latency increases with the physical distance data must travel, and the speed of light imposes a hard floor on how fast a request can travel from, say, Australia to a server in the United States and back. Serving every user from a single origin </w:t>
      </w:r>
      <w:proofErr w:type="spellStart"/>
      <w:r w:rsidRPr="00AF01DB">
        <w:rPr>
          <w:rFonts w:ascii="Times New Roman" w:hAnsi="Times New Roman" w:cs="Times New Roman"/>
        </w:rPr>
        <w:t>datacenter</w:t>
      </w:r>
      <w:proofErr w:type="spellEnd"/>
      <w:r w:rsidRPr="00AF01DB">
        <w:rPr>
          <w:rFonts w:ascii="Times New Roman" w:hAnsi="Times New Roman" w:cs="Times New Roman"/>
        </w:rPr>
        <w:t xml:space="preserve"> would produce excellent performance for users near that </w:t>
      </w:r>
      <w:proofErr w:type="spellStart"/>
      <w:r w:rsidRPr="00AF01DB">
        <w:rPr>
          <w:rFonts w:ascii="Times New Roman" w:hAnsi="Times New Roman" w:cs="Times New Roman"/>
        </w:rPr>
        <w:t>datacenter</w:t>
      </w:r>
      <w:proofErr w:type="spellEnd"/>
      <w:r w:rsidRPr="00AF01DB">
        <w:rPr>
          <w:rFonts w:ascii="Times New Roman" w:hAnsi="Times New Roman" w:cs="Times New Roman"/>
        </w:rPr>
        <w:t xml:space="preserve"> and poor, high-latency performance for everyone else. Content Delivery Networks (CDNs) and cloud providers' global edge infrastructure exist specifically to solve this problem.</w:t>
      </w:r>
    </w:p>
    <w:p w14:paraId="395640B6"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How CDNs Improve Performance and Reduce Latency</w:t>
      </w:r>
    </w:p>
    <w:p w14:paraId="3CFD5F35"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 xml:space="preserve">A CDN operates a large network of edge servers (points of presence) distributed across many cities and countries worldwide. Static and semi-static content — images, videos, app assets, API responses that can be cached — is replicated to these edge locations, so a user's request is served from the nearest edge server rather than traveling all the way to the origin </w:t>
      </w:r>
      <w:proofErr w:type="spellStart"/>
      <w:r w:rsidRPr="00AF01DB">
        <w:rPr>
          <w:rFonts w:ascii="Times New Roman" w:hAnsi="Times New Roman" w:cs="Times New Roman"/>
        </w:rPr>
        <w:t>datacenter</w:t>
      </w:r>
      <w:proofErr w:type="spellEnd"/>
      <w:r w:rsidRPr="00AF01DB">
        <w:rPr>
          <w:rFonts w:ascii="Times New Roman" w:hAnsi="Times New Roman" w:cs="Times New Roman"/>
        </w:rPr>
        <w:t>. This dramatically cuts round-trip latency and reduces load on origin infrastructure, since the large majority of requests for popular content never need to reach the origin at all. CDNs also apply techniques such as TCP connection optimization, HTTP/2 and HTTP/3 multiplexing, and route optimization across their private backbone networks (which are often faster and more reliable than the public internet) to further reduce latency even for requests that do need to reach the origin.</w:t>
      </w:r>
    </w:p>
    <w:p w14:paraId="5F3A4CF8"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How Edge Servers Enhance User Experience Across Regions</w:t>
      </w:r>
    </w:p>
    <w:p w14:paraId="5AA7A254"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 xml:space="preserve">Localized caching of app content and media means users in Asia, Europe, and the Americas all experience fast load times, rather than only users near the primary </w:t>
      </w:r>
      <w:proofErr w:type="spellStart"/>
      <w:r w:rsidRPr="00AF01DB">
        <w:rPr>
          <w:rFonts w:ascii="Times New Roman" w:hAnsi="Times New Roman" w:cs="Times New Roman"/>
        </w:rPr>
        <w:t>datacenter</w:t>
      </w:r>
      <w:proofErr w:type="spellEnd"/>
      <w:r w:rsidRPr="00AF01DB">
        <w:rPr>
          <w:rFonts w:ascii="Times New Roman" w:hAnsi="Times New Roman" w:cs="Times New Roman"/>
        </w:rPr>
        <w:t>.</w:t>
      </w:r>
    </w:p>
    <w:p w14:paraId="6C0B615B"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Edge compute capabilities (e.g., running lightweight logic at the edge — authentication checks, personalization, image resizing) allow some processing to happen close to the user instead of requiring a full round trip to origin.</w:t>
      </w:r>
    </w:p>
    <w:p w14:paraId="0BA2CF08"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DDoS mitigation and traffic filtering at the edge protect the origin infrastructure and improve reliability for legitimate users across all regions simultaneously.</w:t>
      </w:r>
    </w:p>
    <w:p w14:paraId="7FED19D4"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Automatic failover between edge nodes and regions ensures that a problem at one edge location does not degrade the experience for users being served by other, healthy edge locations.</w:t>
      </w:r>
    </w:p>
    <w:p w14:paraId="4604D57F"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How Cloud Providers Support Global Availability</w:t>
      </w:r>
    </w:p>
    <w:p w14:paraId="427F502A"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Major cloud providers operate infrastructure across dozens of geographic regions, each containing multiple availability zones, and maintain their own global backbone networks connecting those regions with high-bandwidth, low-latency private links. This allows a mobile app company to deploy application backends in multiple regions close to major user populations, use managed CDN services tightly integrated with that regional infrastructure, and rely on global load-balancing and DNS services to route each use</w:t>
      </w:r>
      <w:r w:rsidRPr="00AF01DB">
        <w:rPr>
          <w:rFonts w:ascii="Times New Roman" w:hAnsi="Times New Roman" w:cs="Times New Roman"/>
        </w:rPr>
        <w:t>r's traffic to the best-performing available region or edge node automatically, without the company needing to build and operate this global network itself.</w:t>
      </w:r>
    </w:p>
    <w:p w14:paraId="29332BBC"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lastRenderedPageBreak/>
        <w:t>Real-Time Streaming or Gaming Example</w:t>
      </w:r>
    </w:p>
    <w:p w14:paraId="2B2181EC"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 xml:space="preserve">A real-time multiplayer mobile gaming company depends on latency low enough that in-game actions feel instantaneous to players; even 150–200 </w:t>
      </w:r>
      <w:proofErr w:type="spellStart"/>
      <w:r w:rsidRPr="00AF01DB">
        <w:rPr>
          <w:rFonts w:ascii="Times New Roman" w:hAnsi="Times New Roman" w:cs="Times New Roman"/>
        </w:rPr>
        <w:t>ms</w:t>
      </w:r>
      <w:proofErr w:type="spellEnd"/>
      <w:r w:rsidRPr="00AF01DB">
        <w:rPr>
          <w:rFonts w:ascii="Times New Roman" w:hAnsi="Times New Roman" w:cs="Times New Roman"/>
        </w:rPr>
        <w:t xml:space="preserve"> of added round-trip latency is noticeable and can affect competitive fairness. By deploying game servers in multiple regions and using edge infrastructure and CDN caching for game assets, updates, and matchmaking data, the company can match each player to the nearest regional game server and ensure downloadable content and app updates are delivered from a nearby edge node rather than a distant origin. The result is consistently low latency and fast load times for players regardless of whether they are in</w:t>
      </w:r>
      <w:r w:rsidRPr="00AF01DB">
        <w:rPr>
          <w:rFonts w:ascii="Times New Roman" w:hAnsi="Times New Roman" w:cs="Times New Roman"/>
        </w:rPr>
        <w:t xml:space="preserve"> North America, Europe, or Asia — directly determining whether the game feels responsive and fair, which is often the deciding factor in player retention for latency-sensitive real-time applications.</w:t>
      </w:r>
    </w:p>
    <w:p w14:paraId="3F81FE2C" w14:textId="77777777" w:rsidR="00545FDA" w:rsidRPr="00AF01DB" w:rsidRDefault="00000000">
      <w:pPr>
        <w:rPr>
          <w:rFonts w:ascii="Times New Roman" w:hAnsi="Times New Roman" w:cs="Times New Roman"/>
        </w:rPr>
      </w:pPr>
      <w:r w:rsidRPr="00AF01DB">
        <w:rPr>
          <w:rFonts w:ascii="Times New Roman" w:hAnsi="Times New Roman" w:cs="Times New Roman"/>
        </w:rPr>
        <w:br w:type="page"/>
      </w:r>
    </w:p>
    <w:p w14:paraId="7900A3BD" w14:textId="77777777" w:rsidR="00545FDA" w:rsidRPr="00AF01DB" w:rsidRDefault="00000000">
      <w:pPr>
        <w:pStyle w:val="Heading1"/>
        <w:pBdr>
          <w:bottom w:val="single" w:sz="8" w:space="4" w:color="2E5395"/>
        </w:pBdr>
        <w:spacing w:before="100" w:after="200"/>
        <w:rPr>
          <w:rFonts w:ascii="Times New Roman" w:hAnsi="Times New Roman" w:cs="Times New Roman"/>
        </w:rPr>
      </w:pPr>
      <w:r w:rsidRPr="00AF01DB">
        <w:rPr>
          <w:rFonts w:ascii="Times New Roman" w:hAnsi="Times New Roman" w:cs="Times New Roman"/>
          <w:b/>
          <w:bCs/>
          <w:color w:val="2E5395"/>
          <w:sz w:val="30"/>
          <w:szCs w:val="30"/>
        </w:rPr>
        <w:lastRenderedPageBreak/>
        <w:t>Q4. Regulatory Compliance and Data Security in Cloud Usage for a Financial Institution</w:t>
      </w:r>
    </w:p>
    <w:p w14:paraId="28968DFC"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The Compliance Challenge</w:t>
      </w:r>
    </w:p>
    <w:p w14:paraId="32D1CDFF"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Financial institutions operate under some of the strictest regulatory regimes of any industry — frameworks such as PCI-DSS for payment card data, SOX for financial reporting controls, GDPR or regional equivalents for personal data, and often country-specific banking regulations governing where and how customer financial data may be stored and processed. Moving to the cloud does not remove these obligations; it changes how they are satisfied, requiring the institution and its cloud provider to jointly demons</w:t>
      </w:r>
      <w:r w:rsidRPr="00AF01DB">
        <w:rPr>
          <w:rFonts w:ascii="Times New Roman" w:hAnsi="Times New Roman" w:cs="Times New Roman"/>
        </w:rPr>
        <w:t>trate that the required controls are in place.</w:t>
      </w:r>
    </w:p>
    <w:p w14:paraId="35D8741F"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How Cloud Providers Support Regulatory Compliance</w:t>
      </w:r>
    </w:p>
    <w:p w14:paraId="4BEBA3DA"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Major cloud providers maintain independently audited compliance certifications (SOC 2, ISO 27001, PCI-DSS attestation, and industry-specific certifications) covering the physical and infrastructure layers of their platform, and publish detailed compliance documentation and shared-responsibility models clarifying exactly which controls the provider manages versus which remain the customer's responsibility. They offer compliance-focused tooling — configuration and policy compliance scanners, pre-built complia</w:t>
      </w:r>
      <w:r w:rsidRPr="00AF01DB">
        <w:rPr>
          <w:rFonts w:ascii="Times New Roman" w:hAnsi="Times New Roman" w:cs="Times New Roman"/>
        </w:rPr>
        <w:t>nce framework templates, and dedicated regulated-industry cloud regions or service tiers — that help the financial institution configure its own workloads to meet the applicable standards. Providers also support third-party audits by making relevant logs, configuration state, and control evidence available to the institution's auditors and regulators upon request.</w:t>
      </w:r>
    </w:p>
    <w:p w14:paraId="29F9ACD3"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The Role of Logging, Monitoring, and Encryption</w:t>
      </w:r>
    </w:p>
    <w:p w14:paraId="6A67F131"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Comprehensive audit logging (every API call, configuration change, and data access event) creates the evidentiary trail regulators require to verify that controls are actually being followed, not just documented.</w:t>
      </w:r>
    </w:p>
    <w:p w14:paraId="309CDD23"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Centralized, tamper-evident log storage (write-once log archives) ensures logs cannot be altered after the fact, which is itself often a specific compliance requirement.</w:t>
      </w:r>
    </w:p>
    <w:p w14:paraId="0CDC569E"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Continuous security monitoring and Security Information and Event Management (SIEM) tooling detect anomalous access patterns or potential breaches in near real time, supporting both security and the regulatory expectation of timely incident detection.</w:t>
      </w:r>
    </w:p>
    <w:p w14:paraId="7BF3A923"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Encryption at rest and in transit for all financial data protects confidentiality even if underlying storage or network infrastructure were compromised, and is explicitly mandated by frameworks such as PCI-DSS for cardholder data.</w:t>
      </w:r>
    </w:p>
    <w:p w14:paraId="4DAC9754"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Strong key management, ideally with customer-controlled encryption keys for the most sensitive data, gives the institution the ability to independently revoke access to its data, which strengthens both its security posture and its compliance narrative.</w:t>
      </w:r>
    </w:p>
    <w:p w14:paraId="713655D8"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Ensuring Data Sovereignty</w:t>
      </w:r>
    </w:p>
    <w:p w14:paraId="4C8821A0"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lastRenderedPageBreak/>
        <w:t xml:space="preserve">Data sovereignty requirements — laws mandating that certain categories of data physically reside within a specific country or region — are addressed by deliberately selecting cloud regions located within the required jurisdiction for all storage and processing of in-scope data, and by using the provider's data-residency controls to prevent that data from being automatically replicated or processed outside the approved boundary. The institution should also review the cloud provider's contractual commitments </w:t>
      </w:r>
      <w:r w:rsidRPr="00AF01DB">
        <w:rPr>
          <w:rFonts w:ascii="Times New Roman" w:hAnsi="Times New Roman" w:cs="Times New Roman"/>
        </w:rPr>
        <w:t>and technical controls regarding cross-border data transfer, government access requests, and support-staff data access, ensuring these align with the specific sovereignty obligations that apply to its regulatory jurisdiction, and should periodically audit actual data location against policy rather than assuming configuration alone guarantees compliance over time.</w:t>
      </w:r>
    </w:p>
    <w:p w14:paraId="1D7ECF2B"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Example: Sensitive Financial Transactions</w:t>
      </w:r>
    </w:p>
    <w:p w14:paraId="24DE6882"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Consider a bank processing customer card payments through a cloud-hosted platform. Cardholder data is encrypted at rest and in transit, tokenized wherever possible so raw card numbers are not stored in application databases at all, and access is restricted to a small set of services under strict least-privilege IAM policies. Every access to payment data is logged and continuously monitored for anomalies, satisfying PCI-DSS logging and monitoring requirements. The payment-processing workload runs exclusively</w:t>
      </w:r>
      <w:r w:rsidRPr="00AF01DB">
        <w:rPr>
          <w:rFonts w:ascii="Times New Roman" w:hAnsi="Times New Roman" w:cs="Times New Roman"/>
        </w:rPr>
        <w:t xml:space="preserve"> in cloud regions located within the country whose regulations govern that customer data, satisfying data-sovereignty rules, and the bank's compliance team periodically reviews the cloud provider's audit reports and its own configuration-compliance dashboards to demonstrate, with evidence, that these controls remain in place ahead of regulatory examinations.</w:t>
      </w:r>
    </w:p>
    <w:p w14:paraId="035C0C6F" w14:textId="77777777" w:rsidR="00545FDA" w:rsidRPr="00AF01DB" w:rsidRDefault="00000000">
      <w:pPr>
        <w:rPr>
          <w:rFonts w:ascii="Times New Roman" w:hAnsi="Times New Roman" w:cs="Times New Roman"/>
        </w:rPr>
      </w:pPr>
      <w:r w:rsidRPr="00AF01DB">
        <w:rPr>
          <w:rFonts w:ascii="Times New Roman" w:hAnsi="Times New Roman" w:cs="Times New Roman"/>
        </w:rPr>
        <w:br w:type="page"/>
      </w:r>
    </w:p>
    <w:p w14:paraId="7D55C38E" w14:textId="77777777" w:rsidR="00545FDA" w:rsidRPr="00AF01DB" w:rsidRDefault="00000000">
      <w:pPr>
        <w:pStyle w:val="Heading1"/>
        <w:pBdr>
          <w:bottom w:val="single" w:sz="8" w:space="4" w:color="2E5395"/>
        </w:pBdr>
        <w:spacing w:before="100" w:after="200"/>
        <w:rPr>
          <w:rFonts w:ascii="Times New Roman" w:hAnsi="Times New Roman" w:cs="Times New Roman"/>
        </w:rPr>
      </w:pPr>
      <w:r w:rsidRPr="00AF01DB">
        <w:rPr>
          <w:rFonts w:ascii="Times New Roman" w:hAnsi="Times New Roman" w:cs="Times New Roman"/>
          <w:b/>
          <w:bCs/>
          <w:color w:val="2E5395"/>
          <w:sz w:val="30"/>
          <w:szCs w:val="30"/>
        </w:rPr>
        <w:lastRenderedPageBreak/>
        <w:t>Q5. Containerization, Orchestration, and Portability for Application Deployment</w:t>
      </w:r>
    </w:p>
    <w:p w14:paraId="5E3C187E"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Why Consider Containers</w:t>
      </w:r>
    </w:p>
    <w:p w14:paraId="428487FE"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A development team choosing how to package and deploy its applications must weigh virtual machines against containers. Both provide isolation and repeatable deployment, but they achieve it at very different levels of the infrastructure stack, with significant consequences for performance, resource usage, and operational agility.</w:t>
      </w:r>
    </w:p>
    <w:p w14:paraId="7161FC87"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Containers vs Virtual Machines: Performance and Resource Usage</w:t>
      </w:r>
    </w:p>
    <w:p w14:paraId="5721BE67"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 xml:space="preserve">A virtual machine virtualizes an entire computer, including a full guest operating system kernel, running on top of a hypervisor. Each VM therefore carries the memory and storage overhead of a complete OS instance and takes tens of seconds to minutes to boot. A container, by contrast, shares the host machine's OS kernel and packages only the application and its dependencies (libraries, runtime, configuration) in an isolated user-space process, enforced through OS-level features such as Linux namespaces and </w:t>
      </w:r>
      <w:proofErr w:type="spellStart"/>
      <w:r w:rsidRPr="00AF01DB">
        <w:rPr>
          <w:rFonts w:ascii="Times New Roman" w:hAnsi="Times New Roman" w:cs="Times New Roman"/>
        </w:rPr>
        <w:t>cgroups</w:t>
      </w:r>
      <w:proofErr w:type="spellEnd"/>
      <w:r w:rsidRPr="00AF01DB">
        <w:rPr>
          <w:rFonts w:ascii="Times New Roman" w:hAnsi="Times New Roman" w:cs="Times New Roman"/>
        </w:rPr>
        <w:t xml:space="preserve"> rather than full hardware virtualization. This makes containers dramatically lighter weight: they typically start in a second or less, consume a small fraction of the memory and disk footprint of an equivalent VM, and allow far higher application density per physical host, since dozens or hundreds of containers can run on hardware that might host only a handful of VMs. The trade-off is a thinner isolation boundary than a VM provides, since containers on the same host share a kernel — a consideration</w:t>
      </w:r>
      <w:r w:rsidRPr="00AF01DB">
        <w:rPr>
          <w:rFonts w:ascii="Times New Roman" w:hAnsi="Times New Roman" w:cs="Times New Roman"/>
        </w:rPr>
        <w:t xml:space="preserve"> for workloads with the very highest security-isolation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8"/>
        <w:gridCol w:w="3141"/>
        <w:gridCol w:w="3111"/>
      </w:tblGrid>
      <w:tr w:rsidR="00545FDA" w:rsidRPr="00AF01DB" w14:paraId="3E9B5CCB" w14:textId="77777777">
        <w:trPr>
          <w:tblHeader/>
        </w:trPr>
        <w:tc>
          <w:tcPr>
            <w:tcW w:w="0" w:type="dxa"/>
            <w:shd w:val="clear" w:color="auto" w:fill="2E5395"/>
            <w:tcMar>
              <w:top w:w="80" w:type="dxa"/>
              <w:left w:w="100" w:type="dxa"/>
              <w:bottom w:w="80" w:type="dxa"/>
              <w:right w:w="100" w:type="dxa"/>
            </w:tcMar>
          </w:tcPr>
          <w:p w14:paraId="44925CE5" w14:textId="77777777" w:rsidR="00545FDA" w:rsidRPr="00AF01DB" w:rsidRDefault="00000000">
            <w:pPr>
              <w:rPr>
                <w:rFonts w:ascii="Times New Roman" w:hAnsi="Times New Roman" w:cs="Times New Roman"/>
              </w:rPr>
            </w:pPr>
            <w:r w:rsidRPr="00AF01DB">
              <w:rPr>
                <w:rFonts w:ascii="Times New Roman" w:hAnsi="Times New Roman" w:cs="Times New Roman"/>
                <w:b/>
                <w:bCs/>
                <w:color w:val="FFFFFF"/>
              </w:rPr>
              <w:t>Aspect</w:t>
            </w:r>
          </w:p>
        </w:tc>
        <w:tc>
          <w:tcPr>
            <w:tcW w:w="0" w:type="dxa"/>
            <w:shd w:val="clear" w:color="auto" w:fill="2E5395"/>
            <w:tcMar>
              <w:top w:w="80" w:type="dxa"/>
              <w:left w:w="100" w:type="dxa"/>
              <w:bottom w:w="80" w:type="dxa"/>
              <w:right w:w="100" w:type="dxa"/>
            </w:tcMar>
          </w:tcPr>
          <w:p w14:paraId="3E02911D" w14:textId="77777777" w:rsidR="00545FDA" w:rsidRPr="00AF01DB" w:rsidRDefault="00000000">
            <w:pPr>
              <w:rPr>
                <w:rFonts w:ascii="Times New Roman" w:hAnsi="Times New Roman" w:cs="Times New Roman"/>
              </w:rPr>
            </w:pPr>
            <w:r w:rsidRPr="00AF01DB">
              <w:rPr>
                <w:rFonts w:ascii="Times New Roman" w:hAnsi="Times New Roman" w:cs="Times New Roman"/>
                <w:b/>
                <w:bCs/>
                <w:color w:val="FFFFFF"/>
              </w:rPr>
              <w:t>Virtual Machine</w:t>
            </w:r>
          </w:p>
        </w:tc>
        <w:tc>
          <w:tcPr>
            <w:tcW w:w="0" w:type="dxa"/>
            <w:shd w:val="clear" w:color="auto" w:fill="2E5395"/>
            <w:tcMar>
              <w:top w:w="80" w:type="dxa"/>
              <w:left w:w="100" w:type="dxa"/>
              <w:bottom w:w="80" w:type="dxa"/>
              <w:right w:w="100" w:type="dxa"/>
            </w:tcMar>
          </w:tcPr>
          <w:p w14:paraId="0385C9CD" w14:textId="77777777" w:rsidR="00545FDA" w:rsidRPr="00AF01DB" w:rsidRDefault="00000000">
            <w:pPr>
              <w:rPr>
                <w:rFonts w:ascii="Times New Roman" w:hAnsi="Times New Roman" w:cs="Times New Roman"/>
              </w:rPr>
            </w:pPr>
            <w:r w:rsidRPr="00AF01DB">
              <w:rPr>
                <w:rFonts w:ascii="Times New Roman" w:hAnsi="Times New Roman" w:cs="Times New Roman"/>
                <w:b/>
                <w:bCs/>
                <w:color w:val="FFFFFF"/>
              </w:rPr>
              <w:t>Container</w:t>
            </w:r>
          </w:p>
        </w:tc>
      </w:tr>
      <w:tr w:rsidR="00545FDA" w:rsidRPr="00AF01DB" w14:paraId="308AFBD3" w14:textId="77777777">
        <w:tc>
          <w:tcPr>
            <w:tcW w:w="0" w:type="dxa"/>
            <w:tcMar>
              <w:top w:w="80" w:type="dxa"/>
              <w:left w:w="100" w:type="dxa"/>
              <w:bottom w:w="80" w:type="dxa"/>
              <w:right w:w="100" w:type="dxa"/>
            </w:tcMar>
          </w:tcPr>
          <w:p w14:paraId="6943AEBC"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Isolation unit</w:t>
            </w:r>
          </w:p>
        </w:tc>
        <w:tc>
          <w:tcPr>
            <w:tcW w:w="0" w:type="dxa"/>
            <w:tcMar>
              <w:top w:w="80" w:type="dxa"/>
              <w:left w:w="100" w:type="dxa"/>
              <w:bottom w:w="80" w:type="dxa"/>
              <w:right w:w="100" w:type="dxa"/>
            </w:tcMar>
          </w:tcPr>
          <w:p w14:paraId="64935E14"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Full OS + hypervisor</w:t>
            </w:r>
          </w:p>
        </w:tc>
        <w:tc>
          <w:tcPr>
            <w:tcW w:w="0" w:type="dxa"/>
            <w:tcMar>
              <w:top w:w="80" w:type="dxa"/>
              <w:left w:w="100" w:type="dxa"/>
              <w:bottom w:w="80" w:type="dxa"/>
              <w:right w:w="100" w:type="dxa"/>
            </w:tcMar>
          </w:tcPr>
          <w:p w14:paraId="048D01CE"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OS-level process (shared kernel)</w:t>
            </w:r>
          </w:p>
        </w:tc>
      </w:tr>
      <w:tr w:rsidR="00545FDA" w:rsidRPr="00AF01DB" w14:paraId="0CF75DA3" w14:textId="77777777">
        <w:tc>
          <w:tcPr>
            <w:tcW w:w="0" w:type="dxa"/>
            <w:tcMar>
              <w:top w:w="80" w:type="dxa"/>
              <w:left w:w="100" w:type="dxa"/>
              <w:bottom w:w="80" w:type="dxa"/>
              <w:right w:w="100" w:type="dxa"/>
            </w:tcMar>
          </w:tcPr>
          <w:p w14:paraId="5EEBAC23"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Startup time</w:t>
            </w:r>
          </w:p>
        </w:tc>
        <w:tc>
          <w:tcPr>
            <w:tcW w:w="0" w:type="dxa"/>
            <w:tcMar>
              <w:top w:w="80" w:type="dxa"/>
              <w:left w:w="100" w:type="dxa"/>
              <w:bottom w:w="80" w:type="dxa"/>
              <w:right w:w="100" w:type="dxa"/>
            </w:tcMar>
          </w:tcPr>
          <w:p w14:paraId="1237966E"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Tens of seconds to minutes</w:t>
            </w:r>
          </w:p>
        </w:tc>
        <w:tc>
          <w:tcPr>
            <w:tcW w:w="0" w:type="dxa"/>
            <w:tcMar>
              <w:top w:w="80" w:type="dxa"/>
              <w:left w:w="100" w:type="dxa"/>
              <w:bottom w:w="80" w:type="dxa"/>
              <w:right w:w="100" w:type="dxa"/>
            </w:tcMar>
          </w:tcPr>
          <w:p w14:paraId="7992BA05"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Sub-second to a few seconds</w:t>
            </w:r>
          </w:p>
        </w:tc>
      </w:tr>
      <w:tr w:rsidR="00545FDA" w:rsidRPr="00AF01DB" w14:paraId="7D594E60" w14:textId="77777777">
        <w:tc>
          <w:tcPr>
            <w:tcW w:w="0" w:type="dxa"/>
            <w:tcMar>
              <w:top w:w="80" w:type="dxa"/>
              <w:left w:w="100" w:type="dxa"/>
              <w:bottom w:w="80" w:type="dxa"/>
              <w:right w:w="100" w:type="dxa"/>
            </w:tcMar>
          </w:tcPr>
          <w:p w14:paraId="08CFE799"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Resource footprint</w:t>
            </w:r>
          </w:p>
        </w:tc>
        <w:tc>
          <w:tcPr>
            <w:tcW w:w="0" w:type="dxa"/>
            <w:tcMar>
              <w:top w:w="80" w:type="dxa"/>
              <w:left w:w="100" w:type="dxa"/>
              <w:bottom w:w="80" w:type="dxa"/>
              <w:right w:w="100" w:type="dxa"/>
            </w:tcMar>
          </w:tcPr>
          <w:p w14:paraId="2AF48098"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GBs of RAM/disk per instance</w:t>
            </w:r>
          </w:p>
        </w:tc>
        <w:tc>
          <w:tcPr>
            <w:tcW w:w="0" w:type="dxa"/>
            <w:tcMar>
              <w:top w:w="80" w:type="dxa"/>
              <w:left w:w="100" w:type="dxa"/>
              <w:bottom w:w="80" w:type="dxa"/>
              <w:right w:w="100" w:type="dxa"/>
            </w:tcMar>
          </w:tcPr>
          <w:p w14:paraId="00F620E9"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MBs of RAM/disk per instance</w:t>
            </w:r>
          </w:p>
        </w:tc>
      </w:tr>
      <w:tr w:rsidR="00545FDA" w:rsidRPr="00AF01DB" w14:paraId="7C872B21" w14:textId="77777777">
        <w:tc>
          <w:tcPr>
            <w:tcW w:w="0" w:type="dxa"/>
            <w:tcMar>
              <w:top w:w="80" w:type="dxa"/>
              <w:left w:w="100" w:type="dxa"/>
              <w:bottom w:w="80" w:type="dxa"/>
              <w:right w:w="100" w:type="dxa"/>
            </w:tcMar>
          </w:tcPr>
          <w:p w14:paraId="6620C0DE"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Density per host</w:t>
            </w:r>
          </w:p>
        </w:tc>
        <w:tc>
          <w:tcPr>
            <w:tcW w:w="0" w:type="dxa"/>
            <w:tcMar>
              <w:top w:w="80" w:type="dxa"/>
              <w:left w:w="100" w:type="dxa"/>
              <w:bottom w:w="80" w:type="dxa"/>
              <w:right w:w="100" w:type="dxa"/>
            </w:tcMar>
          </w:tcPr>
          <w:p w14:paraId="1194041B"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Low to moderate</w:t>
            </w:r>
          </w:p>
        </w:tc>
        <w:tc>
          <w:tcPr>
            <w:tcW w:w="0" w:type="dxa"/>
            <w:tcMar>
              <w:top w:w="80" w:type="dxa"/>
              <w:left w:w="100" w:type="dxa"/>
              <w:bottom w:w="80" w:type="dxa"/>
              <w:right w:w="100" w:type="dxa"/>
            </w:tcMar>
          </w:tcPr>
          <w:p w14:paraId="766E3228"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High</w:t>
            </w:r>
          </w:p>
        </w:tc>
      </w:tr>
      <w:tr w:rsidR="00545FDA" w:rsidRPr="00AF01DB" w14:paraId="073DDA16" w14:textId="77777777">
        <w:tc>
          <w:tcPr>
            <w:tcW w:w="0" w:type="dxa"/>
            <w:tcMar>
              <w:top w:w="80" w:type="dxa"/>
              <w:left w:w="100" w:type="dxa"/>
              <w:bottom w:w="80" w:type="dxa"/>
              <w:right w:w="100" w:type="dxa"/>
            </w:tcMar>
          </w:tcPr>
          <w:p w14:paraId="688E81E7"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Isolation strength</w:t>
            </w:r>
          </w:p>
        </w:tc>
        <w:tc>
          <w:tcPr>
            <w:tcW w:w="0" w:type="dxa"/>
            <w:tcMar>
              <w:top w:w="80" w:type="dxa"/>
              <w:left w:w="100" w:type="dxa"/>
              <w:bottom w:w="80" w:type="dxa"/>
              <w:right w:w="100" w:type="dxa"/>
            </w:tcMar>
          </w:tcPr>
          <w:p w14:paraId="3E1A70EE"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Strong (hardware-enforced)</w:t>
            </w:r>
          </w:p>
        </w:tc>
        <w:tc>
          <w:tcPr>
            <w:tcW w:w="0" w:type="dxa"/>
            <w:tcMar>
              <w:top w:w="80" w:type="dxa"/>
              <w:left w:w="100" w:type="dxa"/>
              <w:bottom w:w="80" w:type="dxa"/>
              <w:right w:w="100" w:type="dxa"/>
            </w:tcMar>
          </w:tcPr>
          <w:p w14:paraId="176B3786" w14:textId="77777777" w:rsidR="00545FDA" w:rsidRPr="00AF01DB" w:rsidRDefault="00000000">
            <w:pPr>
              <w:rPr>
                <w:rFonts w:ascii="Times New Roman" w:hAnsi="Times New Roman" w:cs="Times New Roman"/>
              </w:rPr>
            </w:pPr>
            <w:r w:rsidRPr="00AF01DB">
              <w:rPr>
                <w:rFonts w:ascii="Times New Roman" w:hAnsi="Times New Roman" w:cs="Times New Roman"/>
                <w:color w:val="000000"/>
              </w:rPr>
              <w:t>Moderate (kernel-shared)</w:t>
            </w:r>
          </w:p>
        </w:tc>
      </w:tr>
    </w:tbl>
    <w:p w14:paraId="6AE43FA1"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How Orchestration Simplifies Deployment and Scaling</w:t>
      </w:r>
    </w:p>
    <w:p w14:paraId="5169E1D3" w14:textId="77777777" w:rsidR="00545FDA" w:rsidRP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Running containers at any meaningful scale by hand — deciding which host runs which container, restarting failed containers, exposing them on the network, scaling replica counts up and down — quickly becomes unmanageable. Container orchestration platforms, most notably Kubernetes, automate exactly this. A team declares the desired state (which container images to run, how many replicas, what resources each needs, what health checks to apply) and the orchestrator continuously reconciles the actual cluster st</w:t>
      </w:r>
      <w:r w:rsidRPr="00AF01DB">
        <w:rPr>
          <w:rFonts w:ascii="Times New Roman" w:hAnsi="Times New Roman" w:cs="Times New Roman"/>
        </w:rPr>
        <w:t xml:space="preserve">ate to match it: scheduling containers onto available hosts, restarting or rescheduling failed containers automatically, exposing services through built-in load balancing and service discovery, and scaling the number of replicas up or down automatically based on observed load through Horizontal Pod Autoscaling. This turns </w:t>
      </w:r>
      <w:r w:rsidRPr="00AF01DB">
        <w:rPr>
          <w:rFonts w:ascii="Times New Roman" w:hAnsi="Times New Roman" w:cs="Times New Roman"/>
        </w:rPr>
        <w:lastRenderedPageBreak/>
        <w:t>deployment and scaling from manual, error-prone operational work into a declarative, largely self-healing automated process.</w:t>
      </w:r>
    </w:p>
    <w:p w14:paraId="66092980"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Portability Benefits Across Cloud Environments</w:t>
      </w:r>
    </w:p>
    <w:p w14:paraId="088A0924"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A container image packages the application with all its dependencies, so it runs identically on a developer's laptop, an on-premises server, or any major cloud provider's infrastructure, eliminating the classic 'it works on my machine' problem.</w:t>
      </w:r>
    </w:p>
    <w:p w14:paraId="328D644C"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Kubernetes exposes a consistent API across providers (via managed offerings like EKS, AKS, GKE, or self-managed clusters), so the same deployment manifests and operational tooling work regardless of the underlying cloud, reducing vendor lock-in.</w:t>
      </w:r>
    </w:p>
    <w:p w14:paraId="754D969E"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Applications can be migrated between clouds, or split across multiple clouds, with far less rework than would be required for VM images or applications tightly coupled to a specific provider's proprietary services.</w:t>
      </w:r>
    </w:p>
    <w:p w14:paraId="3C981187" w14:textId="77777777" w:rsidR="00545FDA" w:rsidRPr="00AF01DB" w:rsidRDefault="00000000">
      <w:pPr>
        <w:pStyle w:val="ListParagraph"/>
        <w:numPr>
          <w:ilvl w:val="0"/>
          <w:numId w:val="2"/>
        </w:numPr>
        <w:spacing w:after="80" w:line="300" w:lineRule="auto"/>
        <w:rPr>
          <w:rFonts w:ascii="Times New Roman" w:hAnsi="Times New Roman" w:cs="Times New Roman"/>
        </w:rPr>
      </w:pPr>
      <w:r w:rsidRPr="00AF01DB">
        <w:rPr>
          <w:rFonts w:ascii="Times New Roman" w:hAnsi="Times New Roman" w:cs="Times New Roman"/>
        </w:rPr>
        <w:t>Standardized container registries and CI/CD pipelines integrate uniformly with any Kubernetes-compatible target environment, streamlining multi-environment and multi-cloud release processes.</w:t>
      </w:r>
    </w:p>
    <w:p w14:paraId="30E531B3" w14:textId="77777777" w:rsidR="00545FDA" w:rsidRPr="00AF01DB" w:rsidRDefault="00000000">
      <w:pPr>
        <w:pStyle w:val="Heading2"/>
        <w:spacing w:before="200" w:after="100"/>
        <w:rPr>
          <w:rFonts w:ascii="Times New Roman" w:hAnsi="Times New Roman" w:cs="Times New Roman"/>
        </w:rPr>
      </w:pPr>
      <w:r w:rsidRPr="00AF01DB">
        <w:rPr>
          <w:rFonts w:ascii="Times New Roman" w:hAnsi="Times New Roman" w:cs="Times New Roman"/>
          <w:b/>
          <w:bCs/>
        </w:rPr>
        <w:t>Microservices-Based Application Example</w:t>
      </w:r>
    </w:p>
    <w:p w14:paraId="63B068B5" w14:textId="669C1F7E" w:rsidR="00AF01DB" w:rsidRDefault="00000000">
      <w:pPr>
        <w:spacing w:after="160" w:line="300" w:lineRule="auto"/>
        <w:jc w:val="both"/>
        <w:rPr>
          <w:rFonts w:ascii="Times New Roman" w:hAnsi="Times New Roman" w:cs="Times New Roman"/>
        </w:rPr>
      </w:pPr>
      <w:r w:rsidRPr="00AF01DB">
        <w:rPr>
          <w:rFonts w:ascii="Times New Roman" w:hAnsi="Times New Roman" w:cs="Times New Roman"/>
        </w:rPr>
        <w:t>Consider an online food-delivery platform built as a set of independent microservices: a user-account service, a restaurant-</w:t>
      </w:r>
      <w:proofErr w:type="spellStart"/>
      <w:r w:rsidRPr="00AF01DB">
        <w:rPr>
          <w:rFonts w:ascii="Times New Roman" w:hAnsi="Times New Roman" w:cs="Times New Roman"/>
        </w:rPr>
        <w:t>catalog</w:t>
      </w:r>
      <w:proofErr w:type="spellEnd"/>
      <w:r w:rsidRPr="00AF01DB">
        <w:rPr>
          <w:rFonts w:ascii="Times New Roman" w:hAnsi="Times New Roman" w:cs="Times New Roman"/>
        </w:rPr>
        <w:t xml:space="preserve"> service, an order-management service, a payment service, and a real-time delivery-tracking service. Each microservice is packaged as its own container image and deployed on Kubernetes, allowing the order-management and delivery-tracking services — which see the sharpest demand spikes during meal times — to be scaled independently and aggressively, while lower-traffic services like the account service remain at a smaller baseline scale. Because each service is independently containerized, teams can u</w:t>
      </w:r>
      <w:r w:rsidRPr="00AF01DB">
        <w:rPr>
          <w:rFonts w:ascii="Times New Roman" w:hAnsi="Times New Roman" w:cs="Times New Roman"/>
        </w:rPr>
        <w:t xml:space="preserve">pdate the payment service without redeploying or risking the </w:t>
      </w:r>
      <w:proofErr w:type="spellStart"/>
      <w:r w:rsidRPr="00AF01DB">
        <w:rPr>
          <w:rFonts w:ascii="Times New Roman" w:hAnsi="Times New Roman" w:cs="Times New Roman"/>
        </w:rPr>
        <w:t>catalog</w:t>
      </w:r>
      <w:proofErr w:type="spellEnd"/>
      <w:r w:rsidRPr="00AF01DB">
        <w:rPr>
          <w:rFonts w:ascii="Times New Roman" w:hAnsi="Times New Roman" w:cs="Times New Roman"/>
        </w:rPr>
        <w:t xml:space="preserve"> service, and the entire platform can be deployed consistently across a primary cloud region and a secondary cloud provider for resilience, illustrating both the operational agility orchestration provides and the portability benefit of a container-based, cloud-agnostic architecture.</w:t>
      </w:r>
    </w:p>
    <w:p w14:paraId="0E711B3D" w14:textId="77777777" w:rsidR="00AF01DB" w:rsidRDefault="00AF01DB">
      <w:pPr>
        <w:rPr>
          <w:rFonts w:ascii="Times New Roman" w:hAnsi="Times New Roman" w:cs="Times New Roman"/>
        </w:rPr>
      </w:pPr>
      <w:r>
        <w:rPr>
          <w:rFonts w:ascii="Times New Roman" w:hAnsi="Times New Roman" w:cs="Times New Roman"/>
        </w:rPr>
        <w:br w:type="page"/>
      </w:r>
    </w:p>
    <w:p w14:paraId="263259C0" w14:textId="77777777" w:rsidR="00AF01DB" w:rsidRPr="00AF01DB" w:rsidRDefault="00AF01DB" w:rsidP="00AF01DB">
      <w:pPr>
        <w:spacing w:after="160" w:line="300" w:lineRule="auto"/>
        <w:jc w:val="both"/>
        <w:rPr>
          <w:rFonts w:ascii="Times New Roman" w:hAnsi="Times New Roman" w:cs="Times New Roman"/>
          <w:b/>
          <w:bCs/>
        </w:rPr>
      </w:pPr>
      <w:r w:rsidRPr="00AF01DB">
        <w:rPr>
          <w:rFonts w:ascii="Times New Roman" w:hAnsi="Times New Roman" w:cs="Times New Roman"/>
          <w:b/>
          <w:bCs/>
        </w:rPr>
        <w:lastRenderedPageBreak/>
        <w:t xml:space="preserve">Analytical </w:t>
      </w:r>
      <w:proofErr w:type="gramStart"/>
      <w:r w:rsidRPr="00AF01DB">
        <w:rPr>
          <w:rFonts w:ascii="Times New Roman" w:hAnsi="Times New Roman" w:cs="Times New Roman"/>
          <w:b/>
          <w:bCs/>
        </w:rPr>
        <w:t>Problem Solving</w:t>
      </w:r>
      <w:proofErr w:type="gramEnd"/>
      <w:r w:rsidRPr="00AF01DB">
        <w:rPr>
          <w:rFonts w:ascii="Times New Roman" w:hAnsi="Times New Roman" w:cs="Times New Roman"/>
          <w:b/>
          <w:bCs/>
        </w:rPr>
        <w:t xml:space="preserve"> Rubric </w:t>
      </w:r>
    </w:p>
    <w:tbl>
      <w:tblPr>
        <w:tblW w:w="10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0"/>
        <w:gridCol w:w="1700"/>
        <w:gridCol w:w="1720"/>
        <w:gridCol w:w="1700"/>
        <w:gridCol w:w="1720"/>
        <w:gridCol w:w="1700"/>
      </w:tblGrid>
      <w:tr w:rsidR="00AF01DB" w:rsidRPr="00AF01DB" w14:paraId="54CB2842" w14:textId="77777777">
        <w:trPr>
          <w:trHeight w:val="480"/>
        </w:trPr>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9E719" w14:textId="77777777" w:rsidR="00AF01DB" w:rsidRPr="00AF01DB" w:rsidRDefault="00AF01DB" w:rsidP="00AF01DB">
            <w:pPr>
              <w:spacing w:after="160" w:line="300" w:lineRule="auto"/>
              <w:jc w:val="both"/>
              <w:rPr>
                <w:rFonts w:ascii="Times New Roman" w:hAnsi="Times New Roman" w:cs="Times New Roman"/>
                <w:b/>
                <w:bCs/>
              </w:rPr>
            </w:pPr>
            <w:r w:rsidRPr="00AF01DB">
              <w:rPr>
                <w:rFonts w:ascii="Times New Roman" w:hAnsi="Times New Roman" w:cs="Times New Roman"/>
                <w:b/>
                <w:bCs/>
              </w:rPr>
              <w:t xml:space="preserve">Criteria </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3ADCF" w14:textId="77777777" w:rsidR="00AF01DB" w:rsidRPr="00AF01DB" w:rsidRDefault="00AF01DB" w:rsidP="00AF01DB">
            <w:pPr>
              <w:spacing w:after="160" w:line="300" w:lineRule="auto"/>
              <w:jc w:val="both"/>
              <w:rPr>
                <w:rFonts w:ascii="Times New Roman" w:hAnsi="Times New Roman" w:cs="Times New Roman"/>
                <w:b/>
                <w:bCs/>
              </w:rPr>
            </w:pPr>
            <w:r w:rsidRPr="00AF01DB">
              <w:rPr>
                <w:rFonts w:ascii="Times New Roman" w:hAnsi="Times New Roman" w:cs="Times New Roman"/>
                <w:b/>
                <w:bCs/>
              </w:rPr>
              <w:t xml:space="preserve">Weightage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F9E43" w14:textId="77777777" w:rsidR="00AF01DB" w:rsidRPr="00AF01DB" w:rsidRDefault="00AF01DB" w:rsidP="00AF01DB">
            <w:pPr>
              <w:spacing w:after="160" w:line="300" w:lineRule="auto"/>
              <w:jc w:val="both"/>
              <w:rPr>
                <w:rFonts w:ascii="Times New Roman" w:hAnsi="Times New Roman" w:cs="Times New Roman"/>
                <w:b/>
                <w:bCs/>
              </w:rPr>
            </w:pPr>
            <w:r w:rsidRPr="00AF01DB">
              <w:rPr>
                <w:rFonts w:ascii="Times New Roman" w:hAnsi="Times New Roman" w:cs="Times New Roman"/>
                <w:b/>
                <w:bCs/>
              </w:rPr>
              <w:t xml:space="preserve">Level 4 - </w:t>
            </w:r>
          </w:p>
          <w:p w14:paraId="3F6755CB" w14:textId="77777777" w:rsidR="00AF01DB" w:rsidRPr="00AF01DB" w:rsidRDefault="00AF01DB" w:rsidP="00AF01DB">
            <w:pPr>
              <w:spacing w:after="160" w:line="300" w:lineRule="auto"/>
              <w:jc w:val="both"/>
              <w:rPr>
                <w:rFonts w:ascii="Times New Roman" w:hAnsi="Times New Roman" w:cs="Times New Roman"/>
                <w:b/>
                <w:bCs/>
              </w:rPr>
            </w:pPr>
            <w:r w:rsidRPr="00AF01DB">
              <w:rPr>
                <w:rFonts w:ascii="Times New Roman" w:hAnsi="Times New Roman" w:cs="Times New Roman"/>
                <w:b/>
                <w:bCs/>
              </w:rPr>
              <w:t>Exemplary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32456" w14:textId="77777777" w:rsidR="00AF01DB" w:rsidRPr="00AF01DB" w:rsidRDefault="00AF01DB" w:rsidP="00AF01DB">
            <w:pPr>
              <w:spacing w:after="160" w:line="300" w:lineRule="auto"/>
              <w:jc w:val="both"/>
              <w:rPr>
                <w:rFonts w:ascii="Times New Roman" w:hAnsi="Times New Roman" w:cs="Times New Roman"/>
                <w:b/>
                <w:bCs/>
              </w:rPr>
            </w:pPr>
            <w:r w:rsidRPr="00AF01DB">
              <w:rPr>
                <w:rFonts w:ascii="Times New Roman" w:hAnsi="Times New Roman" w:cs="Times New Roman"/>
                <w:b/>
                <w:bCs/>
              </w:rPr>
              <w:t xml:space="preserve">Level 3 – </w:t>
            </w:r>
          </w:p>
          <w:p w14:paraId="62A5DE0B" w14:textId="77777777" w:rsidR="00AF01DB" w:rsidRPr="00AF01DB" w:rsidRDefault="00AF01DB" w:rsidP="00AF01DB">
            <w:pPr>
              <w:spacing w:after="160" w:line="300" w:lineRule="auto"/>
              <w:jc w:val="both"/>
              <w:rPr>
                <w:rFonts w:ascii="Times New Roman" w:hAnsi="Times New Roman" w:cs="Times New Roman"/>
                <w:b/>
                <w:bCs/>
              </w:rPr>
            </w:pPr>
            <w:r w:rsidRPr="00AF01DB">
              <w:rPr>
                <w:rFonts w:ascii="Times New Roman" w:hAnsi="Times New Roman" w:cs="Times New Roman"/>
                <w:b/>
                <w:bCs/>
              </w:rPr>
              <w:t>Proficient</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42DEE" w14:textId="77777777" w:rsidR="00AF01DB" w:rsidRPr="00AF01DB" w:rsidRDefault="00AF01DB" w:rsidP="00AF01DB">
            <w:pPr>
              <w:spacing w:after="160" w:line="300" w:lineRule="auto"/>
              <w:jc w:val="both"/>
              <w:rPr>
                <w:rFonts w:ascii="Times New Roman" w:hAnsi="Times New Roman" w:cs="Times New Roman"/>
                <w:b/>
                <w:bCs/>
              </w:rPr>
            </w:pPr>
            <w:r w:rsidRPr="00AF01DB">
              <w:rPr>
                <w:rFonts w:ascii="Times New Roman" w:hAnsi="Times New Roman" w:cs="Times New Roman"/>
                <w:b/>
                <w:bCs/>
              </w:rPr>
              <w:t xml:space="preserve">Level 2 - </w:t>
            </w:r>
          </w:p>
          <w:p w14:paraId="22A2C673" w14:textId="77777777" w:rsidR="00AF01DB" w:rsidRPr="00AF01DB" w:rsidRDefault="00AF01DB" w:rsidP="00AF01DB">
            <w:pPr>
              <w:spacing w:after="160" w:line="300" w:lineRule="auto"/>
              <w:jc w:val="both"/>
              <w:rPr>
                <w:rFonts w:ascii="Times New Roman" w:hAnsi="Times New Roman" w:cs="Times New Roman"/>
                <w:b/>
                <w:bCs/>
              </w:rPr>
            </w:pPr>
            <w:r w:rsidRPr="00AF01DB">
              <w:rPr>
                <w:rFonts w:ascii="Times New Roman" w:hAnsi="Times New Roman" w:cs="Times New Roman"/>
                <w:b/>
                <w:bCs/>
              </w:rPr>
              <w:t>Developing</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3EC16" w14:textId="77777777" w:rsidR="00AF01DB" w:rsidRPr="00AF01DB" w:rsidRDefault="00AF01DB" w:rsidP="00AF01DB">
            <w:pPr>
              <w:spacing w:after="160" w:line="300" w:lineRule="auto"/>
              <w:jc w:val="both"/>
              <w:rPr>
                <w:rFonts w:ascii="Times New Roman" w:hAnsi="Times New Roman" w:cs="Times New Roman"/>
                <w:b/>
                <w:bCs/>
              </w:rPr>
            </w:pPr>
            <w:r w:rsidRPr="00AF01DB">
              <w:rPr>
                <w:rFonts w:ascii="Times New Roman" w:hAnsi="Times New Roman" w:cs="Times New Roman"/>
                <w:b/>
                <w:bCs/>
              </w:rPr>
              <w:t xml:space="preserve">Level 1 - </w:t>
            </w:r>
          </w:p>
          <w:p w14:paraId="00A4FEAF" w14:textId="77777777" w:rsidR="00AF01DB" w:rsidRPr="00AF01DB" w:rsidRDefault="00AF01DB" w:rsidP="00AF01DB">
            <w:pPr>
              <w:spacing w:after="160" w:line="300" w:lineRule="auto"/>
              <w:jc w:val="both"/>
              <w:rPr>
                <w:rFonts w:ascii="Times New Roman" w:hAnsi="Times New Roman" w:cs="Times New Roman"/>
                <w:b/>
                <w:bCs/>
              </w:rPr>
            </w:pPr>
            <w:r w:rsidRPr="00AF01DB">
              <w:rPr>
                <w:rFonts w:ascii="Times New Roman" w:hAnsi="Times New Roman" w:cs="Times New Roman"/>
                <w:b/>
                <w:bCs/>
              </w:rPr>
              <w:t>Beginning</w:t>
            </w:r>
          </w:p>
        </w:tc>
      </w:tr>
      <w:tr w:rsidR="00AF01DB" w:rsidRPr="00AF01DB" w14:paraId="417201E1" w14:textId="77777777">
        <w:trPr>
          <w:trHeight w:val="920"/>
        </w:trPr>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45E06"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Problem </w:t>
            </w:r>
          </w:p>
          <w:p w14:paraId="3E27B64A"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Interpretation</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911DF"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20%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F5B72"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Interprets all </w:t>
            </w:r>
          </w:p>
          <w:p w14:paraId="55E41089"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technical </w:t>
            </w:r>
          </w:p>
          <w:p w14:paraId="295B35BB"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requirements </w:t>
            </w:r>
          </w:p>
          <w:p w14:paraId="2B29183B"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accurately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36C58"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Interprets most </w:t>
            </w:r>
          </w:p>
          <w:p w14:paraId="4CB04ECC"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requirements </w:t>
            </w:r>
          </w:p>
          <w:p w14:paraId="22CBD85B"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correctly</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7D249"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Partial </w:t>
            </w:r>
          </w:p>
          <w:p w14:paraId="558AE8F9"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interpretation</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889F9"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Misinterprets the problem</w:t>
            </w:r>
          </w:p>
        </w:tc>
      </w:tr>
      <w:tr w:rsidR="00AF01DB" w:rsidRPr="00AF01DB" w14:paraId="64367D3A" w14:textId="77777777">
        <w:trPr>
          <w:trHeight w:val="940"/>
        </w:trPr>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EE835"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Analytical </w:t>
            </w:r>
          </w:p>
          <w:p w14:paraId="2FDF206E"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Reasoning</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BFA5F"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25%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0E343"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Strong reasoning with clear </w:t>
            </w:r>
          </w:p>
          <w:p w14:paraId="344B1F2A"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cause-effect </w:t>
            </w:r>
          </w:p>
          <w:p w14:paraId="40F74CF9"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analysis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0D312"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Good reasoning with minor gaps</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E3D32"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Basic analysis </w:t>
            </w:r>
          </w:p>
          <w:p w14:paraId="523E70F8"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only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0B0B6"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Weak or no </w:t>
            </w:r>
          </w:p>
          <w:p w14:paraId="24080F0F"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analysis</w:t>
            </w:r>
          </w:p>
        </w:tc>
      </w:tr>
      <w:tr w:rsidR="00AF01DB" w:rsidRPr="00AF01DB" w14:paraId="2E77C110" w14:textId="77777777">
        <w:trPr>
          <w:trHeight w:val="940"/>
        </w:trPr>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EFE8D"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Method Selection </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830F4"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20%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AD049"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Chooses highly </w:t>
            </w:r>
          </w:p>
          <w:p w14:paraId="4D4583F1"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appropriate </w:t>
            </w:r>
          </w:p>
          <w:p w14:paraId="7EE3A577"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virtualization and security concepts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FBC2A"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Chooses mostly suitable concepts</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293DD"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Partially suitable concepts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F61D3"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Inappropriate </w:t>
            </w:r>
          </w:p>
          <w:p w14:paraId="7AF89BA3"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approach</w:t>
            </w:r>
          </w:p>
        </w:tc>
      </w:tr>
      <w:tr w:rsidR="00AF01DB" w:rsidRPr="00AF01DB" w14:paraId="6740DA7E" w14:textId="77777777">
        <w:trPr>
          <w:trHeight w:val="700"/>
        </w:trPr>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65E9A"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Solution Quality </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800FB"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20%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A5827"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Provides feasible and technically </w:t>
            </w:r>
          </w:p>
          <w:p w14:paraId="2604A823"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sound solution</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303A2"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Reasonable </w:t>
            </w:r>
          </w:p>
          <w:p w14:paraId="3D9F2B2E"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solution with </w:t>
            </w:r>
          </w:p>
          <w:p w14:paraId="1E484893"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minor issues</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4E01B"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Basic solution </w:t>
            </w:r>
          </w:p>
          <w:p w14:paraId="79E64831"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with limitations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C7E95"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Unclear or invalid solution</w:t>
            </w:r>
          </w:p>
        </w:tc>
      </w:tr>
      <w:tr w:rsidR="00AF01DB" w:rsidRPr="00AF01DB" w14:paraId="1C7D7B87" w14:textId="77777777">
        <w:trPr>
          <w:trHeight w:val="700"/>
        </w:trPr>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AEEBD"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Presentation of </w:t>
            </w:r>
          </w:p>
          <w:p w14:paraId="44758FC4"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Analysis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93A80"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15%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63AB4"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Well-structured </w:t>
            </w:r>
          </w:p>
          <w:p w14:paraId="4A67157C"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and technically </w:t>
            </w:r>
          </w:p>
          <w:p w14:paraId="6FB006E4"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precise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558A8"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Generally clear </w:t>
            </w:r>
          </w:p>
        </w:tc>
        <w:tc>
          <w:tcPr>
            <w:tcW w:w="1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6FA61"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 xml:space="preserve">Somewhat unclear </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00A71" w14:textId="77777777" w:rsidR="00AF01DB" w:rsidRPr="00AF01DB" w:rsidRDefault="00AF01DB" w:rsidP="00AF01DB">
            <w:pPr>
              <w:spacing w:after="160" w:line="300" w:lineRule="auto"/>
              <w:jc w:val="both"/>
              <w:rPr>
                <w:rFonts w:ascii="Times New Roman" w:hAnsi="Times New Roman" w:cs="Times New Roman"/>
              </w:rPr>
            </w:pPr>
            <w:r w:rsidRPr="00AF01DB">
              <w:rPr>
                <w:rFonts w:ascii="Times New Roman" w:hAnsi="Times New Roman" w:cs="Times New Roman"/>
              </w:rPr>
              <w:t>Difficult to follow</w:t>
            </w:r>
          </w:p>
        </w:tc>
      </w:tr>
    </w:tbl>
    <w:p w14:paraId="14F8A1CB" w14:textId="77777777" w:rsidR="00AF01DB" w:rsidRPr="00AF01DB" w:rsidRDefault="00AF01DB" w:rsidP="00AF01DB">
      <w:pPr>
        <w:spacing w:after="160" w:line="300" w:lineRule="auto"/>
        <w:jc w:val="both"/>
        <w:rPr>
          <w:rFonts w:ascii="Times New Roman" w:hAnsi="Times New Roman" w:cs="Times New Roman"/>
        </w:rPr>
      </w:pPr>
    </w:p>
    <w:p w14:paraId="2163A19E" w14:textId="77777777" w:rsidR="00AF01DB" w:rsidRPr="00AF01DB" w:rsidRDefault="00AF01DB" w:rsidP="00AF01DB">
      <w:pPr>
        <w:spacing w:after="160" w:line="300" w:lineRule="auto"/>
        <w:jc w:val="both"/>
        <w:rPr>
          <w:rFonts w:ascii="Times New Roman" w:hAnsi="Times New Roman" w:cs="Times New Roman"/>
        </w:rPr>
      </w:pPr>
    </w:p>
    <w:p w14:paraId="4D76EE2D" w14:textId="0C048D7B" w:rsidR="00545FDA" w:rsidRPr="00AF01DB" w:rsidRDefault="00AF01DB">
      <w:pPr>
        <w:spacing w:after="160" w:line="300" w:lineRule="auto"/>
        <w:jc w:val="both"/>
        <w:rPr>
          <w:rFonts w:ascii="Times New Roman" w:hAnsi="Times New Roman" w:cs="Times New Roman"/>
          <w:b/>
          <w:bCs/>
        </w:rPr>
      </w:pPr>
      <w:r w:rsidRPr="00AF01DB">
        <w:rPr>
          <w:rFonts w:ascii="Times New Roman" w:hAnsi="Times New Roman" w:cs="Times New Roman"/>
          <w:b/>
          <w:bCs/>
        </w:rPr>
        <w:t>Total Marks Awarded:</w:t>
      </w:r>
    </w:p>
    <w:sectPr w:rsidR="00545FDA" w:rsidRPr="00AF01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03D1"/>
    <w:multiLevelType w:val="hybridMultilevel"/>
    <w:tmpl w:val="10B8AF9E"/>
    <w:lvl w:ilvl="0" w:tplc="E2BE2FE2">
      <w:start w:val="1"/>
      <w:numFmt w:val="bullet"/>
      <w:lvlText w:val="•"/>
      <w:lvlJc w:val="left"/>
      <w:pPr>
        <w:ind w:left="504" w:hanging="288"/>
      </w:pPr>
    </w:lvl>
    <w:lvl w:ilvl="1" w:tplc="3B3CE7A2">
      <w:numFmt w:val="decimal"/>
      <w:lvlText w:val=""/>
      <w:lvlJc w:val="left"/>
    </w:lvl>
    <w:lvl w:ilvl="2" w:tplc="F6FCEE44">
      <w:numFmt w:val="decimal"/>
      <w:lvlText w:val=""/>
      <w:lvlJc w:val="left"/>
    </w:lvl>
    <w:lvl w:ilvl="3" w:tplc="5F6C1EE4">
      <w:numFmt w:val="decimal"/>
      <w:lvlText w:val=""/>
      <w:lvlJc w:val="left"/>
    </w:lvl>
    <w:lvl w:ilvl="4" w:tplc="6B0048F8">
      <w:numFmt w:val="decimal"/>
      <w:lvlText w:val=""/>
      <w:lvlJc w:val="left"/>
    </w:lvl>
    <w:lvl w:ilvl="5" w:tplc="BA1C3C06">
      <w:numFmt w:val="decimal"/>
      <w:lvlText w:val=""/>
      <w:lvlJc w:val="left"/>
    </w:lvl>
    <w:lvl w:ilvl="6" w:tplc="1834E3D0">
      <w:numFmt w:val="decimal"/>
      <w:lvlText w:val=""/>
      <w:lvlJc w:val="left"/>
    </w:lvl>
    <w:lvl w:ilvl="7" w:tplc="26DC1C82">
      <w:numFmt w:val="decimal"/>
      <w:lvlText w:val=""/>
      <w:lvlJc w:val="left"/>
    </w:lvl>
    <w:lvl w:ilvl="8" w:tplc="18663E7C">
      <w:numFmt w:val="decimal"/>
      <w:lvlText w:val=""/>
      <w:lvlJc w:val="left"/>
    </w:lvl>
  </w:abstractNum>
  <w:abstractNum w:abstractNumId="1" w15:restartNumberingAfterBreak="0">
    <w:nsid w:val="4D9A5380"/>
    <w:multiLevelType w:val="hybridMultilevel"/>
    <w:tmpl w:val="E3D03DF0"/>
    <w:lvl w:ilvl="0" w:tplc="7834C11A">
      <w:start w:val="1"/>
      <w:numFmt w:val="bullet"/>
      <w:lvlText w:val="●"/>
      <w:lvlJc w:val="left"/>
      <w:pPr>
        <w:ind w:left="720" w:hanging="360"/>
      </w:pPr>
    </w:lvl>
    <w:lvl w:ilvl="1" w:tplc="A516AF68">
      <w:start w:val="1"/>
      <w:numFmt w:val="bullet"/>
      <w:lvlText w:val="○"/>
      <w:lvlJc w:val="left"/>
      <w:pPr>
        <w:ind w:left="1440" w:hanging="360"/>
      </w:pPr>
    </w:lvl>
    <w:lvl w:ilvl="2" w:tplc="ABD6A5F8">
      <w:start w:val="1"/>
      <w:numFmt w:val="bullet"/>
      <w:lvlText w:val="■"/>
      <w:lvlJc w:val="left"/>
      <w:pPr>
        <w:ind w:left="2160" w:hanging="360"/>
      </w:pPr>
    </w:lvl>
    <w:lvl w:ilvl="3" w:tplc="95627300">
      <w:start w:val="1"/>
      <w:numFmt w:val="bullet"/>
      <w:lvlText w:val="●"/>
      <w:lvlJc w:val="left"/>
      <w:pPr>
        <w:ind w:left="2880" w:hanging="360"/>
      </w:pPr>
    </w:lvl>
    <w:lvl w:ilvl="4" w:tplc="585AF2C0">
      <w:start w:val="1"/>
      <w:numFmt w:val="bullet"/>
      <w:lvlText w:val="○"/>
      <w:lvlJc w:val="left"/>
      <w:pPr>
        <w:ind w:left="3600" w:hanging="360"/>
      </w:pPr>
    </w:lvl>
    <w:lvl w:ilvl="5" w:tplc="620AB1B8">
      <w:start w:val="1"/>
      <w:numFmt w:val="bullet"/>
      <w:lvlText w:val="■"/>
      <w:lvlJc w:val="left"/>
      <w:pPr>
        <w:ind w:left="4320" w:hanging="360"/>
      </w:pPr>
    </w:lvl>
    <w:lvl w:ilvl="6" w:tplc="61B01DE4">
      <w:start w:val="1"/>
      <w:numFmt w:val="bullet"/>
      <w:lvlText w:val="●"/>
      <w:lvlJc w:val="left"/>
      <w:pPr>
        <w:ind w:left="5040" w:hanging="360"/>
      </w:pPr>
    </w:lvl>
    <w:lvl w:ilvl="7" w:tplc="128CC960">
      <w:start w:val="1"/>
      <w:numFmt w:val="bullet"/>
      <w:lvlText w:val="●"/>
      <w:lvlJc w:val="left"/>
      <w:pPr>
        <w:ind w:left="5760" w:hanging="360"/>
      </w:pPr>
    </w:lvl>
    <w:lvl w:ilvl="8" w:tplc="2176F0D2">
      <w:start w:val="1"/>
      <w:numFmt w:val="bullet"/>
      <w:lvlText w:val="●"/>
      <w:lvlJc w:val="left"/>
      <w:pPr>
        <w:ind w:left="6480" w:hanging="360"/>
      </w:pPr>
    </w:lvl>
  </w:abstractNum>
  <w:num w:numId="1" w16cid:durableId="1997684951">
    <w:abstractNumId w:val="1"/>
    <w:lvlOverride w:ilvl="0">
      <w:startOverride w:val="1"/>
    </w:lvlOverride>
  </w:num>
  <w:num w:numId="2" w16cid:durableId="777793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FDA"/>
    <w:rsid w:val="00545FDA"/>
    <w:rsid w:val="005D0497"/>
    <w:rsid w:val="00AF01DB"/>
    <w:rsid w:val="00D22B4C"/>
    <w:rsid w:val="00ED6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F8E71"/>
  <w15:docId w15:val="{7F746B47-FE37-4B89-A5E3-207529932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3503</Words>
  <Characters>19971</Characters>
  <Application>Microsoft Office Word</Application>
  <DocSecurity>0</DocSecurity>
  <Lines>166</Lines>
  <Paragraphs>46</Paragraphs>
  <ScaleCrop>false</ScaleCrop>
  <Company/>
  <LinksUpToDate>false</LinksUpToDate>
  <CharactersWithSpaces>23428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Applications Assignment</dc:title>
  <dc:creator>Assignment</dc:creator>
  <cp:lastModifiedBy>Namburi Venkata Sai Sohith</cp:lastModifiedBy>
  <cp:revision>2</cp:revision>
  <dcterms:created xsi:type="dcterms:W3CDTF">2026-08-10T05:57:00Z</dcterms:created>
  <dcterms:modified xsi:type="dcterms:W3CDTF">2026-08-10T05:57:00Z</dcterms:modified>
</cp:coreProperties>
</file>