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Supplementary material</w:t>
      </w:r>
    </w:p>
    <w:p>
      <w:r>
        <w:rPr>
          <w:b w:val="0"/>
          <w:i w:val="0"/>
        </w:rPr>
        <w:t>A knowledge-based AI decision-support system for cybersecurity-aware digital transformation screening using innovation and entrepreneurship indicators</w:t>
      </w:r>
    </w:p>
    <w:p>
      <w:r>
        <w:rPr>
          <w:b/>
          <w:i w:val="0"/>
        </w:rPr>
        <w:t>Table S1.</w:t>
      </w:r>
      <w:r>
        <w:rPr>
          <w:b w:val="0"/>
          <w:i w:val="0"/>
        </w:rPr>
        <w:t xml:space="preserve"> Descriptive statistics of the simulated population (N = 5,000).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/>
                <w:i w:val="0"/>
                <w:sz w:val="19"/>
              </w:rPr>
              <w:t>Indicator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/>
                <w:i w:val="0"/>
                <w:sz w:val="19"/>
              </w:rPr>
              <w:t>Feature set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/>
                <w:i w:val="0"/>
                <w:sz w:val="19"/>
              </w:rPr>
              <w:t>Mean (SD)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/>
                <w:i w:val="0"/>
                <w:sz w:val="19"/>
              </w:rPr>
              <w:t>Correlation with breach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Innovation intensity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0.503 (0.189)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−0.002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Entrepreneurship orientation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0.494 (0.182)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0.019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Data volume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0.497 (0.193)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0.208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Data sensitivity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0.498 (0.202)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0.282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Digital-transformation breadth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Opportunity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0.502 (0.205)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0.073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Access control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0.499 (0.207)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−0.240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Encryption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0.497 (0.183)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−0.228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Monitoring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0.498 (0.194)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−0.214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Incident response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0.499 (0.177)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−0.224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Security skills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0.501 (0.152)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−0.180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Vendor control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Cybersecurity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0.499 (0.161)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b w:val="0"/>
                <w:i w:val="0"/>
                <w:sz w:val="19"/>
              </w:rPr>
              <w:t>−0.209</w:t>
            </w:r>
          </w:p>
        </w:tc>
      </w:tr>
    </w:tbl>
    <w:p>
      <w:r>
        <w:rPr>
          <w:b w:val="0"/>
          <w:i/>
        </w:rPr>
        <w:t>Note.</w:t>
      </w:r>
      <w:r>
        <w:rPr>
          <w:b w:val="0"/>
          <w:i w:val="0"/>
        </w:rPr>
        <w:t xml:space="preserve"> Pearson (point-biserial) correlations with the binary breach label; all indicators lie on [0, 1]. Values are produced by </w:t>
      </w:r>
      <w:r>
        <w:rPr>
          <w:b w:val="0"/>
          <w:i w:val="0"/>
        </w:rPr>
        <w:t>analysis.py</w:t>
      </w:r>
      <w:r>
        <w:rPr>
          <w:b w:val="0"/>
          <w:i w:val="0"/>
        </w:rPr>
        <w:t xml:space="preserve"> (seed 23).</w:t>
      </w:r>
    </w:p>
    <w:p>
      <w:pPr>
        <w:spacing w:before="120"/>
      </w:pPr>
      <w:r>
        <w:rPr>
          <w:b/>
          <w:i w:val="0"/>
        </w:rPr>
        <w:t>Supplementary Note S1. Payoff and policy sensitivity</w:t>
      </w:r>
    </w:p>
    <w:p>
      <w:r>
        <w:rPr>
          <w:b w:val="0"/>
          <w:i w:val="0"/>
        </w:rPr>
        <w:t>Fig. S1 varies the payoff and policy constants on the seed-23 fits. The feature effect stays between 0.68 and 1.58 across all 26 settings, and KCID-AI exceeds the opportunity logistic model in all of them (0.63 to 1.81). The rules' utility effect ranges from −0.25 to 0.23: it is positive when hardening is relatively unattractive (retention ≤ 0.50, cost ≥ 7.5, residual impact ≥ 0.45), at defer thresholds of −10 or −15 and at a penalty of 4, and negative otherwise. The rules' reduction in launched breaches grows with the soft penalty, from 0 at a penalty of 0 to −0.042 at 16. At a penalty of 0 only the hard rules act, and they leave launched breaches unchanged, so the reduction comes from the soft penalties. Across the same settings, the expected-utility policy has higher utility than KCID-AI in every case (by 0.03 to 2.57), but whether it launches more breaches depends on the payoffs. It launches fewer in 9 settings: every setting in which hardening is made more attractive (retention ≥ 0.60, cost ≤ 2.5, residual impact ≤ 0.25), and launch thresholds of 5 and 7.5, at which KCID-AI itself launches more. On the seed-23 fits, KCID-AI exceeds boosting with rules in utility in all 26 settings (0.05 to 0.99), an advantage that Table 2 of the main text shows to be seed-specific. Where the breach budget binds, the capped policy matches KCID-AI's launched breaches to within 0.016 and has higher utility except in 6 settings in which hardening is unattractive or the defer threshold is low, where KCID-AI is ahead by at most 0.21. Where hardening is attractive, the uncapped policy already launches fewer breaches than KCID-AI and the budget does not bind. KCID-AI exceeds the rule-only policy in utility (by 1.48 to 2.34) and launched breaches in every setting. The hybrid tracks the capped policy within 0.025 except at retention ≥ 0.65, a harden cost of 0 and residual impact ≤ 0.25, where forcing deferral instead of hardening costs it 0.06 to 0.73.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2998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9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Fig. S1.</w:t>
      </w:r>
      <w:r>
        <w:rPr>
          <w:b w:val="0"/>
          <w:i w:val="0"/>
        </w:rPr>
        <w:t xml:space="preserve"> One-at-a-time sensitivity of the mean utility differences to the payoff and policy constants (seed-23 fits). Blue: the feature effect (knowledge logistic − opportunity logistic). Green: the rule effect (KCID-AI − knowledge logistic). Dotted vertical lines mark the base values used in Sections 4.1–4.3 of the main text.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