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899AF" w14:textId="7152A8E5" w:rsidR="00B55FD1" w:rsidRPr="00412EC1" w:rsidRDefault="00412EC1" w:rsidP="00412EC1">
      <w:pPr>
        <w:spacing w:line="480" w:lineRule="auto"/>
        <w:jc w:val="center"/>
        <w:rPr>
          <w:b/>
          <w:bCs/>
        </w:rPr>
      </w:pPr>
      <w:r w:rsidRPr="00412EC1">
        <w:rPr>
          <w:b/>
          <w:bCs/>
        </w:rPr>
        <w:t>CIS Discussion-13</w:t>
      </w:r>
    </w:p>
    <w:p w14:paraId="1A04B00B" w14:textId="31144E5A" w:rsidR="00131EEE" w:rsidRDefault="00131EEE" w:rsidP="00382EAC">
      <w:pPr>
        <w:spacing w:line="480" w:lineRule="auto"/>
      </w:pPr>
      <w:r>
        <w:t>A.</w:t>
      </w:r>
    </w:p>
    <w:p w14:paraId="730EAFC1" w14:textId="1A04AE22" w:rsidR="00131EEE" w:rsidRPr="00025300" w:rsidRDefault="00131EEE" w:rsidP="00382EAC">
      <w:pPr>
        <w:spacing w:line="480" w:lineRule="auto"/>
      </w:pPr>
      <w:r>
        <w:t xml:space="preserve">The </w:t>
      </w:r>
      <w:r w:rsidR="00844FB8">
        <w:t xml:space="preserve">plan </w:t>
      </w:r>
      <w:r>
        <w:t xml:space="preserve">mainly consists of four goals </w:t>
      </w:r>
      <w:r w:rsidR="00A874F6">
        <w:t xml:space="preserve">according to </w:t>
      </w:r>
      <w:r w:rsidR="00A874F6" w:rsidRPr="00A874F6">
        <w:t>The Office of the National Coordinator for Health Information Technology</w:t>
      </w:r>
      <w:r w:rsidR="00A874F6">
        <w:t xml:space="preserve"> (2021</w:t>
      </w:r>
      <w:r w:rsidR="00C57D68">
        <w:t>).</w:t>
      </w:r>
      <w:r>
        <w:t xml:space="preserve"> </w:t>
      </w:r>
      <w:r w:rsidR="00A874F6" w:rsidRPr="00E07E72">
        <w:t>The Office of the National Coordinator for Health Information Technology</w:t>
      </w:r>
      <w:r w:rsidR="00A874F6">
        <w:t xml:space="preserve"> (2021) states that t</w:t>
      </w:r>
      <w:r>
        <w:t xml:space="preserve">hese strategies centrally focus to the individual’s access </w:t>
      </w:r>
      <w:r w:rsidR="00F9285A">
        <w:t>and availability of their health data</w:t>
      </w:r>
      <w:r>
        <w:t>.</w:t>
      </w:r>
      <w:r w:rsidR="00C3541D">
        <w:t xml:space="preserve"> The </w:t>
      </w:r>
      <w:r w:rsidR="00B13859">
        <w:t>agenda</w:t>
      </w:r>
      <w:r w:rsidR="00C3541D">
        <w:t xml:space="preserve"> highlights the federal government’s </w:t>
      </w:r>
      <w:r w:rsidR="00734618">
        <w:t xml:space="preserve">goal of increasing the access to the electronic health information with improved utility and facilitating further exchange </w:t>
      </w:r>
      <w:r w:rsidR="00A874F6">
        <w:t xml:space="preserve">according to </w:t>
      </w:r>
      <w:r w:rsidR="00A874F6" w:rsidRPr="00E07E72">
        <w:t>The Office of the National Coordinator for Health Information Technology</w:t>
      </w:r>
      <w:r w:rsidR="00A874F6">
        <w:t xml:space="preserve"> (2021)</w:t>
      </w:r>
      <w:r w:rsidR="00734618">
        <w:t xml:space="preserve">. The first goal </w:t>
      </w:r>
      <w:r w:rsidR="00A874F6">
        <w:t xml:space="preserve">in accordance with </w:t>
      </w:r>
      <w:r w:rsidR="00A874F6" w:rsidRPr="00E07E72">
        <w:t>The Office of the National Coordinator for Health Information Technology</w:t>
      </w:r>
      <w:r w:rsidR="00A874F6">
        <w:t xml:space="preserve"> (2021) </w:t>
      </w:r>
      <w:r w:rsidR="00734618">
        <w:t xml:space="preserve">is to promote health and </w:t>
      </w:r>
      <w:r w:rsidR="00025300">
        <w:t>wellness.</w:t>
      </w:r>
      <w:r w:rsidR="00B44586">
        <w:t xml:space="preserve"> According to </w:t>
      </w:r>
      <w:proofErr w:type="spellStart"/>
      <w:r w:rsidR="00025300" w:rsidRPr="001D7E26">
        <w:t>Esmaeilzadeh</w:t>
      </w:r>
      <w:proofErr w:type="spellEnd"/>
      <w:r w:rsidR="00025300">
        <w:t xml:space="preserve"> &amp; </w:t>
      </w:r>
      <w:proofErr w:type="spellStart"/>
      <w:r w:rsidR="00025300" w:rsidRPr="001D7E26">
        <w:t>Sambasivan</w:t>
      </w:r>
      <w:proofErr w:type="spellEnd"/>
      <w:r w:rsidR="00025300">
        <w:t xml:space="preserve"> (2016)</w:t>
      </w:r>
      <w:r w:rsidR="00025300">
        <w:rPr>
          <w:rStyle w:val="Hyperlink"/>
        </w:rPr>
        <w:t xml:space="preserve"> </w:t>
      </w:r>
      <w:r w:rsidR="00B44586">
        <w:t xml:space="preserve">the health information exchange (HIE) plays an important role in improving the patient care coordination and health outcomes thus promoting health. </w:t>
      </w:r>
      <w:r w:rsidR="00A874F6">
        <w:t xml:space="preserve">According to </w:t>
      </w:r>
      <w:r w:rsidR="00A874F6" w:rsidRPr="00E07E72">
        <w:t>The Office of the National Coordinator for Health Information Technology</w:t>
      </w:r>
      <w:r w:rsidR="00A874F6">
        <w:t xml:space="preserve"> (2021) t</w:t>
      </w:r>
      <w:r w:rsidR="00B44586">
        <w:t>he second goal focuses on enhancing the delivery and experience of the care provided.</w:t>
      </w:r>
      <w:r w:rsidR="006E36C4">
        <w:t xml:space="preserve"> </w:t>
      </w:r>
      <w:proofErr w:type="spellStart"/>
      <w:r w:rsidR="00025300" w:rsidRPr="001D7E26">
        <w:t>Esmaeilzadeh</w:t>
      </w:r>
      <w:proofErr w:type="spellEnd"/>
      <w:r w:rsidR="00025300">
        <w:t xml:space="preserve"> &amp; </w:t>
      </w:r>
      <w:proofErr w:type="spellStart"/>
      <w:r w:rsidR="00025300" w:rsidRPr="001D7E26">
        <w:t>Sambasivan</w:t>
      </w:r>
      <w:proofErr w:type="spellEnd"/>
      <w:r w:rsidR="00025300">
        <w:t xml:space="preserve"> (2016) </w:t>
      </w:r>
      <w:r w:rsidR="006E36C4">
        <w:t xml:space="preserve">remarks that employing HIE within the organization result in improved workflows which in turn can increase the </w:t>
      </w:r>
      <w:r w:rsidR="00510AB9">
        <w:t>quality-of-care</w:t>
      </w:r>
      <w:r w:rsidR="006E36C4">
        <w:t xml:space="preserve"> delivery. Availability of information at a single point of source can result in improved diagnosis and aid the physicians with better treatment protocols. e</w:t>
      </w:r>
      <w:r w:rsidR="005563A8">
        <w:t>Health policies have enabled delivery of health services to the unprivileged and underserved population with the aid of HIE</w:t>
      </w:r>
      <w:r w:rsidR="006E36C4">
        <w:t xml:space="preserve"> </w:t>
      </w:r>
      <w:r w:rsidR="005563A8">
        <w:t>(</w:t>
      </w:r>
      <w:r w:rsidR="00025300">
        <w:t xml:space="preserve">Dixon &amp; </w:t>
      </w:r>
      <w:proofErr w:type="spellStart"/>
      <w:r w:rsidR="00025300" w:rsidRPr="001D7E26">
        <w:t>Rahurkar</w:t>
      </w:r>
      <w:proofErr w:type="spellEnd"/>
      <w:r w:rsidR="00025300">
        <w:t>, 2018</w:t>
      </w:r>
      <w:r w:rsidR="005563A8">
        <w:t>).</w:t>
      </w:r>
      <w:r w:rsidR="00890FFE">
        <w:t xml:space="preserve"> </w:t>
      </w:r>
      <w:r w:rsidR="00A874F6">
        <w:t xml:space="preserve">According to </w:t>
      </w:r>
      <w:r w:rsidR="00A874F6" w:rsidRPr="00E07E72">
        <w:t>The Office of the National Coordinator for Health Information Technology</w:t>
      </w:r>
      <w:r w:rsidR="00A874F6">
        <w:t xml:space="preserve"> (2021) t</w:t>
      </w:r>
      <w:r w:rsidR="00890FFE">
        <w:t>he third goal is to build a</w:t>
      </w:r>
      <w:r w:rsidR="00844FB8">
        <w:t xml:space="preserve">n </w:t>
      </w:r>
      <w:r w:rsidR="00890FFE">
        <w:t xml:space="preserve">ecosystem </w:t>
      </w:r>
      <w:r w:rsidR="00844FB8">
        <w:t xml:space="preserve">which serves as data warehouse and is </w:t>
      </w:r>
      <w:r w:rsidR="00890FFE">
        <w:t xml:space="preserve">secured to </w:t>
      </w:r>
      <w:r w:rsidR="00844FB8">
        <w:t>promote</w:t>
      </w:r>
      <w:r w:rsidR="00890FFE">
        <w:t xml:space="preserve"> research.</w:t>
      </w:r>
      <w:r w:rsidR="00510AB9">
        <w:t xml:space="preserve"> The clinical data repositories play a significant role in research as they serve </w:t>
      </w:r>
      <w:r w:rsidR="00510AB9">
        <w:lastRenderedPageBreak/>
        <w:t>as growing pools of reusable clinical data (</w:t>
      </w:r>
      <w:r w:rsidR="00C57D68" w:rsidRPr="00B863E4">
        <w:t>Wade</w:t>
      </w:r>
      <w:r w:rsidR="00C57D68">
        <w:t>, 2014</w:t>
      </w:r>
      <w:r w:rsidR="00510AB9">
        <w:t xml:space="preserve">). The final goal is to </w:t>
      </w:r>
      <w:r w:rsidR="00010B49">
        <w:t>integrate</w:t>
      </w:r>
      <w:r w:rsidR="00510AB9">
        <w:t xml:space="preserve"> the healthcare sector with the health data</w:t>
      </w:r>
      <w:r w:rsidR="0045759D">
        <w:t xml:space="preserve"> according to </w:t>
      </w:r>
      <w:r w:rsidR="0045759D" w:rsidRPr="00E07E72">
        <w:t>The Office of the National Coordinator for Health Information Technology</w:t>
      </w:r>
      <w:r w:rsidR="0045759D">
        <w:t xml:space="preserve"> (2021)</w:t>
      </w:r>
      <w:r w:rsidR="00510AB9">
        <w:t xml:space="preserve">. This union is significant as the availability of health data digitally facilitates transfer of information across the connected systems. Reusability of such data </w:t>
      </w:r>
      <w:r w:rsidR="004C20E5">
        <w:t>can improve the prognosis of a disease and result in better health outcomes.</w:t>
      </w:r>
    </w:p>
    <w:p w14:paraId="00FB522A" w14:textId="3BF59DBA" w:rsidR="008148D1" w:rsidRDefault="008148D1" w:rsidP="00382EAC">
      <w:pPr>
        <w:spacing w:line="480" w:lineRule="auto"/>
      </w:pPr>
    </w:p>
    <w:p w14:paraId="58B0AD6E" w14:textId="408FB61A" w:rsidR="00B6761C" w:rsidRPr="00B6761C" w:rsidRDefault="00B6761C" w:rsidP="00382EAC">
      <w:pPr>
        <w:spacing w:line="480" w:lineRule="auto"/>
      </w:pPr>
      <w:r w:rsidRPr="00B6761C">
        <w:t>B.</w:t>
      </w:r>
    </w:p>
    <w:p w14:paraId="231A8349" w14:textId="0BA1836F" w:rsidR="008148D1" w:rsidRDefault="008148D1" w:rsidP="00382EAC">
      <w:pPr>
        <w:spacing w:line="480" w:lineRule="auto"/>
      </w:pPr>
      <w:r>
        <w:t>For any plan or goal to put into action, a defines set of agreed policies and standard protocols must be ensured for fruitful implementation.</w:t>
      </w:r>
      <w:r w:rsidR="00F03426">
        <w:t xml:space="preserve"> For example, policies like HITECH Act and Affordable Care Act have created incentives to lay foundations for health information infrastructure (</w:t>
      </w:r>
      <w:r w:rsidR="00025300">
        <w:t xml:space="preserve">Dixon &amp; </w:t>
      </w:r>
      <w:proofErr w:type="spellStart"/>
      <w:r w:rsidR="00025300" w:rsidRPr="001D7E26">
        <w:t>Rahurkar</w:t>
      </w:r>
      <w:proofErr w:type="spellEnd"/>
      <w:r w:rsidR="00025300">
        <w:t>, 2018</w:t>
      </w:r>
      <w:r w:rsidR="00F03426">
        <w:t>).</w:t>
      </w:r>
      <w:r w:rsidR="00516F1E">
        <w:t xml:space="preserve"> Before framing the policies, one should always consider the methods, evidence and standards used to determine the policy (</w:t>
      </w:r>
      <w:r w:rsidR="00C57D68" w:rsidRPr="001D7E26">
        <w:t>Richardson</w:t>
      </w:r>
      <w:r w:rsidR="00C57D68">
        <w:t xml:space="preserve"> et al., 2017</w:t>
      </w:r>
      <w:r w:rsidR="00516F1E">
        <w:t xml:space="preserve">). Primarily the policies </w:t>
      </w:r>
      <w:r w:rsidR="00010B49">
        <w:t>play a key role in promoting the safety of the health records</w:t>
      </w:r>
      <w:r w:rsidR="00516F1E">
        <w:t xml:space="preserve"> (</w:t>
      </w:r>
      <w:r w:rsidR="00B6761C" w:rsidRPr="001D7E26">
        <w:t>Rudin</w:t>
      </w:r>
      <w:r w:rsidR="00B6761C">
        <w:t xml:space="preserve"> et al., 2021</w:t>
      </w:r>
      <w:r w:rsidR="00516F1E">
        <w:t>, p. 979).</w:t>
      </w:r>
      <w:r w:rsidR="00BC24FC">
        <w:t xml:space="preserve"> Improper planning in terms of design, quality assurance, inadequate testing and poor deployment of health IT can result in its hampered usability (</w:t>
      </w:r>
      <w:r w:rsidR="00C57D68" w:rsidRPr="001D7E26">
        <w:t>Rudin</w:t>
      </w:r>
      <w:r w:rsidR="00C57D68">
        <w:t xml:space="preserve"> et al., 2021</w:t>
      </w:r>
      <w:r w:rsidR="00BC24FC">
        <w:t xml:space="preserve">, p. 979). Policy makers must ensure that the safety measures of health IT are addressed while formulating the policies. </w:t>
      </w:r>
      <w:r w:rsidR="00010B49">
        <w:t>The policies which outline the safety and privacy of the health information must be given paramount value</w:t>
      </w:r>
      <w:r w:rsidR="00ED60F3">
        <w:t xml:space="preserve"> (</w:t>
      </w:r>
      <w:r w:rsidR="00C57D68" w:rsidRPr="001D7E26">
        <w:t>Rudin</w:t>
      </w:r>
      <w:r w:rsidR="00C57D68">
        <w:t xml:space="preserve"> et al., 2021</w:t>
      </w:r>
      <w:r w:rsidR="00ED60F3">
        <w:t>, p. 980).</w:t>
      </w:r>
      <w:r w:rsidR="00652105">
        <w:t xml:space="preserve"> As this information contains the most sensitive data pertaining to patients, policies developed must be in accordance with the HIPPA guidelines. These policies hold importance because all the clinical data made available to the physicians or hospitals must be protected to prevent data misuse, data breaches and subject to malware.</w:t>
      </w:r>
      <w:r w:rsidR="001D593A">
        <w:t xml:space="preserve"> These days, there is growing importance to public policy </w:t>
      </w:r>
      <w:r w:rsidR="001D593A">
        <w:lastRenderedPageBreak/>
        <w:t>in informatics which encapsulates everything from funding of research projects to the entitlement of physicians accessing the electronic medical records of patients (</w:t>
      </w:r>
      <w:r w:rsidR="00C57D68" w:rsidRPr="001D7E26">
        <w:t>Rudin</w:t>
      </w:r>
      <w:r w:rsidR="00C57D68">
        <w:t xml:space="preserve"> et al., 2021</w:t>
      </w:r>
      <w:r w:rsidR="001D593A">
        <w:t>, p. 981).</w:t>
      </w:r>
      <w:r w:rsidR="0050051C">
        <w:t xml:space="preserve"> </w:t>
      </w:r>
      <w:r w:rsidR="001C27AC">
        <w:t xml:space="preserve">Apart from policies, ensuring </w:t>
      </w:r>
      <w:r w:rsidR="00A46D1E">
        <w:t>proper</w:t>
      </w:r>
      <w:r w:rsidR="001C27AC">
        <w:t xml:space="preserve"> standardization </w:t>
      </w:r>
      <w:r w:rsidR="00A46D1E">
        <w:t>of</w:t>
      </w:r>
      <w:r w:rsidR="001C27AC">
        <w:t xml:space="preserve"> the clinical data for better interpretation and exchange is paramount.</w:t>
      </w:r>
      <w:r w:rsidR="00A46D1E">
        <w:t xml:space="preserve"> To facilitate this extent, Health Level 7 (HL7) is being adopted widely across multiple organizations.</w:t>
      </w:r>
      <w:r w:rsidR="00A46606">
        <w:t xml:space="preserve"> But there are numerous terminologies like ICD-10, SNOMED-CT, LOINC and many more to achieve standardization of clinical data.</w:t>
      </w:r>
      <w:r w:rsidR="00A46D1E">
        <w:t xml:space="preserve"> </w:t>
      </w:r>
      <w:r w:rsidR="001C27AC">
        <w:t xml:space="preserve"> </w:t>
      </w:r>
      <w:r w:rsidR="0050051C">
        <w:t>With emerging advances in health care, there is always a scope for the development of new policies and standards to support the health IT.</w:t>
      </w:r>
    </w:p>
    <w:p w14:paraId="5B5828BC" w14:textId="601FA211" w:rsidR="008962F2" w:rsidRDefault="008962F2" w:rsidP="00382EAC">
      <w:pPr>
        <w:spacing w:line="480" w:lineRule="auto"/>
      </w:pPr>
    </w:p>
    <w:p w14:paraId="15FAB039" w14:textId="2EAFD688" w:rsidR="008962F2" w:rsidRDefault="008962F2" w:rsidP="00382EAC">
      <w:pPr>
        <w:spacing w:line="480" w:lineRule="auto"/>
      </w:pPr>
      <w:r>
        <w:t>C.</w:t>
      </w:r>
    </w:p>
    <w:p w14:paraId="2AC5F13B" w14:textId="1D44BE81" w:rsidR="008962F2" w:rsidRDefault="000A77F1" w:rsidP="00382EAC">
      <w:pPr>
        <w:spacing w:line="480" w:lineRule="auto"/>
      </w:pPr>
      <w:r>
        <w:t xml:space="preserve">The </w:t>
      </w:r>
      <w:r w:rsidR="00E312D8">
        <w:t>Health Information Technology Advisory Committee (HITAC) is responsible for providing recommendations on the policies</w:t>
      </w:r>
      <w:r w:rsidR="005C04F1">
        <w:t xml:space="preserve">, </w:t>
      </w:r>
      <w:r w:rsidR="00B6761C">
        <w:t>standards,</w:t>
      </w:r>
      <w:r w:rsidR="005C04F1">
        <w:t xml:space="preserve"> and </w:t>
      </w:r>
      <w:r w:rsidR="00E312D8">
        <w:t xml:space="preserve">implementation </w:t>
      </w:r>
      <w:r w:rsidR="005C04F1">
        <w:t xml:space="preserve">specifications </w:t>
      </w:r>
      <w:r w:rsidR="00E312D8">
        <w:t>of the health information technology</w:t>
      </w:r>
      <w:r w:rsidR="003B2E80">
        <w:t xml:space="preserve"> </w:t>
      </w:r>
      <w:r w:rsidR="00A874F6">
        <w:t xml:space="preserve">according to </w:t>
      </w:r>
      <w:r w:rsidR="00A874F6" w:rsidRPr="00E07E72">
        <w:t>The Office of the National Coordinator for Health Information Technology</w:t>
      </w:r>
      <w:r w:rsidR="00A874F6">
        <w:t xml:space="preserve"> (2022)</w:t>
      </w:r>
      <w:r w:rsidR="00E312D8">
        <w:t>.</w:t>
      </w:r>
      <w:r w:rsidR="00435AB5">
        <w:t xml:space="preserve"> Here are the most recent activities of HITAC</w:t>
      </w:r>
      <w:r w:rsidR="00D84B9D">
        <w:t xml:space="preserve"> in the year 2022</w:t>
      </w:r>
      <w:r w:rsidR="00435AB5">
        <w:t>.</w:t>
      </w:r>
    </w:p>
    <w:p w14:paraId="602D0890" w14:textId="734F8808" w:rsidR="00435AB5" w:rsidRDefault="00435AB5" w:rsidP="00382EAC">
      <w:pPr>
        <w:pStyle w:val="ListParagraph"/>
        <w:numPr>
          <w:ilvl w:val="0"/>
          <w:numId w:val="3"/>
        </w:numPr>
        <w:spacing w:line="480" w:lineRule="auto"/>
      </w:pPr>
      <w:r>
        <w:t>In the meeting held on September 14</w:t>
      </w:r>
      <w:r w:rsidRPr="00435AB5">
        <w:rPr>
          <w:vertAlign w:val="superscript"/>
        </w:rPr>
        <w:t>th</w:t>
      </w:r>
      <w:r>
        <w:t>, 2022, HITAC approved the recommendations developed by the Adopted Standards Task Force. This states to maintain or opt out the current standards and implementation guidelines</w:t>
      </w:r>
      <w:r w:rsidR="00DE59CD">
        <w:t xml:space="preserve"> </w:t>
      </w:r>
      <w:r w:rsidR="00A874F6">
        <w:t>(</w:t>
      </w:r>
      <w:r w:rsidR="00A874F6" w:rsidRPr="00E07E72">
        <w:t>The Office of the National Coordinator for Health Information Technology</w:t>
      </w:r>
      <w:r w:rsidR="00A874F6">
        <w:t>, 2022).</w:t>
      </w:r>
    </w:p>
    <w:p w14:paraId="475FF52F" w14:textId="17E009E0" w:rsidR="003A1478" w:rsidRDefault="003A1478" w:rsidP="00382EAC">
      <w:pPr>
        <w:pStyle w:val="ListParagraph"/>
        <w:numPr>
          <w:ilvl w:val="0"/>
          <w:numId w:val="3"/>
        </w:numPr>
        <w:spacing w:line="480" w:lineRule="auto"/>
      </w:pPr>
      <w:r>
        <w:t>On June 16</w:t>
      </w:r>
      <w:r w:rsidRPr="003A1478">
        <w:rPr>
          <w:vertAlign w:val="superscript"/>
        </w:rPr>
        <w:t>th</w:t>
      </w:r>
      <w:r>
        <w:t xml:space="preserve">, 2022, the </w:t>
      </w:r>
      <w:r w:rsidR="007B7F76">
        <w:t>H</w:t>
      </w:r>
      <w:r>
        <w:t>ITAC approved the recommendations developed by the Interoperability Standards Group</w:t>
      </w:r>
      <w:r w:rsidR="00A874F6">
        <w:t xml:space="preserve"> (</w:t>
      </w:r>
      <w:r w:rsidR="00A874F6" w:rsidRPr="00E07E72">
        <w:t>The Office of the National Coordinator for Health Information Technology</w:t>
      </w:r>
      <w:r w:rsidR="00A874F6">
        <w:t>, 2022).</w:t>
      </w:r>
    </w:p>
    <w:p w14:paraId="1283E64F" w14:textId="2A36EAF2" w:rsidR="003A1478" w:rsidRDefault="003A1478" w:rsidP="00382EAC">
      <w:pPr>
        <w:pStyle w:val="ListParagraph"/>
        <w:numPr>
          <w:ilvl w:val="0"/>
          <w:numId w:val="3"/>
        </w:numPr>
        <w:spacing w:line="480" w:lineRule="auto"/>
      </w:pPr>
      <w:r>
        <w:lastRenderedPageBreak/>
        <w:t xml:space="preserve">Prior to the above mentioned, the recommendations on the US Core Data for Interoperability Draft developed by Interoperability Standards Workgroup </w:t>
      </w:r>
      <w:r w:rsidR="007B7F76">
        <w:t>were</w:t>
      </w:r>
      <w:r>
        <w:t xml:space="preserve"> approved by HITAC</w:t>
      </w:r>
      <w:r w:rsidR="00851D86">
        <w:t xml:space="preserve"> on April 13</w:t>
      </w:r>
      <w:r w:rsidR="00851D86" w:rsidRPr="00851D86">
        <w:rPr>
          <w:vertAlign w:val="superscript"/>
        </w:rPr>
        <w:t>th</w:t>
      </w:r>
      <w:r w:rsidR="00851D86">
        <w:t>, 2022</w:t>
      </w:r>
      <w:r>
        <w:t>.</w:t>
      </w:r>
      <w:r w:rsidR="00A874F6">
        <w:t xml:space="preserve"> (</w:t>
      </w:r>
      <w:r w:rsidR="00A874F6" w:rsidRPr="00E07E72">
        <w:t>The Office of the National Coordinator for Health Information Technology</w:t>
      </w:r>
      <w:r w:rsidR="00A874F6">
        <w:t>, 2022).</w:t>
      </w:r>
    </w:p>
    <w:p w14:paraId="633CBFDD" w14:textId="7AC67301" w:rsidR="003A1478" w:rsidRDefault="003A1478" w:rsidP="00382EAC">
      <w:pPr>
        <w:pStyle w:val="ListParagraph"/>
        <w:numPr>
          <w:ilvl w:val="0"/>
          <w:numId w:val="3"/>
        </w:numPr>
        <w:spacing w:line="480" w:lineRule="auto"/>
      </w:pPr>
      <w:r>
        <w:t>The recommendations developed by e-Prior Authorization for Information Task Force 2022 were approved by HITAC in the meeting held on March 10</w:t>
      </w:r>
      <w:r w:rsidRPr="003A1478">
        <w:rPr>
          <w:vertAlign w:val="superscript"/>
        </w:rPr>
        <w:t>th</w:t>
      </w:r>
      <w:r>
        <w:t>, 2022.</w:t>
      </w:r>
      <w:r w:rsidR="00A874F6">
        <w:t xml:space="preserve"> (</w:t>
      </w:r>
      <w:r w:rsidR="00A874F6" w:rsidRPr="00E07E72">
        <w:t>The Office of the National Coordinator for Health Information Technology</w:t>
      </w:r>
      <w:r w:rsidR="00A874F6">
        <w:t>, 2022).</w:t>
      </w:r>
    </w:p>
    <w:p w14:paraId="4AD3B0CB" w14:textId="0FC45A3C" w:rsidR="003A1478" w:rsidRDefault="003A1478" w:rsidP="00382EAC">
      <w:pPr>
        <w:pStyle w:val="ListParagraph"/>
        <w:numPr>
          <w:ilvl w:val="0"/>
          <w:numId w:val="3"/>
        </w:numPr>
        <w:spacing w:line="480" w:lineRule="auto"/>
      </w:pPr>
      <w:r>
        <w:t>The HITAC approved the Annual Report for Fiscal Year 2021 to be submitted to the National coordinator on February 17</w:t>
      </w:r>
      <w:r w:rsidRPr="00075342">
        <w:rPr>
          <w:vertAlign w:val="superscript"/>
        </w:rPr>
        <w:t>th</w:t>
      </w:r>
      <w:r>
        <w:t>, 2022.</w:t>
      </w:r>
      <w:r w:rsidR="00A874F6">
        <w:t xml:space="preserve"> (</w:t>
      </w:r>
      <w:r w:rsidR="00A874F6" w:rsidRPr="00E07E72">
        <w:t>The Office of the National Coordinator for Health Information Technology</w:t>
      </w:r>
      <w:r w:rsidR="00A874F6">
        <w:t>, 2022).</w:t>
      </w:r>
    </w:p>
    <w:p w14:paraId="2528714A" w14:textId="1B8EE872" w:rsidR="00734618" w:rsidRDefault="00734618" w:rsidP="00382EAC">
      <w:pPr>
        <w:spacing w:line="480" w:lineRule="auto"/>
      </w:pPr>
    </w:p>
    <w:p w14:paraId="5478189B" w14:textId="1E54DF2F" w:rsidR="00734618" w:rsidRDefault="00734618" w:rsidP="00382EAC">
      <w:pPr>
        <w:spacing w:line="480" w:lineRule="auto"/>
      </w:pPr>
    </w:p>
    <w:p w14:paraId="3902BEA1" w14:textId="3957F4F0" w:rsidR="00734618" w:rsidRDefault="00734618" w:rsidP="00382EAC">
      <w:pPr>
        <w:spacing w:line="480" w:lineRule="auto"/>
      </w:pPr>
    </w:p>
    <w:p w14:paraId="7E5C7BD7" w14:textId="3D07F372" w:rsidR="00734618" w:rsidRDefault="00734618" w:rsidP="00382EAC">
      <w:pPr>
        <w:spacing w:line="480" w:lineRule="auto"/>
      </w:pPr>
    </w:p>
    <w:p w14:paraId="75133E7E" w14:textId="7E515F0E" w:rsidR="00734618" w:rsidRDefault="00734618" w:rsidP="00382EAC">
      <w:pPr>
        <w:spacing w:line="480" w:lineRule="auto"/>
      </w:pPr>
    </w:p>
    <w:p w14:paraId="12B8A2E3" w14:textId="504D8940" w:rsidR="00734618" w:rsidRDefault="00734618" w:rsidP="00382EAC">
      <w:pPr>
        <w:spacing w:line="480" w:lineRule="auto"/>
      </w:pPr>
    </w:p>
    <w:p w14:paraId="49972B39" w14:textId="476214C8" w:rsidR="00734618" w:rsidRDefault="00734618" w:rsidP="00382EAC">
      <w:pPr>
        <w:spacing w:line="480" w:lineRule="auto"/>
      </w:pPr>
    </w:p>
    <w:p w14:paraId="066FF602" w14:textId="77777777" w:rsidR="00382EAC" w:rsidRDefault="00382EAC" w:rsidP="00382EAC">
      <w:pPr>
        <w:spacing w:line="480" w:lineRule="auto"/>
      </w:pPr>
    </w:p>
    <w:p w14:paraId="770990F8" w14:textId="77777777" w:rsidR="00382EAC" w:rsidRDefault="00382EAC" w:rsidP="00382EAC">
      <w:pPr>
        <w:spacing w:line="480" w:lineRule="auto"/>
      </w:pPr>
    </w:p>
    <w:p w14:paraId="45F52C22" w14:textId="77777777" w:rsidR="001D7A0C" w:rsidRDefault="001D7A0C" w:rsidP="00382EAC">
      <w:pPr>
        <w:spacing w:line="480" w:lineRule="auto"/>
      </w:pPr>
    </w:p>
    <w:p w14:paraId="5F8EA7CE" w14:textId="77777777" w:rsidR="001D7A0C" w:rsidRDefault="001D7A0C" w:rsidP="00382EAC">
      <w:pPr>
        <w:spacing w:line="480" w:lineRule="auto"/>
      </w:pPr>
    </w:p>
    <w:p w14:paraId="6A8A7FA9" w14:textId="77777777" w:rsidR="001D7A0C" w:rsidRDefault="001D7A0C" w:rsidP="00382EAC">
      <w:pPr>
        <w:spacing w:line="480" w:lineRule="auto"/>
      </w:pPr>
    </w:p>
    <w:p w14:paraId="151939DB" w14:textId="7EC87056" w:rsidR="00382EAC" w:rsidRDefault="00382EAC" w:rsidP="00382EAC">
      <w:pPr>
        <w:spacing w:line="480" w:lineRule="auto"/>
      </w:pPr>
      <w:r>
        <w:lastRenderedPageBreak/>
        <w:t>References:</w:t>
      </w:r>
    </w:p>
    <w:p w14:paraId="614BEACA" w14:textId="77777777" w:rsidR="00382EAC" w:rsidRDefault="00382EAC" w:rsidP="00382EAC">
      <w:pPr>
        <w:spacing w:line="480" w:lineRule="auto"/>
      </w:pPr>
    </w:p>
    <w:p w14:paraId="01E4B8B4" w14:textId="04ED0D05" w:rsidR="001D7E26" w:rsidRDefault="001D7E26" w:rsidP="00382EAC">
      <w:pPr>
        <w:spacing w:line="480" w:lineRule="auto"/>
        <w:ind w:left="720" w:hanging="720"/>
      </w:pPr>
      <w:r w:rsidRPr="001D7E26">
        <w:t xml:space="preserve">Dixon, B. E., &amp; </w:t>
      </w:r>
      <w:proofErr w:type="spellStart"/>
      <w:r w:rsidRPr="001D7E26">
        <w:t>Rahurkar</w:t>
      </w:r>
      <w:proofErr w:type="spellEnd"/>
      <w:r w:rsidRPr="001D7E26">
        <w:t>, S. Public health informatics.</w:t>
      </w:r>
      <w:r w:rsidR="002B6563" w:rsidRPr="001D7E26">
        <w:t xml:space="preserve"> </w:t>
      </w:r>
      <w:r w:rsidRPr="001D7E26">
        <w:t>In Hersh, W. R. &amp; Hoyt, R. T. (2018). </w:t>
      </w:r>
      <w:r w:rsidRPr="001D7E26">
        <w:rPr>
          <w:i/>
          <w:iCs/>
        </w:rPr>
        <w:t>Health informatics: Practical guide.</w:t>
      </w:r>
      <w:r w:rsidRPr="001D7E26">
        <w:t xml:space="preserve"> (7th ed.). lulu.com. </w:t>
      </w:r>
    </w:p>
    <w:p w14:paraId="4258FA99" w14:textId="387B3860" w:rsidR="00271923" w:rsidRDefault="00271923" w:rsidP="00382EAC">
      <w:pPr>
        <w:spacing w:line="480" w:lineRule="auto"/>
        <w:ind w:left="720" w:hanging="720"/>
      </w:pPr>
    </w:p>
    <w:p w14:paraId="22D887ED" w14:textId="77777777" w:rsidR="001D7E26" w:rsidRPr="001D7E26" w:rsidRDefault="001D7E26" w:rsidP="00382EAC">
      <w:pPr>
        <w:spacing w:line="480" w:lineRule="auto"/>
        <w:ind w:left="720" w:hanging="720"/>
      </w:pPr>
    </w:p>
    <w:p w14:paraId="3E8E8D2F" w14:textId="6728E118" w:rsidR="001D7E26" w:rsidRDefault="001D7E26" w:rsidP="00382EAC">
      <w:pPr>
        <w:spacing w:line="480" w:lineRule="auto"/>
        <w:ind w:left="720" w:hanging="720"/>
        <w:rPr>
          <w:rStyle w:val="Hyperlink"/>
        </w:rPr>
      </w:pPr>
      <w:proofErr w:type="spellStart"/>
      <w:r w:rsidRPr="001D7E26">
        <w:t>Esmaeilzadeh</w:t>
      </w:r>
      <w:proofErr w:type="spellEnd"/>
      <w:r w:rsidRPr="001D7E26">
        <w:t xml:space="preserve">, P., &amp; </w:t>
      </w:r>
      <w:proofErr w:type="spellStart"/>
      <w:r w:rsidRPr="001D7E26">
        <w:t>Sambasivan</w:t>
      </w:r>
      <w:proofErr w:type="spellEnd"/>
      <w:r w:rsidRPr="001D7E26">
        <w:t xml:space="preserve">, M. (2016). Health </w:t>
      </w:r>
      <w:r w:rsidR="007B108D">
        <w:t>i</w:t>
      </w:r>
      <w:r w:rsidRPr="001D7E26">
        <w:t xml:space="preserve">nformation </w:t>
      </w:r>
      <w:r w:rsidR="007B108D">
        <w:t>e</w:t>
      </w:r>
      <w:r w:rsidRPr="001D7E26">
        <w:t>xchange (HIE): A literature review, assimilation pattern and a proposed classification for a new policy approach.</w:t>
      </w:r>
      <w:r w:rsidRPr="001D7E26">
        <w:rPr>
          <w:i/>
          <w:iCs/>
        </w:rPr>
        <w:t xml:space="preserve"> Journal of </w:t>
      </w:r>
      <w:r w:rsidR="007B108D">
        <w:rPr>
          <w:i/>
          <w:iCs/>
        </w:rPr>
        <w:t>B</w:t>
      </w:r>
      <w:r w:rsidRPr="001D7E26">
        <w:rPr>
          <w:i/>
          <w:iCs/>
        </w:rPr>
        <w:t>iomedical</w:t>
      </w:r>
      <w:r w:rsidR="007B108D">
        <w:rPr>
          <w:i/>
          <w:iCs/>
        </w:rPr>
        <w:t xml:space="preserve"> I</w:t>
      </w:r>
      <w:r w:rsidRPr="001D7E26">
        <w:rPr>
          <w:i/>
          <w:iCs/>
        </w:rPr>
        <w:t>nformatics</w:t>
      </w:r>
      <w:r w:rsidRPr="001D7E26">
        <w:t>, </w:t>
      </w:r>
      <w:r w:rsidRPr="001D7E26">
        <w:rPr>
          <w:i/>
          <w:iCs/>
        </w:rPr>
        <w:t>64</w:t>
      </w:r>
      <w:r w:rsidRPr="001D7E26">
        <w:t>, 74-86. </w:t>
      </w:r>
      <w:hyperlink r:id="rId7" w:history="1">
        <w:r w:rsidRPr="001D7E26">
          <w:rPr>
            <w:rStyle w:val="Hyperlink"/>
          </w:rPr>
          <w:t>https://doi.org/10.1016/j.jbi.2016.09.011</w:t>
        </w:r>
      </w:hyperlink>
    </w:p>
    <w:p w14:paraId="26503A80" w14:textId="747842CB" w:rsidR="00025300" w:rsidRDefault="00025300" w:rsidP="00382EAC">
      <w:pPr>
        <w:spacing w:line="480" w:lineRule="auto"/>
        <w:ind w:left="720" w:hanging="720"/>
        <w:rPr>
          <w:rStyle w:val="Hyperlink"/>
        </w:rPr>
      </w:pPr>
    </w:p>
    <w:p w14:paraId="67F8993B" w14:textId="77777777" w:rsidR="001D7E26" w:rsidRPr="001D7E26" w:rsidRDefault="001D7E26" w:rsidP="00382EAC">
      <w:pPr>
        <w:spacing w:line="480" w:lineRule="auto"/>
        <w:ind w:left="720" w:hanging="720"/>
      </w:pPr>
    </w:p>
    <w:p w14:paraId="7DCB1BF7" w14:textId="5DD139B0" w:rsidR="001D7E26" w:rsidRDefault="001D7E26" w:rsidP="00382EAC">
      <w:pPr>
        <w:spacing w:line="480" w:lineRule="auto"/>
        <w:ind w:left="720" w:hanging="720"/>
      </w:pPr>
      <w:r w:rsidRPr="001D7E26">
        <w:t>Richardson, M.B., Williams, M.S., Fontaine, K.R., &amp; Allison, D.B. (2017)</w:t>
      </w:r>
      <w:r w:rsidRPr="001D7E26">
        <w:rPr>
          <w:i/>
          <w:iCs/>
        </w:rPr>
        <w:t>. </w:t>
      </w:r>
      <w:r w:rsidRPr="001D7E26">
        <w:t>The development of scientific evidence for health policies for obesity: Why and how?</w:t>
      </w:r>
      <w:r w:rsidRPr="001D7E26">
        <w:rPr>
          <w:i/>
          <w:iCs/>
        </w:rPr>
        <w:t xml:space="preserve"> International Journal of Obesity, 41(6), 1-9.</w:t>
      </w:r>
      <w:r w:rsidR="002B6563">
        <w:t xml:space="preserve"> </w:t>
      </w:r>
      <w:r w:rsidR="002B6563" w:rsidRPr="002B6563">
        <w:rPr>
          <w:i/>
          <w:iCs/>
        </w:rPr>
        <w:t> </w:t>
      </w:r>
      <w:hyperlink r:id="rId8" w:tgtFrame="_blank" w:history="1">
        <w:r w:rsidR="002B6563" w:rsidRPr="002B6563">
          <w:rPr>
            <w:rStyle w:val="Hyperlink"/>
          </w:rPr>
          <w:t>https://doi.org/10.1038/ijo.2017.71</w:t>
        </w:r>
      </w:hyperlink>
      <w:r w:rsidR="002B6563">
        <w:t xml:space="preserve"> </w:t>
      </w:r>
    </w:p>
    <w:p w14:paraId="3E9F08C7" w14:textId="76208D16" w:rsidR="00025300" w:rsidRDefault="00025300" w:rsidP="00382EAC">
      <w:pPr>
        <w:spacing w:line="480" w:lineRule="auto"/>
        <w:ind w:left="720" w:hanging="720"/>
      </w:pPr>
    </w:p>
    <w:p w14:paraId="120E7051" w14:textId="77777777" w:rsidR="001D7E26" w:rsidRPr="001D7E26" w:rsidRDefault="001D7E26" w:rsidP="00382EAC">
      <w:pPr>
        <w:spacing w:line="480" w:lineRule="auto"/>
        <w:ind w:left="720" w:hanging="720"/>
      </w:pPr>
    </w:p>
    <w:p w14:paraId="73FCC60B" w14:textId="552D3F32" w:rsidR="001D7E26" w:rsidRPr="001D7E26" w:rsidRDefault="001D7E26" w:rsidP="00382EAC">
      <w:pPr>
        <w:spacing w:line="480" w:lineRule="auto"/>
        <w:ind w:left="720" w:hanging="720"/>
      </w:pPr>
      <w:r w:rsidRPr="001D7E26">
        <w:t xml:space="preserve">Rudin, R. S., Tang, P. C., &amp; Bates, D. W. (2021). Health </w:t>
      </w:r>
      <w:r w:rsidR="002B6563">
        <w:t>i</w:t>
      </w:r>
      <w:r w:rsidRPr="001D7E26">
        <w:t xml:space="preserve">nformation </w:t>
      </w:r>
      <w:r w:rsidR="002B6563">
        <w:t>t</w:t>
      </w:r>
      <w:r w:rsidRPr="001D7E26">
        <w:t xml:space="preserve">echnology </w:t>
      </w:r>
      <w:r w:rsidR="002B6563">
        <w:t>p</w:t>
      </w:r>
      <w:r w:rsidRPr="001D7E26">
        <w:t xml:space="preserve">olicy. </w:t>
      </w:r>
      <w:r w:rsidR="002B6563" w:rsidRPr="001D7E26">
        <w:t>In Shortliffe</w:t>
      </w:r>
      <w:r w:rsidRPr="001D7E26">
        <w:t>, E. H.  &amp; Cimino, J. J. (Eds.)  &amp; Chiang, M. F. (Co-Ed.).  (2021). </w:t>
      </w:r>
      <w:r w:rsidRPr="001D7E26">
        <w:rPr>
          <w:i/>
          <w:iCs/>
        </w:rPr>
        <w:t>Biomedical informatics: Computer applications in healthcare and biomedicine. </w:t>
      </w:r>
      <w:r w:rsidRPr="001D7E26">
        <w:t xml:space="preserve">(5th ed.). New York: Springer. </w:t>
      </w:r>
    </w:p>
    <w:p w14:paraId="6DEA48A3" w14:textId="4FF178B8" w:rsidR="00734618" w:rsidRDefault="00734618" w:rsidP="00382EAC">
      <w:pPr>
        <w:spacing w:line="480" w:lineRule="auto"/>
        <w:ind w:left="720" w:hanging="720"/>
      </w:pPr>
    </w:p>
    <w:p w14:paraId="2411813A" w14:textId="4E9755DA" w:rsidR="00E07E72" w:rsidRDefault="00E07E72" w:rsidP="00382EAC">
      <w:pPr>
        <w:spacing w:line="480" w:lineRule="auto"/>
        <w:ind w:left="720" w:hanging="720"/>
      </w:pPr>
    </w:p>
    <w:p w14:paraId="1EC5667C" w14:textId="53AF3DB4" w:rsidR="00E07E72" w:rsidRDefault="00E07E72" w:rsidP="00382EAC">
      <w:pPr>
        <w:spacing w:line="480" w:lineRule="auto"/>
        <w:ind w:left="720" w:hanging="720"/>
      </w:pPr>
      <w:r w:rsidRPr="00E07E72">
        <w:lastRenderedPageBreak/>
        <w:t>The Office of the National Coordinator for Health Information Technology (20</w:t>
      </w:r>
      <w:r>
        <w:t>21</w:t>
      </w:r>
      <w:r w:rsidRPr="00E07E72">
        <w:t xml:space="preserve">, August </w:t>
      </w:r>
      <w:r w:rsidR="00A874F6">
        <w:t>3</w:t>
      </w:r>
      <w:r>
        <w:t>1</w:t>
      </w:r>
      <w:r w:rsidRPr="00E07E72">
        <w:t>). </w:t>
      </w:r>
      <w:r w:rsidRPr="00E07E72">
        <w:rPr>
          <w:i/>
          <w:iCs/>
        </w:rPr>
        <w:t xml:space="preserve">2020-2025 </w:t>
      </w:r>
      <w:r>
        <w:rPr>
          <w:i/>
          <w:iCs/>
        </w:rPr>
        <w:t>f</w:t>
      </w:r>
      <w:r w:rsidRPr="00E07E72">
        <w:rPr>
          <w:i/>
          <w:iCs/>
        </w:rPr>
        <w:t xml:space="preserve">ederal </w:t>
      </w:r>
      <w:r>
        <w:rPr>
          <w:i/>
          <w:iCs/>
        </w:rPr>
        <w:t>h</w:t>
      </w:r>
      <w:r w:rsidRPr="00E07E72">
        <w:rPr>
          <w:i/>
          <w:iCs/>
        </w:rPr>
        <w:t xml:space="preserve">ealth IT </w:t>
      </w:r>
      <w:r>
        <w:rPr>
          <w:i/>
          <w:iCs/>
        </w:rPr>
        <w:t>s</w:t>
      </w:r>
      <w:r w:rsidRPr="00E07E72">
        <w:rPr>
          <w:i/>
          <w:iCs/>
        </w:rPr>
        <w:t xml:space="preserve">trategic </w:t>
      </w:r>
      <w:r>
        <w:rPr>
          <w:i/>
          <w:iCs/>
        </w:rPr>
        <w:t>p</w:t>
      </w:r>
      <w:r w:rsidRPr="00E07E72">
        <w:rPr>
          <w:i/>
          <w:iCs/>
        </w:rPr>
        <w:t>lan</w:t>
      </w:r>
      <w:r>
        <w:t xml:space="preserve">. </w:t>
      </w:r>
      <w:r w:rsidRPr="00E07E72">
        <w:t>HealthIT.Gov.</w:t>
      </w:r>
      <w:r>
        <w:t xml:space="preserve"> </w:t>
      </w:r>
      <w:hyperlink r:id="rId9" w:anchor=":~:text=Promote%20Health%20and%20Wellness%3B,Connect%20Healthcare%20with%20Health%20Data" w:history="1">
        <w:r w:rsidRPr="00A141AC">
          <w:rPr>
            <w:rStyle w:val="Hyperlink"/>
          </w:rPr>
          <w:t>https://www.healthit.gov/topic/2020-2025-federal-health-it-strategic-plan#:~:text=Promote%20Health%20and%20Wellness%3B,Connect%20Healthcare%20with%20Health%20Data</w:t>
        </w:r>
      </w:hyperlink>
    </w:p>
    <w:p w14:paraId="422DDA38" w14:textId="5AC4BCA9" w:rsidR="00E07E72" w:rsidRDefault="00E07E72" w:rsidP="00382EAC">
      <w:pPr>
        <w:spacing w:line="480" w:lineRule="auto"/>
        <w:ind w:left="720" w:hanging="720"/>
        <w:rPr>
          <w:b/>
          <w:bCs/>
        </w:rPr>
      </w:pPr>
    </w:p>
    <w:p w14:paraId="72BCC8FF" w14:textId="4F77C2AA" w:rsidR="003B2E80" w:rsidRDefault="003B2E80" w:rsidP="00382EAC">
      <w:pPr>
        <w:spacing w:line="480" w:lineRule="auto"/>
        <w:ind w:left="720" w:hanging="720"/>
      </w:pPr>
    </w:p>
    <w:p w14:paraId="348BB899" w14:textId="769BC83A" w:rsidR="003B2E80" w:rsidRDefault="00E07E72" w:rsidP="00382EAC">
      <w:pPr>
        <w:spacing w:line="480" w:lineRule="auto"/>
        <w:ind w:left="720" w:hanging="720"/>
      </w:pPr>
      <w:r w:rsidRPr="00E07E72">
        <w:t>The Office of the National Coordinator for Health Information Technology (202</w:t>
      </w:r>
      <w:r>
        <w:t>2</w:t>
      </w:r>
      <w:r w:rsidRPr="00E07E72">
        <w:t xml:space="preserve">, </w:t>
      </w:r>
      <w:r>
        <w:t>November</w:t>
      </w:r>
      <w:r w:rsidRPr="00E07E72">
        <w:t xml:space="preserve"> </w:t>
      </w:r>
      <w:r>
        <w:t>17</w:t>
      </w:r>
      <w:r w:rsidRPr="00E07E72">
        <w:t>). </w:t>
      </w:r>
      <w:r w:rsidRPr="00E07E72">
        <w:rPr>
          <w:i/>
          <w:iCs/>
        </w:rPr>
        <w:t xml:space="preserve">Recommendations to the National Coordinator for </w:t>
      </w:r>
      <w:r>
        <w:rPr>
          <w:i/>
          <w:iCs/>
        </w:rPr>
        <w:t>h</w:t>
      </w:r>
      <w:r w:rsidRPr="00E07E72">
        <w:rPr>
          <w:i/>
          <w:iCs/>
        </w:rPr>
        <w:t>ealth IT</w:t>
      </w:r>
      <w:r w:rsidRPr="00E07E72">
        <w:t>. HealthIT.Gov.</w:t>
      </w:r>
      <w:r w:rsidR="00A874F6">
        <w:rPr>
          <w:b/>
          <w:bCs/>
        </w:rPr>
        <w:t xml:space="preserve"> </w:t>
      </w:r>
      <w:hyperlink r:id="rId10" w:history="1">
        <w:r w:rsidR="00A874F6" w:rsidRPr="00A141AC">
          <w:rPr>
            <w:rStyle w:val="Hyperlink"/>
          </w:rPr>
          <w:t>https://www.healthit.gov/topic/federal-advisory-committees/recommendations-national-coordinator-health-it</w:t>
        </w:r>
      </w:hyperlink>
    </w:p>
    <w:p w14:paraId="18750886" w14:textId="5B888391" w:rsidR="00A874F6" w:rsidRDefault="00A874F6" w:rsidP="00382EAC">
      <w:pPr>
        <w:spacing w:line="480" w:lineRule="auto"/>
        <w:ind w:left="720" w:hanging="720"/>
      </w:pPr>
    </w:p>
    <w:p w14:paraId="1F2C3AE1" w14:textId="7EDB7E1C" w:rsidR="00382EAC" w:rsidRDefault="00382EAC" w:rsidP="00382EAC">
      <w:pPr>
        <w:spacing w:line="480" w:lineRule="auto"/>
        <w:ind w:left="720" w:hanging="720"/>
      </w:pPr>
    </w:p>
    <w:p w14:paraId="18CCA336" w14:textId="77777777" w:rsidR="00382EAC" w:rsidRPr="00382EAC" w:rsidRDefault="00382EAC" w:rsidP="00382EAC">
      <w:pPr>
        <w:spacing w:line="480" w:lineRule="auto"/>
        <w:ind w:left="720" w:hanging="720"/>
      </w:pPr>
      <w:r w:rsidRPr="00382EAC">
        <w:t xml:space="preserve">Wade, T. D. (2014). Traits and types of health data repositories. </w:t>
      </w:r>
      <w:r w:rsidRPr="00382EAC">
        <w:rPr>
          <w:i/>
          <w:iCs/>
        </w:rPr>
        <w:t>Health Information Science and Systems</w:t>
      </w:r>
      <w:r w:rsidRPr="00382EAC">
        <w:t xml:space="preserve">, </w:t>
      </w:r>
      <w:r w:rsidRPr="00382EAC">
        <w:rPr>
          <w:i/>
          <w:iCs/>
        </w:rPr>
        <w:t>2</w:t>
      </w:r>
      <w:r w:rsidRPr="00382EAC">
        <w:t xml:space="preserve">(1). </w:t>
      </w:r>
      <w:hyperlink r:id="rId11" w:history="1">
        <w:r w:rsidRPr="00382EAC">
          <w:rPr>
            <w:rStyle w:val="Hyperlink"/>
          </w:rPr>
          <w:t>https://doi.org/10.1186/2047-2501-2-4</w:t>
        </w:r>
      </w:hyperlink>
    </w:p>
    <w:p w14:paraId="7D9E0CE1" w14:textId="77777777" w:rsidR="00382EAC" w:rsidRPr="00382EAC" w:rsidRDefault="00382EAC" w:rsidP="00382EAC">
      <w:pPr>
        <w:spacing w:line="480" w:lineRule="auto"/>
      </w:pPr>
    </w:p>
    <w:p w14:paraId="4581F71A" w14:textId="77777777" w:rsidR="00382EAC" w:rsidRPr="00A874F6" w:rsidRDefault="00382EAC" w:rsidP="00382EAC">
      <w:pPr>
        <w:spacing w:line="480" w:lineRule="auto"/>
      </w:pPr>
    </w:p>
    <w:p w14:paraId="2C4D6EB8" w14:textId="77777777" w:rsidR="003B2E80" w:rsidRDefault="003B2E80" w:rsidP="00382EAC">
      <w:pPr>
        <w:spacing w:line="480" w:lineRule="auto"/>
      </w:pPr>
    </w:p>
    <w:p w14:paraId="480E707A" w14:textId="77777777" w:rsidR="00510AB9" w:rsidRDefault="00510AB9" w:rsidP="00382EAC">
      <w:pPr>
        <w:spacing w:line="480" w:lineRule="auto"/>
      </w:pPr>
    </w:p>
    <w:sectPr w:rsidR="00510AB9">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D1245" w14:textId="77777777" w:rsidR="00AE17B7" w:rsidRDefault="00AE17B7" w:rsidP="00412EC1">
      <w:r>
        <w:separator/>
      </w:r>
    </w:p>
  </w:endnote>
  <w:endnote w:type="continuationSeparator" w:id="0">
    <w:p w14:paraId="57761E79" w14:textId="77777777" w:rsidR="00AE17B7" w:rsidRDefault="00AE17B7" w:rsidP="00412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DCFDA" w14:textId="77777777" w:rsidR="00AE17B7" w:rsidRDefault="00AE17B7" w:rsidP="00412EC1">
      <w:r>
        <w:separator/>
      </w:r>
    </w:p>
  </w:footnote>
  <w:footnote w:type="continuationSeparator" w:id="0">
    <w:p w14:paraId="71963068" w14:textId="77777777" w:rsidR="00AE17B7" w:rsidRDefault="00AE17B7" w:rsidP="00412E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5499404"/>
      <w:docPartObj>
        <w:docPartGallery w:val="Page Numbers (Top of Page)"/>
        <w:docPartUnique/>
      </w:docPartObj>
    </w:sdtPr>
    <w:sdtContent>
      <w:p w14:paraId="46489C95" w14:textId="64C2819E" w:rsidR="00412EC1" w:rsidRDefault="00412EC1" w:rsidP="00A141A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9564CB" w14:textId="77777777" w:rsidR="00412EC1" w:rsidRDefault="00412EC1" w:rsidP="00412EC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5838757"/>
      <w:docPartObj>
        <w:docPartGallery w:val="Page Numbers (Top of Page)"/>
        <w:docPartUnique/>
      </w:docPartObj>
    </w:sdtPr>
    <w:sdtContent>
      <w:p w14:paraId="3B6D3CE2" w14:textId="570DAA0C" w:rsidR="00412EC1" w:rsidRDefault="00412EC1" w:rsidP="00A141A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77F40F" w14:textId="0ADF8CD9" w:rsidR="00412EC1" w:rsidRDefault="00412EC1" w:rsidP="00412EC1">
    <w:pPr>
      <w:pStyle w:val="Header"/>
      <w:tabs>
        <w:tab w:val="clear" w:pos="4680"/>
        <w:tab w:val="clear" w:pos="9360"/>
        <w:tab w:val="left" w:pos="3902"/>
      </w:tabs>
      <w:ind w:right="360"/>
    </w:pPr>
    <w:r>
      <w:t>CIS Discussion-13</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B3DE5"/>
    <w:multiLevelType w:val="hybridMultilevel"/>
    <w:tmpl w:val="4782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7A1CAC"/>
    <w:multiLevelType w:val="multilevel"/>
    <w:tmpl w:val="4252BD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634D5095"/>
    <w:multiLevelType w:val="multilevel"/>
    <w:tmpl w:val="437C76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396007867">
    <w:abstractNumId w:val="2"/>
  </w:num>
  <w:num w:numId="2" w16cid:durableId="1533684224">
    <w:abstractNumId w:val="1"/>
  </w:num>
  <w:num w:numId="3" w16cid:durableId="2108455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93"/>
    <w:rsid w:val="00010B49"/>
    <w:rsid w:val="00025300"/>
    <w:rsid w:val="00040A1E"/>
    <w:rsid w:val="00075342"/>
    <w:rsid w:val="00081606"/>
    <w:rsid w:val="000A77F1"/>
    <w:rsid w:val="000B7847"/>
    <w:rsid w:val="00131EEE"/>
    <w:rsid w:val="001C27AC"/>
    <w:rsid w:val="001D593A"/>
    <w:rsid w:val="001D7A0C"/>
    <w:rsid w:val="001D7E26"/>
    <w:rsid w:val="001F0B95"/>
    <w:rsid w:val="002067B4"/>
    <w:rsid w:val="00271923"/>
    <w:rsid w:val="002733CD"/>
    <w:rsid w:val="002B6563"/>
    <w:rsid w:val="003045CB"/>
    <w:rsid w:val="00311EDC"/>
    <w:rsid w:val="00382EAC"/>
    <w:rsid w:val="003A1478"/>
    <w:rsid w:val="003B2E80"/>
    <w:rsid w:val="00412EC1"/>
    <w:rsid w:val="00435AB5"/>
    <w:rsid w:val="0045759D"/>
    <w:rsid w:val="004C20E5"/>
    <w:rsid w:val="004D10D0"/>
    <w:rsid w:val="0050051C"/>
    <w:rsid w:val="00510AB9"/>
    <w:rsid w:val="00516F1E"/>
    <w:rsid w:val="005563A8"/>
    <w:rsid w:val="005C04F1"/>
    <w:rsid w:val="0064434A"/>
    <w:rsid w:val="00652105"/>
    <w:rsid w:val="00685D15"/>
    <w:rsid w:val="006E36C4"/>
    <w:rsid w:val="0071303D"/>
    <w:rsid w:val="00734618"/>
    <w:rsid w:val="00742631"/>
    <w:rsid w:val="007B108D"/>
    <w:rsid w:val="007B7F76"/>
    <w:rsid w:val="007D144C"/>
    <w:rsid w:val="008148D1"/>
    <w:rsid w:val="00844FB8"/>
    <w:rsid w:val="00851D86"/>
    <w:rsid w:val="00890FFE"/>
    <w:rsid w:val="0089115C"/>
    <w:rsid w:val="008962F2"/>
    <w:rsid w:val="009B54CD"/>
    <w:rsid w:val="00A46606"/>
    <w:rsid w:val="00A46D1E"/>
    <w:rsid w:val="00A71893"/>
    <w:rsid w:val="00A81071"/>
    <w:rsid w:val="00A874F6"/>
    <w:rsid w:val="00AE17B7"/>
    <w:rsid w:val="00B13859"/>
    <w:rsid w:val="00B17519"/>
    <w:rsid w:val="00B219ED"/>
    <w:rsid w:val="00B44586"/>
    <w:rsid w:val="00B55FD1"/>
    <w:rsid w:val="00B6410F"/>
    <w:rsid w:val="00B6761C"/>
    <w:rsid w:val="00B863E4"/>
    <w:rsid w:val="00BC24FC"/>
    <w:rsid w:val="00C3541D"/>
    <w:rsid w:val="00C57D68"/>
    <w:rsid w:val="00D84B9D"/>
    <w:rsid w:val="00DA7269"/>
    <w:rsid w:val="00DE56F3"/>
    <w:rsid w:val="00DE59CD"/>
    <w:rsid w:val="00E07E72"/>
    <w:rsid w:val="00E312D8"/>
    <w:rsid w:val="00ED60F3"/>
    <w:rsid w:val="00F03426"/>
    <w:rsid w:val="00F70E1A"/>
    <w:rsid w:val="00F9285A"/>
    <w:rsid w:val="00F9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74C7C1"/>
  <w15:chartTrackingRefBased/>
  <w15:docId w15:val="{739CFEFC-DCC0-E741-894C-A06964698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E7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4618"/>
    <w:rPr>
      <w:color w:val="0563C1" w:themeColor="hyperlink"/>
      <w:u w:val="single"/>
    </w:rPr>
  </w:style>
  <w:style w:type="character" w:styleId="UnresolvedMention">
    <w:name w:val="Unresolved Mention"/>
    <w:basedOn w:val="DefaultParagraphFont"/>
    <w:uiPriority w:val="99"/>
    <w:semiHidden/>
    <w:unhideWhenUsed/>
    <w:rsid w:val="00734618"/>
    <w:rPr>
      <w:color w:val="605E5C"/>
      <w:shd w:val="clear" w:color="auto" w:fill="E1DFDD"/>
    </w:rPr>
  </w:style>
  <w:style w:type="paragraph" w:styleId="ListParagraph">
    <w:name w:val="List Paragraph"/>
    <w:basedOn w:val="Normal"/>
    <w:uiPriority w:val="34"/>
    <w:qFormat/>
    <w:rsid w:val="00435AB5"/>
    <w:pPr>
      <w:ind w:left="720"/>
      <w:contextualSpacing/>
    </w:pPr>
  </w:style>
  <w:style w:type="character" w:styleId="FollowedHyperlink">
    <w:name w:val="FollowedHyperlink"/>
    <w:basedOn w:val="DefaultParagraphFont"/>
    <w:uiPriority w:val="99"/>
    <w:semiHidden/>
    <w:unhideWhenUsed/>
    <w:rsid w:val="00B863E4"/>
    <w:rPr>
      <w:color w:val="954F72" w:themeColor="followedHyperlink"/>
      <w:u w:val="single"/>
    </w:rPr>
  </w:style>
  <w:style w:type="character" w:customStyle="1" w:styleId="Heading1Char">
    <w:name w:val="Heading 1 Char"/>
    <w:basedOn w:val="DefaultParagraphFont"/>
    <w:link w:val="Heading1"/>
    <w:uiPriority w:val="9"/>
    <w:rsid w:val="00E07E7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12EC1"/>
    <w:pPr>
      <w:tabs>
        <w:tab w:val="center" w:pos="4680"/>
        <w:tab w:val="right" w:pos="9360"/>
      </w:tabs>
    </w:pPr>
  </w:style>
  <w:style w:type="character" w:customStyle="1" w:styleId="HeaderChar">
    <w:name w:val="Header Char"/>
    <w:basedOn w:val="DefaultParagraphFont"/>
    <w:link w:val="Header"/>
    <w:uiPriority w:val="99"/>
    <w:rsid w:val="00412EC1"/>
  </w:style>
  <w:style w:type="paragraph" w:styleId="Footer">
    <w:name w:val="footer"/>
    <w:basedOn w:val="Normal"/>
    <w:link w:val="FooterChar"/>
    <w:uiPriority w:val="99"/>
    <w:unhideWhenUsed/>
    <w:rsid w:val="00412EC1"/>
    <w:pPr>
      <w:tabs>
        <w:tab w:val="center" w:pos="4680"/>
        <w:tab w:val="right" w:pos="9360"/>
      </w:tabs>
    </w:pPr>
  </w:style>
  <w:style w:type="character" w:customStyle="1" w:styleId="FooterChar">
    <w:name w:val="Footer Char"/>
    <w:basedOn w:val="DefaultParagraphFont"/>
    <w:link w:val="Footer"/>
    <w:uiPriority w:val="99"/>
    <w:rsid w:val="00412EC1"/>
  </w:style>
  <w:style w:type="character" w:styleId="PageNumber">
    <w:name w:val="page number"/>
    <w:basedOn w:val="DefaultParagraphFont"/>
    <w:uiPriority w:val="99"/>
    <w:semiHidden/>
    <w:unhideWhenUsed/>
    <w:rsid w:val="00412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44093">
      <w:bodyDiv w:val="1"/>
      <w:marLeft w:val="0"/>
      <w:marRight w:val="0"/>
      <w:marTop w:val="0"/>
      <w:marBottom w:val="0"/>
      <w:divBdr>
        <w:top w:val="none" w:sz="0" w:space="0" w:color="auto"/>
        <w:left w:val="none" w:sz="0" w:space="0" w:color="auto"/>
        <w:bottom w:val="none" w:sz="0" w:space="0" w:color="auto"/>
        <w:right w:val="none" w:sz="0" w:space="0" w:color="auto"/>
      </w:divBdr>
      <w:divsChild>
        <w:div w:id="1287545546">
          <w:marLeft w:val="0"/>
          <w:marRight w:val="0"/>
          <w:marTop w:val="0"/>
          <w:marBottom w:val="0"/>
          <w:divBdr>
            <w:top w:val="none" w:sz="0" w:space="0" w:color="auto"/>
            <w:left w:val="none" w:sz="0" w:space="0" w:color="auto"/>
            <w:bottom w:val="none" w:sz="0" w:space="0" w:color="auto"/>
            <w:right w:val="none" w:sz="0" w:space="0" w:color="auto"/>
          </w:divBdr>
        </w:div>
        <w:div w:id="2141217532">
          <w:marLeft w:val="0"/>
          <w:marRight w:val="0"/>
          <w:marTop w:val="0"/>
          <w:marBottom w:val="0"/>
          <w:divBdr>
            <w:top w:val="none" w:sz="0" w:space="0" w:color="auto"/>
            <w:left w:val="none" w:sz="0" w:space="0" w:color="auto"/>
            <w:bottom w:val="none" w:sz="0" w:space="0" w:color="auto"/>
            <w:right w:val="none" w:sz="0" w:space="0" w:color="auto"/>
          </w:divBdr>
          <w:divsChild>
            <w:div w:id="26438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750">
      <w:bodyDiv w:val="1"/>
      <w:marLeft w:val="0"/>
      <w:marRight w:val="0"/>
      <w:marTop w:val="0"/>
      <w:marBottom w:val="0"/>
      <w:divBdr>
        <w:top w:val="none" w:sz="0" w:space="0" w:color="auto"/>
        <w:left w:val="none" w:sz="0" w:space="0" w:color="auto"/>
        <w:bottom w:val="none" w:sz="0" w:space="0" w:color="auto"/>
        <w:right w:val="none" w:sz="0" w:space="0" w:color="auto"/>
      </w:divBdr>
    </w:div>
    <w:div w:id="704215249">
      <w:bodyDiv w:val="1"/>
      <w:marLeft w:val="0"/>
      <w:marRight w:val="0"/>
      <w:marTop w:val="0"/>
      <w:marBottom w:val="0"/>
      <w:divBdr>
        <w:top w:val="none" w:sz="0" w:space="0" w:color="auto"/>
        <w:left w:val="none" w:sz="0" w:space="0" w:color="auto"/>
        <w:bottom w:val="none" w:sz="0" w:space="0" w:color="auto"/>
        <w:right w:val="none" w:sz="0" w:space="0" w:color="auto"/>
      </w:divBdr>
      <w:divsChild>
        <w:div w:id="112672020">
          <w:marLeft w:val="0"/>
          <w:marRight w:val="0"/>
          <w:marTop w:val="0"/>
          <w:marBottom w:val="0"/>
          <w:divBdr>
            <w:top w:val="none" w:sz="0" w:space="0" w:color="auto"/>
            <w:left w:val="none" w:sz="0" w:space="0" w:color="auto"/>
            <w:bottom w:val="none" w:sz="0" w:space="0" w:color="auto"/>
            <w:right w:val="none" w:sz="0" w:space="0" w:color="auto"/>
          </w:divBdr>
        </w:div>
        <w:div w:id="1976636835">
          <w:marLeft w:val="0"/>
          <w:marRight w:val="0"/>
          <w:marTop w:val="0"/>
          <w:marBottom w:val="0"/>
          <w:divBdr>
            <w:top w:val="none" w:sz="0" w:space="0" w:color="auto"/>
            <w:left w:val="none" w:sz="0" w:space="0" w:color="auto"/>
            <w:bottom w:val="none" w:sz="0" w:space="0" w:color="auto"/>
            <w:right w:val="none" w:sz="0" w:space="0" w:color="auto"/>
          </w:divBdr>
          <w:divsChild>
            <w:div w:id="14205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6735">
      <w:bodyDiv w:val="1"/>
      <w:marLeft w:val="0"/>
      <w:marRight w:val="0"/>
      <w:marTop w:val="0"/>
      <w:marBottom w:val="0"/>
      <w:divBdr>
        <w:top w:val="none" w:sz="0" w:space="0" w:color="auto"/>
        <w:left w:val="none" w:sz="0" w:space="0" w:color="auto"/>
        <w:bottom w:val="none" w:sz="0" w:space="0" w:color="auto"/>
        <w:right w:val="none" w:sz="0" w:space="0" w:color="auto"/>
      </w:divBdr>
    </w:div>
    <w:div w:id="1324554428">
      <w:bodyDiv w:val="1"/>
      <w:marLeft w:val="0"/>
      <w:marRight w:val="0"/>
      <w:marTop w:val="0"/>
      <w:marBottom w:val="0"/>
      <w:divBdr>
        <w:top w:val="none" w:sz="0" w:space="0" w:color="auto"/>
        <w:left w:val="none" w:sz="0" w:space="0" w:color="auto"/>
        <w:bottom w:val="none" w:sz="0" w:space="0" w:color="auto"/>
        <w:right w:val="none" w:sz="0" w:space="0" w:color="auto"/>
      </w:divBdr>
    </w:div>
    <w:div w:id="1660841771">
      <w:bodyDiv w:val="1"/>
      <w:marLeft w:val="0"/>
      <w:marRight w:val="0"/>
      <w:marTop w:val="0"/>
      <w:marBottom w:val="0"/>
      <w:divBdr>
        <w:top w:val="none" w:sz="0" w:space="0" w:color="auto"/>
        <w:left w:val="none" w:sz="0" w:space="0" w:color="auto"/>
        <w:bottom w:val="none" w:sz="0" w:space="0" w:color="auto"/>
        <w:right w:val="none" w:sz="0" w:space="0" w:color="auto"/>
      </w:divBdr>
    </w:div>
    <w:div w:id="1891187741">
      <w:bodyDiv w:val="1"/>
      <w:marLeft w:val="0"/>
      <w:marRight w:val="0"/>
      <w:marTop w:val="0"/>
      <w:marBottom w:val="0"/>
      <w:divBdr>
        <w:top w:val="none" w:sz="0" w:space="0" w:color="auto"/>
        <w:left w:val="none" w:sz="0" w:space="0" w:color="auto"/>
        <w:bottom w:val="none" w:sz="0" w:space="0" w:color="auto"/>
        <w:right w:val="none" w:sz="0" w:space="0" w:color="auto"/>
      </w:divBdr>
      <w:divsChild>
        <w:div w:id="536310528">
          <w:marLeft w:val="0"/>
          <w:marRight w:val="0"/>
          <w:marTop w:val="0"/>
          <w:marBottom w:val="0"/>
          <w:divBdr>
            <w:top w:val="none" w:sz="0" w:space="0" w:color="auto"/>
            <w:left w:val="none" w:sz="0" w:space="0" w:color="auto"/>
            <w:bottom w:val="none" w:sz="0" w:space="0" w:color="auto"/>
            <w:right w:val="none" w:sz="0" w:space="0" w:color="auto"/>
          </w:divBdr>
        </w:div>
        <w:div w:id="1374160292">
          <w:marLeft w:val="0"/>
          <w:marRight w:val="0"/>
          <w:marTop w:val="0"/>
          <w:marBottom w:val="0"/>
          <w:divBdr>
            <w:top w:val="none" w:sz="0" w:space="0" w:color="auto"/>
            <w:left w:val="none" w:sz="0" w:space="0" w:color="auto"/>
            <w:bottom w:val="none" w:sz="0" w:space="0" w:color="auto"/>
            <w:right w:val="none" w:sz="0" w:space="0" w:color="auto"/>
          </w:divBdr>
          <w:divsChild>
            <w:div w:id="15932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4755">
      <w:bodyDiv w:val="1"/>
      <w:marLeft w:val="0"/>
      <w:marRight w:val="0"/>
      <w:marTop w:val="0"/>
      <w:marBottom w:val="0"/>
      <w:divBdr>
        <w:top w:val="none" w:sz="0" w:space="0" w:color="auto"/>
        <w:left w:val="none" w:sz="0" w:space="0" w:color="auto"/>
        <w:bottom w:val="none" w:sz="0" w:space="0" w:color="auto"/>
        <w:right w:val="none" w:sz="0" w:space="0" w:color="auto"/>
      </w:divBdr>
    </w:div>
    <w:div w:id="2014412005">
      <w:bodyDiv w:val="1"/>
      <w:marLeft w:val="0"/>
      <w:marRight w:val="0"/>
      <w:marTop w:val="0"/>
      <w:marBottom w:val="0"/>
      <w:divBdr>
        <w:top w:val="none" w:sz="0" w:space="0" w:color="auto"/>
        <w:left w:val="none" w:sz="0" w:space="0" w:color="auto"/>
        <w:bottom w:val="none" w:sz="0" w:space="0" w:color="auto"/>
        <w:right w:val="none" w:sz="0" w:space="0" w:color="auto"/>
      </w:divBdr>
      <w:divsChild>
        <w:div w:id="1561866652">
          <w:marLeft w:val="0"/>
          <w:marRight w:val="0"/>
          <w:marTop w:val="0"/>
          <w:marBottom w:val="0"/>
          <w:divBdr>
            <w:top w:val="none" w:sz="0" w:space="0" w:color="auto"/>
            <w:left w:val="none" w:sz="0" w:space="0" w:color="auto"/>
            <w:bottom w:val="none" w:sz="0" w:space="0" w:color="auto"/>
            <w:right w:val="none" w:sz="0" w:space="0" w:color="auto"/>
          </w:divBdr>
        </w:div>
        <w:div w:id="647979054">
          <w:marLeft w:val="0"/>
          <w:marRight w:val="0"/>
          <w:marTop w:val="0"/>
          <w:marBottom w:val="0"/>
          <w:divBdr>
            <w:top w:val="none" w:sz="0" w:space="0" w:color="auto"/>
            <w:left w:val="none" w:sz="0" w:space="0" w:color="auto"/>
            <w:bottom w:val="none" w:sz="0" w:space="0" w:color="auto"/>
            <w:right w:val="none" w:sz="0" w:space="0" w:color="auto"/>
          </w:divBdr>
          <w:divsChild>
            <w:div w:id="9781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ijo.2017.71"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doi.org/10.1016/j.jbi.2016.09.011"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86/2047-2501-2-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healthit.gov/topic/federal-advisory-committees/recommendations-national-coordinator-health-it" TargetMode="External"/><Relationship Id="rId4" Type="http://schemas.openxmlformats.org/officeDocument/2006/relationships/webSettings" Target="webSettings.xml"/><Relationship Id="rId9" Type="http://schemas.openxmlformats.org/officeDocument/2006/relationships/hyperlink" Target="https://www.healthit.gov/topic/2020-2025-federal-health-it-strategic-pl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TUMMALA, SAI SREYA</dc:creator>
  <cp:keywords/>
  <dc:description/>
  <cp:lastModifiedBy>TUMMALA, SAI SREYA</cp:lastModifiedBy>
  <cp:revision>53</cp:revision>
  <dcterms:created xsi:type="dcterms:W3CDTF">2022-11-14T18:46:00Z</dcterms:created>
  <dcterms:modified xsi:type="dcterms:W3CDTF">2022-11-19T04:41:00Z</dcterms:modified>
</cp:coreProperties>
</file>