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3E" w:rsidRDefault="005A3FD9" w:rsidP="002B2B3E">
      <w:pPr>
        <w:autoSpaceDE w:val="0"/>
        <w:autoSpaceDN w:val="0"/>
        <w:adjustRightInd w:val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UE17</w:t>
      </w:r>
      <w:r w:rsidR="00421C1E">
        <w:rPr>
          <w:rFonts w:cs="Calibri"/>
          <w:b/>
          <w:bCs/>
        </w:rPr>
        <w:t>CS202: Data Structure</w:t>
      </w:r>
      <w:r>
        <w:rPr>
          <w:rFonts w:cs="Calibri"/>
          <w:b/>
          <w:bCs/>
        </w:rPr>
        <w:t>s</w:t>
      </w:r>
    </w:p>
    <w:p w:rsidR="00660B40" w:rsidRPr="002D4687" w:rsidRDefault="00421C1E" w:rsidP="009B00AD">
      <w:pPr>
        <w:tabs>
          <w:tab w:val="left" w:pos="2610"/>
        </w:tabs>
        <w:autoSpaceDE w:val="0"/>
        <w:autoSpaceDN w:val="0"/>
        <w:adjustRightInd w:val="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  <w:r w:rsidR="00C05A68" w:rsidRPr="006C744C">
        <w:rPr>
          <w:rFonts w:cs="Calibri"/>
          <w:b/>
          <w:bCs/>
        </w:rPr>
        <w:t xml:space="preserve"> </w:t>
      </w:r>
      <w:r w:rsidR="00C05A68" w:rsidRPr="006C744C">
        <w:rPr>
          <w:rFonts w:cs="Calibri"/>
          <w:b/>
          <w:bCs/>
        </w:rPr>
        <w:tab/>
      </w:r>
    </w:p>
    <w:p w:rsidR="002B2B3E" w:rsidRPr="002D4687" w:rsidRDefault="002B2B3E" w:rsidP="002B2B3E">
      <w:pPr>
        <w:pStyle w:val="Title"/>
        <w:jc w:val="left"/>
        <w:rPr>
          <w:rFonts w:asciiTheme="minorHAnsi" w:hAnsiTheme="minorHAnsi" w:cs="Calibri"/>
          <w:sz w:val="22"/>
          <w:szCs w:val="22"/>
        </w:rPr>
      </w:pPr>
      <w:r w:rsidRPr="002D4687">
        <w:rPr>
          <w:rFonts w:asciiTheme="minorHAnsi" w:hAnsiTheme="minorHAnsi" w:cs="Calibri"/>
          <w:sz w:val="22"/>
          <w:szCs w:val="22"/>
        </w:rPr>
        <w:t xml:space="preserve"># </w:t>
      </w:r>
      <w:proofErr w:type="gramStart"/>
      <w:r w:rsidRPr="002D4687">
        <w:rPr>
          <w:rFonts w:asciiTheme="minorHAnsi" w:hAnsiTheme="minorHAnsi" w:cs="Calibri"/>
          <w:sz w:val="22"/>
          <w:szCs w:val="22"/>
        </w:rPr>
        <w:t>of</w:t>
      </w:r>
      <w:proofErr w:type="gramEnd"/>
      <w:r w:rsidRPr="002D4687">
        <w:rPr>
          <w:rFonts w:asciiTheme="minorHAnsi" w:hAnsiTheme="minorHAnsi" w:cs="Calibri"/>
          <w:sz w:val="22"/>
          <w:szCs w:val="22"/>
        </w:rPr>
        <w:t xml:space="preserve"> Credits: 4</w:t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  <w:t xml:space="preserve"> </w:t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</w:r>
      <w:r w:rsidRPr="002D4687">
        <w:rPr>
          <w:rFonts w:asciiTheme="minorHAnsi" w:hAnsiTheme="minorHAnsi" w:cs="Calibri"/>
          <w:sz w:val="22"/>
          <w:szCs w:val="22"/>
        </w:rPr>
        <w:tab/>
        <w:t xml:space="preserve">          </w:t>
      </w:r>
      <w:r w:rsidRPr="002D4687">
        <w:rPr>
          <w:rFonts w:asciiTheme="minorHAnsi" w:hAnsiTheme="minorHAnsi" w:cs="Calibri"/>
          <w:sz w:val="22"/>
          <w:szCs w:val="22"/>
        </w:rPr>
        <w:tab/>
        <w:t xml:space="preserve">   # of Hrs: 52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493"/>
        <w:gridCol w:w="4560"/>
        <w:gridCol w:w="1310"/>
        <w:gridCol w:w="1446"/>
      </w:tblGrid>
      <w:tr w:rsidR="002B2B3E" w:rsidRPr="002D4687" w:rsidTr="005328F5">
        <w:trPr>
          <w:cantSplit/>
          <w:trHeight w:val="20"/>
          <w:jc w:val="center"/>
        </w:trPr>
        <w:tc>
          <w:tcPr>
            <w:tcW w:w="400" w:type="pct"/>
            <w:vMerge w:val="restar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  <w:r w:rsidRPr="002D4687">
              <w:rPr>
                <w:rFonts w:cs="Calibri"/>
                <w:b/>
                <w:bCs/>
                <w:snapToGrid w:val="0"/>
                <w:color w:val="000000"/>
              </w:rPr>
              <w:t>CLASS</w:t>
            </w:r>
          </w:p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  <w:r w:rsidRPr="002D4687">
              <w:rPr>
                <w:rFonts w:cs="Calibri"/>
                <w:b/>
                <w:bCs/>
                <w:snapToGrid w:val="0"/>
                <w:color w:val="000000"/>
              </w:rPr>
              <w:t>#</w:t>
            </w:r>
          </w:p>
        </w:tc>
        <w:tc>
          <w:tcPr>
            <w:tcW w:w="780" w:type="pct"/>
            <w:vMerge w:val="restart"/>
            <w:vAlign w:val="center"/>
          </w:tcPr>
          <w:p w:rsidR="002B2B3E" w:rsidRPr="002D4687" w:rsidRDefault="002B2B3E" w:rsidP="002D4687">
            <w:pPr>
              <w:pStyle w:val="BodyText"/>
              <w:jc w:val="center"/>
              <w:rPr>
                <w:rFonts w:asciiTheme="minorHAnsi" w:hAnsiTheme="minorHAnsi" w:cs="Calibri"/>
                <w:snapToGrid w:val="0"/>
                <w:color w:val="000000"/>
                <w:sz w:val="22"/>
                <w:szCs w:val="22"/>
              </w:rPr>
            </w:pPr>
            <w:r w:rsidRPr="002D4687">
              <w:rPr>
                <w:rFonts w:asciiTheme="minorHAnsi" w:hAnsiTheme="minorHAnsi" w:cs="Calibri"/>
                <w:snapToGrid w:val="0"/>
                <w:color w:val="000000"/>
                <w:sz w:val="22"/>
                <w:szCs w:val="22"/>
              </w:rPr>
              <w:t>CHAPTER TITLE / REFERENCE</w:t>
            </w:r>
          </w:p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  <w:r w:rsidRPr="002D4687">
              <w:rPr>
                <w:rFonts w:cs="Calibri"/>
                <w:b/>
                <w:bCs/>
                <w:snapToGrid w:val="0"/>
                <w:color w:val="000000"/>
              </w:rPr>
              <w:t>LITERATURE</w:t>
            </w:r>
          </w:p>
        </w:tc>
        <w:tc>
          <w:tcPr>
            <w:tcW w:w="2381" w:type="pct"/>
            <w:vMerge w:val="restart"/>
            <w:vAlign w:val="center"/>
          </w:tcPr>
          <w:p w:rsidR="002B2B3E" w:rsidRPr="002D4687" w:rsidRDefault="002B2B3E" w:rsidP="002D4687">
            <w:pPr>
              <w:pStyle w:val="Heading1"/>
              <w:spacing w:before="0" w:after="0"/>
              <w:rPr>
                <w:rFonts w:asciiTheme="minorHAnsi" w:hAnsiTheme="minorHAnsi" w:cs="Calibri"/>
                <w:snapToGrid w:val="0"/>
                <w:color w:val="000000"/>
                <w:sz w:val="22"/>
                <w:szCs w:val="22"/>
              </w:rPr>
            </w:pPr>
            <w:r w:rsidRPr="002D4687">
              <w:rPr>
                <w:rFonts w:asciiTheme="minorHAnsi" w:hAnsiTheme="minorHAnsi" w:cs="Calibri"/>
                <w:snapToGrid w:val="0"/>
                <w:color w:val="000000"/>
                <w:sz w:val="22"/>
                <w:szCs w:val="22"/>
              </w:rPr>
              <w:t>TOPIC TO BE COVERED</w:t>
            </w:r>
          </w:p>
        </w:tc>
        <w:tc>
          <w:tcPr>
            <w:tcW w:w="1439" w:type="pct"/>
            <w:gridSpan w:val="2"/>
            <w:vAlign w:val="center"/>
          </w:tcPr>
          <w:p w:rsidR="002B2B3E" w:rsidRPr="002D4687" w:rsidRDefault="002B2B3E" w:rsidP="002D4687">
            <w:pPr>
              <w:pStyle w:val="Heading6"/>
              <w:spacing w:before="0" w:after="0"/>
              <w:jc w:val="center"/>
              <w:rPr>
                <w:rFonts w:asciiTheme="minorHAnsi" w:hAnsiTheme="minorHAnsi" w:cs="Calibri"/>
                <w:snapToGrid w:val="0"/>
                <w:color w:val="000000"/>
              </w:rPr>
            </w:pPr>
            <w:r w:rsidRPr="002D4687">
              <w:rPr>
                <w:rFonts w:asciiTheme="minorHAnsi" w:hAnsiTheme="minorHAnsi" w:cs="Calibri"/>
                <w:snapToGrid w:val="0"/>
                <w:color w:val="000000"/>
              </w:rPr>
              <w:t>% OF PORTIONS COVERED</w:t>
            </w:r>
          </w:p>
        </w:tc>
      </w:tr>
      <w:tr w:rsidR="002B2B3E" w:rsidRPr="002D4687" w:rsidTr="005328F5">
        <w:trPr>
          <w:cantSplit/>
          <w:trHeight w:val="20"/>
          <w:jc w:val="center"/>
        </w:trPr>
        <w:tc>
          <w:tcPr>
            <w:tcW w:w="400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</w:p>
        </w:tc>
        <w:tc>
          <w:tcPr>
            <w:tcW w:w="780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</w:p>
        </w:tc>
        <w:tc>
          <w:tcPr>
            <w:tcW w:w="2381" w:type="pct"/>
            <w:vMerge/>
            <w:vAlign w:val="center"/>
          </w:tcPr>
          <w:p w:rsidR="002B2B3E" w:rsidRPr="002D4687" w:rsidRDefault="002B2B3E" w:rsidP="002D4687">
            <w:pPr>
              <w:pStyle w:val="Heading1"/>
              <w:spacing w:before="0" w:after="0"/>
              <w:rPr>
                <w:rFonts w:asciiTheme="minorHAnsi" w:hAnsiTheme="minorHAns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  <w:b/>
                <w:bCs/>
                <w:snapToGrid w:val="0"/>
                <w:color w:val="000000"/>
              </w:rPr>
            </w:pPr>
            <w:r w:rsidRPr="002D4687">
              <w:rPr>
                <w:rFonts w:cs="Calibri"/>
                <w:b/>
                <w:bCs/>
                <w:snapToGrid w:val="0"/>
                <w:color w:val="000000"/>
              </w:rPr>
              <w:t>REFERENCE CHAPTER</w:t>
            </w:r>
          </w:p>
        </w:tc>
        <w:tc>
          <w:tcPr>
            <w:tcW w:w="755" w:type="pct"/>
            <w:vAlign w:val="center"/>
          </w:tcPr>
          <w:p w:rsidR="002B2B3E" w:rsidRPr="002D4687" w:rsidRDefault="002B2B3E" w:rsidP="002D4687">
            <w:pPr>
              <w:pStyle w:val="Heading6"/>
              <w:spacing w:before="0" w:after="0"/>
              <w:jc w:val="center"/>
              <w:rPr>
                <w:rFonts w:asciiTheme="minorHAnsi" w:hAnsiTheme="minorHAnsi" w:cs="Calibri"/>
                <w:snapToGrid w:val="0"/>
                <w:color w:val="000000"/>
              </w:rPr>
            </w:pPr>
            <w:r w:rsidRPr="002D4687">
              <w:rPr>
                <w:rFonts w:asciiTheme="minorHAnsi" w:hAnsiTheme="minorHAnsi" w:cs="Calibri"/>
                <w:snapToGrid w:val="0"/>
                <w:color w:val="000000"/>
              </w:rPr>
              <w:t>CUMULATIVE</w:t>
            </w:r>
          </w:p>
        </w:tc>
      </w:tr>
      <w:tr w:rsidR="002B2B3E" w:rsidRPr="002D4687" w:rsidTr="002D4687">
        <w:trPr>
          <w:cantSplit/>
          <w:trHeight w:val="20"/>
          <w:jc w:val="center"/>
        </w:trPr>
        <w:tc>
          <w:tcPr>
            <w:tcW w:w="5000" w:type="pct"/>
            <w:gridSpan w:val="5"/>
            <w:vAlign w:val="center"/>
          </w:tcPr>
          <w:p w:rsidR="002B2B3E" w:rsidRPr="002D4687" w:rsidRDefault="008D5112" w:rsidP="002D4687">
            <w:pPr>
              <w:spacing w:after="0" w:line="240" w:lineRule="auto"/>
              <w:jc w:val="both"/>
              <w:rPr>
                <w:bCs/>
              </w:rPr>
            </w:pPr>
            <w:r>
              <w:rPr>
                <w:rFonts w:cs="Microsoft Sans Serif"/>
                <w:b/>
              </w:rPr>
              <w:t>Unit #: 1 – Introduction</w:t>
            </w:r>
            <w:r w:rsidR="00381A06">
              <w:rPr>
                <w:rFonts w:cs="Microsoft Sans Serif"/>
                <w:b/>
              </w:rPr>
              <w:t>/List</w:t>
            </w:r>
            <w:r>
              <w:rPr>
                <w:rFonts w:cs="Microsoft Sans Serif"/>
                <w:b/>
              </w:rPr>
              <w:t>s</w:t>
            </w:r>
          </w:p>
        </w:tc>
      </w:tr>
      <w:tr w:rsidR="005328F5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328F5" w:rsidRPr="002D4687" w:rsidRDefault="005328F5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 w:val="restart"/>
            <w:vAlign w:val="center"/>
          </w:tcPr>
          <w:p w:rsidR="00234A5F" w:rsidRDefault="006335A1" w:rsidP="002D46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T1: 1,4</w:t>
            </w:r>
            <w:r w:rsidR="00234A5F">
              <w:rPr>
                <w:b/>
              </w:rPr>
              <w:t>.7,4.8</w:t>
            </w:r>
            <w:r>
              <w:rPr>
                <w:b/>
              </w:rPr>
              <w:t>,5</w:t>
            </w:r>
            <w:r w:rsidR="00FE74BF">
              <w:rPr>
                <w:b/>
              </w:rPr>
              <w:t>, Appendix</w:t>
            </w:r>
          </w:p>
          <w:p w:rsidR="002E2F93" w:rsidRDefault="002E2F93" w:rsidP="002D4687">
            <w:pPr>
              <w:spacing w:after="0" w:line="240" w:lineRule="auto"/>
              <w:jc w:val="center"/>
              <w:rPr>
                <w:b/>
              </w:rPr>
            </w:pPr>
          </w:p>
          <w:p w:rsidR="005328F5" w:rsidRPr="0031236C" w:rsidRDefault="006335A1" w:rsidP="002D46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T2: </w:t>
            </w:r>
            <w:r w:rsidR="0046281A">
              <w:rPr>
                <w:b/>
              </w:rPr>
              <w:t xml:space="preserve"> 3,4</w:t>
            </w:r>
          </w:p>
        </w:tc>
        <w:tc>
          <w:tcPr>
            <w:tcW w:w="2381" w:type="pct"/>
          </w:tcPr>
          <w:p w:rsidR="005328F5" w:rsidRDefault="00A319EE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Over</w:t>
            </w:r>
            <w:r w:rsidR="00F06609">
              <w:rPr>
                <w:rFonts w:cs="Calibri"/>
              </w:rPr>
              <w:t>view of course, Programming Practices</w:t>
            </w:r>
          </w:p>
        </w:tc>
        <w:tc>
          <w:tcPr>
            <w:tcW w:w="684" w:type="pct"/>
            <w:vMerge w:val="restart"/>
            <w:vAlign w:val="center"/>
          </w:tcPr>
          <w:p w:rsidR="005328F5" w:rsidRPr="002D4687" w:rsidRDefault="00DE1DE5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19</w:t>
            </w:r>
          </w:p>
        </w:tc>
        <w:tc>
          <w:tcPr>
            <w:tcW w:w="755" w:type="pct"/>
            <w:vMerge w:val="restart"/>
          </w:tcPr>
          <w:p w:rsidR="00A8381E" w:rsidRDefault="00A8381E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A8381E" w:rsidRDefault="00A8381E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A8381E" w:rsidRDefault="00A8381E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A8381E" w:rsidRDefault="00A8381E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40051A" w:rsidRDefault="0040051A" w:rsidP="00A8381E">
            <w:pPr>
              <w:spacing w:after="0" w:line="240" w:lineRule="auto"/>
              <w:rPr>
                <w:bCs/>
              </w:rPr>
            </w:pPr>
          </w:p>
          <w:p w:rsidR="00A8381E" w:rsidRDefault="00DE1DE5" w:rsidP="00A8381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19</w:t>
            </w:r>
          </w:p>
          <w:p w:rsidR="005328F5" w:rsidRPr="00A8381E" w:rsidRDefault="005328F5" w:rsidP="00A8381E">
            <w:pPr>
              <w:jc w:val="center"/>
            </w:pPr>
          </w:p>
        </w:tc>
      </w:tr>
      <w:tr w:rsidR="005328F5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328F5" w:rsidRPr="002D4687" w:rsidRDefault="005328F5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328F5" w:rsidRPr="002D4687" w:rsidRDefault="005328F5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5328F5" w:rsidRDefault="007770DD" w:rsidP="00F06609">
            <w:pPr>
              <w:tabs>
                <w:tab w:val="left" w:pos="2175"/>
              </w:tabs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Pointers</w:t>
            </w:r>
            <w:r w:rsidR="00F06609">
              <w:rPr>
                <w:rFonts w:cs="Calibri"/>
              </w:rPr>
              <w:t>, Recursion</w:t>
            </w:r>
          </w:p>
        </w:tc>
        <w:tc>
          <w:tcPr>
            <w:tcW w:w="684" w:type="pct"/>
            <w:vMerge/>
            <w:vAlign w:val="center"/>
          </w:tcPr>
          <w:p w:rsidR="005328F5" w:rsidRPr="002D4687" w:rsidRDefault="005328F5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5328F5" w:rsidRPr="002D4687" w:rsidRDefault="005328F5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B2B3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2B2B3E" w:rsidRPr="002D4687" w:rsidRDefault="002B2B3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2B2B3E" w:rsidRPr="002D4687" w:rsidRDefault="00F06609" w:rsidP="006A6424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List Definition and </w:t>
            </w:r>
            <w:r w:rsidR="006C629A">
              <w:rPr>
                <w:rFonts w:cs="Calibri"/>
              </w:rPr>
              <w:t>array implementations</w:t>
            </w:r>
          </w:p>
        </w:tc>
        <w:tc>
          <w:tcPr>
            <w:tcW w:w="684" w:type="pct"/>
            <w:vMerge/>
            <w:vAlign w:val="center"/>
          </w:tcPr>
          <w:p w:rsidR="002B2B3E" w:rsidRPr="002D4687" w:rsidRDefault="002B2B3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B2B3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2B2B3E" w:rsidRPr="002D4687" w:rsidRDefault="002B2B3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2B2B3E" w:rsidRPr="002D4687" w:rsidRDefault="006C629A" w:rsidP="006C629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Link List operations – Insert,  delete, traverse</w:t>
            </w:r>
          </w:p>
        </w:tc>
        <w:tc>
          <w:tcPr>
            <w:tcW w:w="684" w:type="pct"/>
            <w:vMerge/>
            <w:vAlign w:val="center"/>
          </w:tcPr>
          <w:p w:rsidR="002B2B3E" w:rsidRPr="002D4687" w:rsidRDefault="002B2B3E" w:rsidP="002D4687">
            <w:pPr>
              <w:pStyle w:val="Heading6"/>
              <w:keepNext/>
              <w:numPr>
                <w:ilvl w:val="5"/>
                <w:numId w:val="2"/>
              </w:numPr>
              <w:suppressAutoHyphens/>
              <w:spacing w:before="0" w:after="0"/>
              <w:jc w:val="center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Default="006C629A" w:rsidP="00433AD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Position based operations.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Default="00F06609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Link List operations – concatenate, merge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Default="00F06609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Link List operations – reverse </w:t>
            </w:r>
            <w:proofErr w:type="spellStart"/>
            <w:r>
              <w:rPr>
                <w:rFonts w:cs="Calibri"/>
              </w:rPr>
              <w:t>etc</w:t>
            </w:r>
            <w:proofErr w:type="spellEnd"/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Default="00F06609" w:rsidP="0098543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DLL –  Definition, Linked List Implementation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F06609" w:rsidP="00072D3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DLL –  operations, Header/Trailer nodes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tcBorders>
              <w:bottom w:val="single" w:sz="4" w:space="0" w:color="auto"/>
            </w:tcBorders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tcBorders>
              <w:bottom w:val="single" w:sz="4" w:space="0" w:color="auto"/>
            </w:tcBorders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tcBorders>
              <w:bottom w:val="single" w:sz="4" w:space="0" w:color="auto"/>
            </w:tcBorders>
          </w:tcPr>
          <w:p w:rsidR="00AA7D0E" w:rsidRPr="002D4687" w:rsidRDefault="00F06609" w:rsidP="00066A4B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Circular List, Multi List</w:t>
            </w:r>
            <w:r w:rsidR="006C629A">
              <w:rPr>
                <w:rFonts w:cs="Calibri"/>
              </w:rPr>
              <w:t>, Applications</w:t>
            </w:r>
          </w:p>
        </w:tc>
        <w:tc>
          <w:tcPr>
            <w:tcW w:w="684" w:type="pct"/>
            <w:vMerge/>
            <w:tcBorders>
              <w:bottom w:val="single" w:sz="4" w:space="0" w:color="auto"/>
            </w:tcBorders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tcBorders>
              <w:bottom w:val="single" w:sz="4" w:space="0" w:color="auto"/>
            </w:tcBorders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A60753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7D0E" w:rsidRPr="002D4687" w:rsidRDefault="00AA7D0E" w:rsidP="002D4687">
            <w:pPr>
              <w:spacing w:after="0" w:line="240" w:lineRule="auto"/>
              <w:jc w:val="both"/>
              <w:rPr>
                <w:bCs/>
              </w:rPr>
            </w:pPr>
            <w:r w:rsidRPr="002D4687">
              <w:rPr>
                <w:rFonts w:cs="Microsoft Sans Serif"/>
                <w:b/>
              </w:rPr>
              <w:t xml:space="preserve">Unit #: 2 </w:t>
            </w:r>
            <w:r>
              <w:rPr>
                <w:rFonts w:cs="Microsoft Sans Serif"/>
                <w:b/>
              </w:rPr>
              <w:t xml:space="preserve"> Stack</w:t>
            </w:r>
            <w:r w:rsidR="00C568BE">
              <w:rPr>
                <w:rFonts w:cs="Microsoft Sans Serif"/>
                <w:b/>
              </w:rPr>
              <w:t>s</w:t>
            </w:r>
            <w:r>
              <w:rPr>
                <w:rFonts w:cs="Microsoft Sans Serif"/>
                <w:b/>
              </w:rPr>
              <w:t>/Queue</w:t>
            </w:r>
            <w:r w:rsidR="00C568BE">
              <w:rPr>
                <w:rFonts w:cs="Microsoft Sans Serif"/>
                <w:b/>
              </w:rPr>
              <w:t>s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 w:val="restart"/>
            <w:vAlign w:val="center"/>
          </w:tcPr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T1: 3,12</w:t>
            </w:r>
          </w:p>
          <w:p w:rsidR="00FB4F81" w:rsidRPr="002D4687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T2 : 2,4</w:t>
            </w:r>
          </w:p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FB4F81" w:rsidRDefault="00FB4F81" w:rsidP="00FB4F8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A319EE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Stack – Definition and  Array Implementation</w:t>
            </w:r>
          </w:p>
        </w:tc>
        <w:tc>
          <w:tcPr>
            <w:tcW w:w="684" w:type="pct"/>
            <w:vMerge w:val="restart"/>
            <w:vAlign w:val="center"/>
          </w:tcPr>
          <w:p w:rsidR="00AA7D0E" w:rsidRPr="002D4687" w:rsidRDefault="0040051A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19</w:t>
            </w:r>
          </w:p>
        </w:tc>
        <w:tc>
          <w:tcPr>
            <w:tcW w:w="755" w:type="pct"/>
            <w:vMerge w:val="restart"/>
          </w:tcPr>
          <w:p w:rsidR="0040051A" w:rsidRDefault="0040051A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40051A" w:rsidRDefault="0040051A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40051A" w:rsidRDefault="0040051A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40051A" w:rsidRDefault="0040051A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40051A" w:rsidRDefault="0040051A" w:rsidP="002D4687">
            <w:pPr>
              <w:spacing w:after="0" w:line="240" w:lineRule="auto"/>
              <w:jc w:val="center"/>
              <w:rPr>
                <w:bCs/>
              </w:rPr>
            </w:pPr>
          </w:p>
          <w:p w:rsidR="00AA7D0E" w:rsidRPr="002D4687" w:rsidRDefault="0040051A" w:rsidP="002D468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381A0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Stack – Linked List Implementation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381A0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Stack – Applications (post fix conversion)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0C048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Stack – Applications (expression evaluation)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090F19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Stack – parentheses balancing etc.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125C6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Queue – Definition and Operations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40051A" w:rsidP="00433AD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Queue – LL/Array implementation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221191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221191" w:rsidRPr="002D4687" w:rsidRDefault="00221191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221191" w:rsidRPr="002D4687" w:rsidRDefault="00221191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221191" w:rsidRDefault="0040051A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Circular Queues – Implementation</w:t>
            </w:r>
          </w:p>
        </w:tc>
        <w:tc>
          <w:tcPr>
            <w:tcW w:w="684" w:type="pct"/>
            <w:vMerge/>
            <w:vAlign w:val="center"/>
          </w:tcPr>
          <w:p w:rsidR="00221191" w:rsidRPr="002D4687" w:rsidRDefault="00221191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221191" w:rsidRPr="002D4687" w:rsidRDefault="00221191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221191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221191" w:rsidRPr="002D4687" w:rsidRDefault="00221191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221191" w:rsidRPr="002D4687" w:rsidRDefault="00221191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221191" w:rsidRDefault="0040051A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Double ended Queue</w:t>
            </w:r>
          </w:p>
        </w:tc>
        <w:tc>
          <w:tcPr>
            <w:tcW w:w="684" w:type="pct"/>
            <w:vMerge/>
            <w:vAlign w:val="center"/>
          </w:tcPr>
          <w:p w:rsidR="00221191" w:rsidRPr="002D4687" w:rsidRDefault="00221191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221191" w:rsidRPr="002D4687" w:rsidRDefault="00221191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221191" w:rsidRDefault="0040051A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Review</w:t>
            </w:r>
            <w:r w:rsidR="008648B4">
              <w:rPr>
                <w:rFonts w:cs="Calibri"/>
              </w:rPr>
              <w:t xml:space="preserve"> of units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2D4687">
        <w:trPr>
          <w:cantSplit/>
          <w:trHeight w:val="20"/>
          <w:jc w:val="center"/>
        </w:trPr>
        <w:tc>
          <w:tcPr>
            <w:tcW w:w="5000" w:type="pct"/>
            <w:gridSpan w:val="5"/>
            <w:vAlign w:val="center"/>
          </w:tcPr>
          <w:p w:rsidR="00AA7D0E" w:rsidRPr="002D4687" w:rsidRDefault="00AA7D0E" w:rsidP="007C507B">
            <w:pPr>
              <w:spacing w:after="0" w:line="240" w:lineRule="auto"/>
              <w:jc w:val="both"/>
              <w:rPr>
                <w:bCs/>
              </w:rPr>
            </w:pPr>
            <w:r w:rsidRPr="002D4687">
              <w:rPr>
                <w:rFonts w:cs="Microsoft Sans Serif"/>
                <w:b/>
              </w:rPr>
              <w:t xml:space="preserve">Unit </w:t>
            </w:r>
            <w:r w:rsidR="00F30166">
              <w:rPr>
                <w:rFonts w:cs="Microsoft Sans Serif"/>
                <w:b/>
              </w:rPr>
              <w:t xml:space="preserve">#:3 </w:t>
            </w:r>
            <w:r w:rsidR="007C507B">
              <w:rPr>
                <w:rFonts w:cs="Microsoft Sans Serif"/>
                <w:b/>
              </w:rPr>
              <w:t>Graphs</w:t>
            </w:r>
            <w:r>
              <w:rPr>
                <w:rFonts w:cs="Microsoft Sans Serif"/>
                <w:b/>
              </w:rPr>
              <w:t>, Trees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 w:val="restart"/>
            <w:vAlign w:val="center"/>
          </w:tcPr>
          <w:p w:rsidR="00AA7D0E" w:rsidRPr="002D4687" w:rsidRDefault="00AA7D0E" w:rsidP="002D4687">
            <w:pPr>
              <w:spacing w:after="0" w:line="240" w:lineRule="auto"/>
              <w:rPr>
                <w:b/>
              </w:rPr>
            </w:pPr>
          </w:p>
          <w:p w:rsidR="002E2F93" w:rsidRDefault="0046281A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T1: </w:t>
            </w:r>
            <w:r w:rsidR="00E62A90">
              <w:rPr>
                <w:rFonts w:cs="Calibri"/>
                <w:b/>
                <w:bCs/>
              </w:rPr>
              <w:t>4.1</w:t>
            </w:r>
            <w:r>
              <w:rPr>
                <w:rFonts w:cs="Calibri"/>
                <w:b/>
                <w:bCs/>
              </w:rPr>
              <w:t>-4.5</w:t>
            </w:r>
          </w:p>
          <w:p w:rsidR="0046281A" w:rsidRPr="002D4687" w:rsidRDefault="0046281A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T2: 5</w:t>
            </w:r>
            <w:r w:rsidR="00685C57">
              <w:rPr>
                <w:rFonts w:cs="Calibri"/>
                <w:b/>
                <w:bCs/>
              </w:rPr>
              <w:t>.1,5.2</w:t>
            </w: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</w:t>
            </w: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b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81" w:type="pct"/>
          </w:tcPr>
          <w:p w:rsidR="00AA7D0E" w:rsidRPr="002D4687" w:rsidRDefault="00287C61" w:rsidP="00110001">
            <w:pPr>
              <w:tabs>
                <w:tab w:val="center" w:pos="2172"/>
              </w:tabs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Graphs definitions and concepts</w:t>
            </w:r>
          </w:p>
        </w:tc>
        <w:tc>
          <w:tcPr>
            <w:tcW w:w="684" w:type="pct"/>
            <w:vMerge w:val="restart"/>
            <w:vAlign w:val="center"/>
          </w:tcPr>
          <w:p w:rsidR="00AA7D0E" w:rsidRPr="002D4687" w:rsidRDefault="007E1FF9" w:rsidP="002D4687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55" w:type="pct"/>
            <w:vMerge w:val="restart"/>
            <w:vAlign w:val="center"/>
          </w:tcPr>
          <w:p w:rsidR="00AA7D0E" w:rsidRPr="002D4687" w:rsidRDefault="007E1FF9" w:rsidP="00A8381E">
            <w:pPr>
              <w:spacing w:after="0" w:line="240" w:lineRule="auto"/>
            </w:pPr>
            <w:r>
              <w:t xml:space="preserve">       58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287C61" w:rsidP="0022119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Complete, Regular graphs, connectivity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287C61" w:rsidP="0011000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Euler and Hamilton Graphs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E826C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287C61" w:rsidP="00433AD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Representation of Graphs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06E34" w:rsidRPr="002D4687" w:rsidTr="006B7448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Pr="002D4687" w:rsidRDefault="00506E34" w:rsidP="00287C6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287C61">
              <w:rPr>
                <w:rFonts w:cs="Calibri"/>
              </w:rPr>
              <w:t>Traversal of Graphs : BFS, DFS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506E34" w:rsidRPr="002D4687" w:rsidRDefault="00506E34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06E34" w:rsidRPr="002D4687" w:rsidTr="003F70C2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506E34" w:rsidRPr="002D4687" w:rsidRDefault="00FA02BF" w:rsidP="0072764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Traversal of Graphs : BFS, DFS</w:t>
            </w:r>
            <w:bookmarkStart w:id="0" w:name="_GoBack"/>
            <w:bookmarkEnd w:id="0"/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506E34" w:rsidRPr="002D4687" w:rsidRDefault="00506E34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6B7448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287C61" w:rsidP="00FA02BF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FA02BF">
              <w:rPr>
                <w:rFonts w:cs="Calibri"/>
              </w:rPr>
              <w:t>Trees : representation, traversals, applications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6B7448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FA02BF" w:rsidP="0011000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Binary Trees Definition and properties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6B7448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FA02BF" w:rsidP="003E4F9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Binary Tree Implementation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FA02BF" w:rsidP="000C0481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Binary Trees  Recursive methods/Traversals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2D4687">
        <w:trPr>
          <w:cantSplit/>
          <w:trHeight w:val="20"/>
          <w:jc w:val="center"/>
        </w:trPr>
        <w:tc>
          <w:tcPr>
            <w:tcW w:w="5000" w:type="pct"/>
            <w:gridSpan w:val="5"/>
            <w:vAlign w:val="center"/>
          </w:tcPr>
          <w:p w:rsidR="00AA7D0E" w:rsidRPr="002D4687" w:rsidRDefault="00AA7D0E" w:rsidP="00C75137">
            <w:pPr>
              <w:spacing w:after="0" w:line="240" w:lineRule="auto"/>
              <w:jc w:val="both"/>
              <w:rPr>
                <w:bCs/>
              </w:rPr>
            </w:pPr>
            <w:r w:rsidRPr="002D4687">
              <w:rPr>
                <w:rFonts w:cs="Microsoft Sans Serif"/>
                <w:b/>
              </w:rPr>
              <w:t>Uni</w:t>
            </w:r>
            <w:r>
              <w:rPr>
                <w:rFonts w:cs="Microsoft Sans Serif"/>
                <w:b/>
              </w:rPr>
              <w:t xml:space="preserve">t #:4 </w:t>
            </w:r>
            <w:r w:rsidR="006E3136">
              <w:rPr>
                <w:rFonts w:cs="Microsoft Sans Serif"/>
                <w:b/>
              </w:rPr>
              <w:t>Search Trees</w:t>
            </w:r>
            <w:r w:rsidR="00F30166">
              <w:rPr>
                <w:rFonts w:cs="Microsoft Sans Serif"/>
                <w:b/>
              </w:rPr>
              <w:t>, Heap Trees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 w:val="restart"/>
            <w:vAlign w:val="center"/>
          </w:tcPr>
          <w:p w:rsidR="00AA7D0E" w:rsidRPr="002D4687" w:rsidRDefault="00AA7D0E" w:rsidP="002D4687">
            <w:pPr>
              <w:spacing w:after="0" w:line="240" w:lineRule="auto"/>
              <w:rPr>
                <w:bCs/>
              </w:rPr>
            </w:pPr>
          </w:p>
          <w:p w:rsidR="00AA7D0E" w:rsidRDefault="00AA7D0E" w:rsidP="002D4687">
            <w:pPr>
              <w:spacing w:after="0" w:line="240" w:lineRule="auto"/>
              <w:rPr>
                <w:b/>
                <w:bCs/>
              </w:rPr>
            </w:pPr>
            <w:r w:rsidRPr="002D4687">
              <w:rPr>
                <w:b/>
                <w:bCs/>
              </w:rPr>
              <w:t xml:space="preserve">    </w:t>
            </w:r>
          </w:p>
          <w:p w:rsidR="00EB70C3" w:rsidRPr="002D4687" w:rsidRDefault="00EB70C3" w:rsidP="002D4687">
            <w:pPr>
              <w:spacing w:after="0" w:line="240" w:lineRule="auto"/>
              <w:rPr>
                <w:b/>
                <w:bCs/>
              </w:rPr>
            </w:pPr>
          </w:p>
          <w:p w:rsidR="00AA7D0E" w:rsidRDefault="0046281A" w:rsidP="00B60043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lastRenderedPageBreak/>
              <w:t>T1: 9.1,9.3,</w:t>
            </w:r>
            <w:r w:rsidR="00B60043">
              <w:rPr>
                <w:rFonts w:cs="Calibri"/>
                <w:b/>
                <w:bCs/>
              </w:rPr>
              <w:t>9.4</w:t>
            </w:r>
          </w:p>
          <w:p w:rsidR="00AA7D0E" w:rsidRPr="002D4687" w:rsidRDefault="00AA7D0E" w:rsidP="002D4687">
            <w:pPr>
              <w:spacing w:after="0" w:line="240" w:lineRule="auto"/>
              <w:rPr>
                <w:rFonts w:cs="Calibri"/>
                <w:b/>
                <w:bCs/>
              </w:rPr>
            </w:pPr>
          </w:p>
          <w:p w:rsidR="00AA7D0E" w:rsidRPr="00B40EC2" w:rsidRDefault="00B40EC2" w:rsidP="005754F6">
            <w:pPr>
              <w:spacing w:after="0" w:line="240" w:lineRule="auto"/>
              <w:rPr>
                <w:b/>
              </w:rPr>
            </w:pPr>
            <w:r w:rsidRPr="00B40EC2">
              <w:rPr>
                <w:b/>
              </w:rPr>
              <w:t>T2: 7.2</w:t>
            </w:r>
          </w:p>
        </w:tc>
        <w:tc>
          <w:tcPr>
            <w:tcW w:w="2381" w:type="pct"/>
          </w:tcPr>
          <w:p w:rsidR="00AA7D0E" w:rsidRPr="002D4687" w:rsidRDefault="00FA02BF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Building and Evaluating binary Expression Tree</w:t>
            </w:r>
          </w:p>
        </w:tc>
        <w:tc>
          <w:tcPr>
            <w:tcW w:w="684" w:type="pct"/>
            <w:vMerge w:val="restart"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DE1DE5" w:rsidP="002D4687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55" w:type="pct"/>
            <w:vMerge w:val="restart"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</w:pPr>
          </w:p>
          <w:p w:rsidR="00AA7D0E" w:rsidRPr="002D4687" w:rsidRDefault="006F3915" w:rsidP="002D4687">
            <w:pPr>
              <w:spacing w:after="0" w:line="240" w:lineRule="auto"/>
              <w:jc w:val="center"/>
            </w:pPr>
            <w:r>
              <w:t>7</w:t>
            </w:r>
            <w:r w:rsidR="007E1FF9">
              <w:t>7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</w:tcPr>
          <w:p w:rsidR="00AA7D0E" w:rsidRPr="002D4687" w:rsidRDefault="005C48A4" w:rsidP="005C48A4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BST- Definition,   Application</w:t>
            </w:r>
            <w:r>
              <w:rPr>
                <w:rFonts w:cs="Calibri"/>
              </w:rPr>
              <w:t>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Pr="002D4687" w:rsidRDefault="005C48A4" w:rsidP="005C48A4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BST- Implementation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Default="00287C61" w:rsidP="005C48A4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5C48A4">
              <w:rPr>
                <w:rFonts w:cs="Calibri"/>
              </w:rPr>
              <w:t>BST – Search and Insert Operations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Default="00287C61" w:rsidP="0072764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5C48A4">
              <w:rPr>
                <w:rFonts w:cs="Calibri"/>
              </w:rPr>
              <w:t>BST – Delete Operation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Pr="002D4687" w:rsidRDefault="00506E34" w:rsidP="0072764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Heap Trees – Implementation</w:t>
            </w:r>
            <w:r w:rsidR="00543865">
              <w:rPr>
                <w:rFonts w:cs="Calibri"/>
              </w:rPr>
              <w:t xml:space="preserve"> 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Pr="002D4687" w:rsidRDefault="00506E34" w:rsidP="0072764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Heap Trees – </w:t>
            </w:r>
            <w:proofErr w:type="spellStart"/>
            <w:r w:rsidR="008D5250">
              <w:rPr>
                <w:rFonts w:cs="Calibri"/>
              </w:rPr>
              <w:t>FindMin</w:t>
            </w:r>
            <w:proofErr w:type="spellEnd"/>
            <w:r w:rsidR="008D5250">
              <w:rPr>
                <w:rFonts w:cs="Calibri"/>
              </w:rPr>
              <w:t xml:space="preserve">, </w:t>
            </w:r>
            <w:r w:rsidR="00FE5EB2">
              <w:rPr>
                <w:rFonts w:cs="Calibri"/>
              </w:rPr>
              <w:t>Insert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506E3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506E34" w:rsidRPr="002D4687" w:rsidRDefault="00506E3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506E34" w:rsidRPr="002D4687" w:rsidRDefault="00506E3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506E34" w:rsidRPr="002D4687" w:rsidRDefault="00FE5EB2" w:rsidP="0072764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Heap Trees – Delete</w:t>
            </w:r>
          </w:p>
        </w:tc>
        <w:tc>
          <w:tcPr>
            <w:tcW w:w="684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506E34" w:rsidRPr="002D4687" w:rsidRDefault="00506E3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Default="00FE5EB2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Priority Queue using Heap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Default="008648B4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Review of units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AA7D0E" w:rsidRPr="002D4687" w:rsidTr="002D4687">
        <w:trPr>
          <w:cantSplit/>
          <w:trHeight w:val="20"/>
          <w:jc w:val="center"/>
        </w:trPr>
        <w:tc>
          <w:tcPr>
            <w:tcW w:w="5000" w:type="pct"/>
            <w:gridSpan w:val="5"/>
            <w:vAlign w:val="center"/>
          </w:tcPr>
          <w:p w:rsidR="00AA7D0E" w:rsidRPr="002D4687" w:rsidRDefault="007050FB" w:rsidP="002D4687">
            <w:pPr>
              <w:spacing w:after="0" w:line="240" w:lineRule="auto"/>
              <w:jc w:val="both"/>
              <w:rPr>
                <w:bCs/>
              </w:rPr>
            </w:pPr>
            <w:r>
              <w:rPr>
                <w:rFonts w:cs="Microsoft Sans Serif"/>
                <w:b/>
              </w:rPr>
              <w:t xml:space="preserve">Unit #: 5 </w:t>
            </w:r>
            <w:r w:rsidR="008648B4">
              <w:rPr>
                <w:rFonts w:cs="Microsoft Sans Serif"/>
                <w:b/>
              </w:rPr>
              <w:t>Tries</w:t>
            </w:r>
            <w:r w:rsidR="00AA7D0E">
              <w:rPr>
                <w:rFonts w:cs="Microsoft Sans Serif"/>
                <w:b/>
              </w:rPr>
              <w:t>/Hash Table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 w:val="restart"/>
            <w:vAlign w:val="center"/>
          </w:tcPr>
          <w:p w:rsidR="00B60043" w:rsidRDefault="00B60043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T1: 8.6</w:t>
            </w:r>
            <w:r w:rsidR="0046281A">
              <w:rPr>
                <w:rFonts w:cs="Calibri"/>
                <w:b/>
                <w:bCs/>
              </w:rPr>
              <w:t>,10.3</w:t>
            </w:r>
          </w:p>
          <w:p w:rsidR="002E2F93" w:rsidRDefault="002E2F93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685C57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T2 : 7.3,7.4</w:t>
            </w: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:rsidR="00AA7D0E" w:rsidRPr="002D4687" w:rsidRDefault="00AA7D0E" w:rsidP="002D46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381" w:type="pct"/>
            <w:vAlign w:val="center"/>
          </w:tcPr>
          <w:p w:rsidR="00AA7D0E" w:rsidRPr="002D4687" w:rsidRDefault="008648B4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Tries : Definition </w:t>
            </w:r>
          </w:p>
        </w:tc>
        <w:tc>
          <w:tcPr>
            <w:tcW w:w="684" w:type="pct"/>
            <w:vMerge w:val="restart"/>
            <w:vAlign w:val="center"/>
          </w:tcPr>
          <w:p w:rsidR="00AA7D0E" w:rsidRPr="002D4687" w:rsidRDefault="007E1FF9" w:rsidP="002D4687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55" w:type="pct"/>
            <w:vMerge w:val="restart"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  <w:r w:rsidRPr="002D4687">
              <w:t>100</w:t>
            </w: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8648B4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Tries :</w:t>
            </w:r>
            <w:r w:rsidR="007C507B">
              <w:rPr>
                <w:rFonts w:cs="Calibri"/>
              </w:rPr>
              <w:t xml:space="preserve"> Implementation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Tries : Applications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Hash Table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Hash Functions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Collision Handling – Separate Chaining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8648B4" w:rsidP="00433ADA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7C507B">
              <w:rPr>
                <w:rFonts w:cs="Calibri"/>
              </w:rPr>
              <w:t>Collision Handling – Separate Chaining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8648B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8648B4" w:rsidRPr="002D4687" w:rsidRDefault="008648B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8648B4" w:rsidRPr="002D4687" w:rsidRDefault="008648B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8648B4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Collision Handling – Open Addressing</w:t>
            </w:r>
          </w:p>
        </w:tc>
        <w:tc>
          <w:tcPr>
            <w:tcW w:w="684" w:type="pct"/>
            <w:vMerge/>
            <w:vAlign w:val="center"/>
          </w:tcPr>
          <w:p w:rsidR="008648B4" w:rsidRPr="002D4687" w:rsidRDefault="008648B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8648B4" w:rsidRPr="002D4687" w:rsidRDefault="008648B4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8648B4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8648B4" w:rsidRPr="002D4687" w:rsidRDefault="008648B4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8648B4" w:rsidRPr="002D4687" w:rsidRDefault="008648B4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8648B4" w:rsidRDefault="007C507B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Collision Handling – Open Addressing</w:t>
            </w:r>
          </w:p>
        </w:tc>
        <w:tc>
          <w:tcPr>
            <w:tcW w:w="684" w:type="pct"/>
            <w:vMerge/>
            <w:vAlign w:val="center"/>
          </w:tcPr>
          <w:p w:rsidR="008648B4" w:rsidRPr="002D4687" w:rsidRDefault="008648B4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8648B4" w:rsidRPr="002D4687" w:rsidRDefault="008648B4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8648B4" w:rsidP="007C507B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7C507B">
              <w:rPr>
                <w:rFonts w:cs="Calibri"/>
              </w:rPr>
              <w:t>Hash Applications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506E34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Comparison of Data Structures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AA7D0E" w:rsidRPr="002D4687" w:rsidTr="005328F5">
        <w:trPr>
          <w:cantSplit/>
          <w:trHeight w:val="20"/>
          <w:jc w:val="center"/>
        </w:trPr>
        <w:tc>
          <w:tcPr>
            <w:tcW w:w="400" w:type="pct"/>
            <w:vAlign w:val="center"/>
          </w:tcPr>
          <w:p w:rsidR="00AA7D0E" w:rsidRPr="002D4687" w:rsidRDefault="00AA7D0E" w:rsidP="002D4687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780" w:type="pct"/>
            <w:vMerge/>
            <w:vAlign w:val="center"/>
          </w:tcPr>
          <w:p w:rsidR="00AA7D0E" w:rsidRPr="002D4687" w:rsidRDefault="00AA7D0E" w:rsidP="002D4687">
            <w:pPr>
              <w:spacing w:after="0" w:line="240" w:lineRule="auto"/>
              <w:jc w:val="center"/>
            </w:pPr>
          </w:p>
        </w:tc>
        <w:tc>
          <w:tcPr>
            <w:tcW w:w="2381" w:type="pct"/>
            <w:vAlign w:val="center"/>
          </w:tcPr>
          <w:p w:rsidR="00AA7D0E" w:rsidRPr="002D4687" w:rsidRDefault="00155A57" w:rsidP="002D468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Course Summary and Conclusion</w:t>
            </w:r>
          </w:p>
        </w:tc>
        <w:tc>
          <w:tcPr>
            <w:tcW w:w="684" w:type="pct"/>
            <w:vMerge/>
            <w:vAlign w:val="center"/>
          </w:tcPr>
          <w:p w:rsidR="00AA7D0E" w:rsidRPr="002D4687" w:rsidRDefault="00AA7D0E" w:rsidP="002D4687">
            <w:pPr>
              <w:pStyle w:val="Heading6"/>
              <w:spacing w:before="0" w:after="0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755" w:type="pct"/>
            <w:vMerge/>
          </w:tcPr>
          <w:p w:rsidR="00AA7D0E" w:rsidRPr="002D4687" w:rsidRDefault="00AA7D0E" w:rsidP="002D4687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:rsidR="002B2B3E" w:rsidRDefault="002B2B3E" w:rsidP="002B2B3E">
      <w:pPr>
        <w:pStyle w:val="Title"/>
        <w:jc w:val="left"/>
        <w:rPr>
          <w:rFonts w:asciiTheme="minorHAnsi" w:hAnsiTheme="minorHAnsi" w:cs="Calibri"/>
          <w:sz w:val="22"/>
          <w:szCs w:val="22"/>
        </w:rPr>
      </w:pPr>
    </w:p>
    <w:p w:rsidR="00385382" w:rsidRDefault="00385382" w:rsidP="002B2B3E">
      <w:pPr>
        <w:pStyle w:val="Title"/>
        <w:jc w:val="left"/>
        <w:rPr>
          <w:rFonts w:asciiTheme="minorHAnsi" w:hAnsiTheme="minorHAnsi" w:cs="Calibri"/>
          <w:sz w:val="22"/>
          <w:szCs w:val="22"/>
        </w:rPr>
      </w:pPr>
    </w:p>
    <w:p w:rsidR="00385382" w:rsidRDefault="00385382" w:rsidP="00372B29">
      <w:pPr>
        <w:pStyle w:val="Title"/>
        <w:tabs>
          <w:tab w:val="left" w:pos="1080"/>
        </w:tabs>
        <w:jc w:val="left"/>
        <w:rPr>
          <w:rFonts w:asciiTheme="minorHAnsi" w:hAnsiTheme="minorHAnsi" w:cs="Calibri"/>
          <w:sz w:val="22"/>
          <w:szCs w:val="22"/>
        </w:rPr>
      </w:pPr>
    </w:p>
    <w:p w:rsidR="00385382" w:rsidRPr="002D4687" w:rsidRDefault="00385382" w:rsidP="002B2B3E">
      <w:pPr>
        <w:pStyle w:val="Title"/>
        <w:jc w:val="left"/>
        <w:rPr>
          <w:rFonts w:asciiTheme="minorHAnsi" w:hAnsiTheme="minorHAnsi" w:cs="Calibri"/>
          <w:sz w:val="22"/>
          <w:szCs w:val="22"/>
        </w:rPr>
      </w:pPr>
    </w:p>
    <w:tbl>
      <w:tblPr>
        <w:tblpPr w:leftFromText="180" w:rightFromText="180" w:vertAnchor="text" w:horzAnchor="margin" w:tblpXSpec="center" w:tblpY="35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4051"/>
        <w:gridCol w:w="990"/>
        <w:gridCol w:w="1888"/>
        <w:gridCol w:w="739"/>
      </w:tblGrid>
      <w:tr w:rsidR="002D4687" w:rsidRPr="002D4687" w:rsidTr="002D4687">
        <w:trPr>
          <w:cantSplit/>
          <w:trHeight w:val="357"/>
        </w:trPr>
        <w:tc>
          <w:tcPr>
            <w:tcW w:w="620" w:type="pct"/>
            <w:vMerge w:val="restar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Book Type</w:t>
            </w:r>
          </w:p>
        </w:tc>
        <w:tc>
          <w:tcPr>
            <w:tcW w:w="376" w:type="pct"/>
            <w:vMerge w:val="restar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Code</w:t>
            </w:r>
          </w:p>
        </w:tc>
        <w:tc>
          <w:tcPr>
            <w:tcW w:w="2115" w:type="pct"/>
            <w:vMerge w:val="restar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Title &amp; Author</w:t>
            </w:r>
          </w:p>
        </w:tc>
        <w:tc>
          <w:tcPr>
            <w:tcW w:w="1889" w:type="pct"/>
            <w:gridSpan w:val="3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  <w:i/>
              </w:rPr>
            </w:pPr>
            <w:r w:rsidRPr="002D4687">
              <w:rPr>
                <w:b/>
                <w:i/>
              </w:rPr>
              <w:t>Publication Info</w:t>
            </w:r>
          </w:p>
        </w:tc>
      </w:tr>
      <w:tr w:rsidR="002D4687" w:rsidRPr="002D4687" w:rsidTr="00A25636">
        <w:trPr>
          <w:cantSplit/>
          <w:trHeight w:val="278"/>
        </w:trPr>
        <w:tc>
          <w:tcPr>
            <w:tcW w:w="620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6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15" w:type="pct"/>
            <w:vMerge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17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Edition</w:t>
            </w:r>
          </w:p>
        </w:tc>
        <w:tc>
          <w:tcPr>
            <w:tcW w:w="986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Publisher</w:t>
            </w:r>
          </w:p>
        </w:tc>
        <w:tc>
          <w:tcPr>
            <w:tcW w:w="386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b/>
              </w:rPr>
            </w:pPr>
            <w:r w:rsidRPr="002D4687">
              <w:rPr>
                <w:b/>
              </w:rPr>
              <w:t>Year</w:t>
            </w:r>
          </w:p>
        </w:tc>
      </w:tr>
      <w:tr w:rsidR="002D4687" w:rsidRPr="002D4687" w:rsidTr="00A25636">
        <w:trPr>
          <w:trHeight w:val="654"/>
        </w:trPr>
        <w:tc>
          <w:tcPr>
            <w:tcW w:w="620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rPr>
                <w:rFonts w:cs="Calibri"/>
              </w:rPr>
            </w:pPr>
            <w:r w:rsidRPr="002D4687">
              <w:rPr>
                <w:rFonts w:cs="Calibri"/>
              </w:rPr>
              <w:t>Text Book</w:t>
            </w:r>
          </w:p>
        </w:tc>
        <w:tc>
          <w:tcPr>
            <w:tcW w:w="376" w:type="pct"/>
            <w:vAlign w:val="center"/>
          </w:tcPr>
          <w:p w:rsidR="002B2B3E" w:rsidRPr="002D4687" w:rsidRDefault="002B2B3E" w:rsidP="002D4687">
            <w:pPr>
              <w:spacing w:after="0" w:line="240" w:lineRule="auto"/>
              <w:jc w:val="center"/>
              <w:rPr>
                <w:rFonts w:cs="Calibri"/>
              </w:rPr>
            </w:pPr>
            <w:r w:rsidRPr="002D4687">
              <w:rPr>
                <w:rFonts w:cs="Calibri"/>
              </w:rPr>
              <w:t>T1</w:t>
            </w:r>
          </w:p>
        </w:tc>
        <w:tc>
          <w:tcPr>
            <w:tcW w:w="2115" w:type="pct"/>
          </w:tcPr>
          <w:p w:rsidR="002B2B3E" w:rsidRPr="00A25636" w:rsidRDefault="00C537B7" w:rsidP="00A25636">
            <w:r w:rsidRPr="00C537B7">
              <w:t xml:space="preserve">Robert Kruse, </w:t>
            </w:r>
            <w:proofErr w:type="spellStart"/>
            <w:r w:rsidRPr="00C537B7">
              <w:t>C.L.Tondo</w:t>
            </w:r>
            <w:proofErr w:type="spellEnd"/>
            <w:r w:rsidRPr="00C537B7">
              <w:t xml:space="preserve">, Bruce Leung and Shashi </w:t>
            </w:r>
            <w:proofErr w:type="spellStart"/>
            <w:r w:rsidRPr="00C537B7">
              <w:t>Mogalla</w:t>
            </w:r>
            <w:proofErr w:type="spellEnd"/>
            <w:r w:rsidRPr="00C537B7">
              <w:t xml:space="preserve">, </w:t>
            </w:r>
            <w:r w:rsidRPr="00C537B7">
              <w:rPr>
                <w:i/>
              </w:rPr>
              <w:t>“Data Structures and Program Design in C”,</w:t>
            </w:r>
            <w:r w:rsidRPr="00C537B7">
              <w:t xml:space="preserve"> Second Edition, Pearson/PHI, 2015   </w:t>
            </w:r>
          </w:p>
        </w:tc>
        <w:tc>
          <w:tcPr>
            <w:tcW w:w="517" w:type="pct"/>
            <w:vAlign w:val="center"/>
          </w:tcPr>
          <w:p w:rsidR="002B2B3E" w:rsidRPr="002D4687" w:rsidRDefault="00C537B7" w:rsidP="002D468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86" w:type="pct"/>
            <w:vAlign w:val="center"/>
          </w:tcPr>
          <w:p w:rsidR="002B2B3E" w:rsidRPr="002D4687" w:rsidRDefault="00C537B7" w:rsidP="00A2563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Pearson/PHI</w:t>
            </w:r>
          </w:p>
        </w:tc>
        <w:tc>
          <w:tcPr>
            <w:tcW w:w="386" w:type="pct"/>
            <w:vAlign w:val="center"/>
          </w:tcPr>
          <w:p w:rsidR="002B2B3E" w:rsidRPr="002D4687" w:rsidRDefault="00C537B7" w:rsidP="002D468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2015</w:t>
            </w:r>
          </w:p>
        </w:tc>
      </w:tr>
      <w:tr w:rsidR="002D4687" w:rsidRPr="002D4687" w:rsidTr="00A25636">
        <w:trPr>
          <w:trHeight w:val="295"/>
        </w:trPr>
        <w:tc>
          <w:tcPr>
            <w:tcW w:w="620" w:type="pct"/>
            <w:vAlign w:val="center"/>
          </w:tcPr>
          <w:p w:rsidR="002B2B3E" w:rsidRPr="002D4687" w:rsidRDefault="00165ED3" w:rsidP="002D468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Reference</w:t>
            </w:r>
          </w:p>
        </w:tc>
        <w:tc>
          <w:tcPr>
            <w:tcW w:w="376" w:type="pct"/>
            <w:vAlign w:val="center"/>
          </w:tcPr>
          <w:p w:rsidR="002B2B3E" w:rsidRPr="002D4687" w:rsidRDefault="00A25636" w:rsidP="002D468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T2</w:t>
            </w:r>
          </w:p>
        </w:tc>
        <w:tc>
          <w:tcPr>
            <w:tcW w:w="2115" w:type="pct"/>
            <w:vAlign w:val="center"/>
          </w:tcPr>
          <w:p w:rsidR="002B2B3E" w:rsidRPr="00A25636" w:rsidRDefault="00C537B7" w:rsidP="00A25636">
            <w:r>
              <w:rPr>
                <w:rFonts w:ascii="Calibri" w:eastAsia="Calibri" w:hAnsi="Calibri" w:cs="Arial"/>
              </w:rPr>
              <w:t xml:space="preserve">Tanenbaum, </w:t>
            </w:r>
            <w:proofErr w:type="spellStart"/>
            <w:r>
              <w:rPr>
                <w:rFonts w:ascii="Calibri" w:eastAsia="Calibri" w:hAnsi="Calibri" w:cs="Arial"/>
              </w:rPr>
              <w:t>Langsam</w:t>
            </w:r>
            <w:proofErr w:type="spellEnd"/>
            <w:r>
              <w:rPr>
                <w:rFonts w:ascii="Calibri" w:eastAsia="Calibri" w:hAnsi="Calibri" w:cs="Arial"/>
              </w:rPr>
              <w:t xml:space="preserve">, </w:t>
            </w:r>
            <w:proofErr w:type="spellStart"/>
            <w:r>
              <w:rPr>
                <w:rFonts w:ascii="Calibri" w:eastAsia="Calibri" w:hAnsi="Calibri" w:cs="Arial"/>
              </w:rPr>
              <w:t>Augenstein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r w:rsidRPr="006E1BBB">
              <w:rPr>
                <w:rFonts w:ascii="Calibri" w:eastAsia="Calibri" w:hAnsi="Calibri" w:cs="Arial"/>
              </w:rPr>
              <w:t>“</w:t>
            </w:r>
            <w:r>
              <w:rPr>
                <w:rFonts w:ascii="Calibri" w:eastAsia="Calibri" w:hAnsi="Calibri" w:cs="Arial"/>
                <w:i/>
              </w:rPr>
              <w:t>Data Structures Using C and C++</w:t>
            </w:r>
            <w:r w:rsidRPr="006E1BBB">
              <w:rPr>
                <w:rFonts w:ascii="Calibri" w:eastAsia="Calibri" w:hAnsi="Calibri" w:cs="Arial"/>
                <w:i/>
              </w:rPr>
              <w:t>”</w:t>
            </w:r>
            <w:r>
              <w:rPr>
                <w:rFonts w:ascii="Calibri" w:eastAsia="Calibri" w:hAnsi="Calibri" w:cs="Arial"/>
              </w:rPr>
              <w:t>, Pearson/Prentice Hall , 2</w:t>
            </w:r>
            <w:r w:rsidRPr="00523B2A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Edition, 2015</w:t>
            </w:r>
          </w:p>
        </w:tc>
        <w:tc>
          <w:tcPr>
            <w:tcW w:w="517" w:type="pct"/>
            <w:vAlign w:val="center"/>
          </w:tcPr>
          <w:p w:rsidR="002B2B3E" w:rsidRPr="002D4687" w:rsidRDefault="00C537B7" w:rsidP="002D468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86" w:type="pct"/>
            <w:vAlign w:val="center"/>
          </w:tcPr>
          <w:p w:rsidR="002B2B3E" w:rsidRPr="002D4687" w:rsidRDefault="00C537B7" w:rsidP="00A2563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Pearson/</w:t>
            </w:r>
            <w:r w:rsidR="00A25636">
              <w:rPr>
                <w:rFonts w:cs="Calibri"/>
              </w:rPr>
              <w:t>Prentice Hall</w:t>
            </w:r>
          </w:p>
        </w:tc>
        <w:tc>
          <w:tcPr>
            <w:tcW w:w="386" w:type="pct"/>
            <w:vAlign w:val="center"/>
          </w:tcPr>
          <w:p w:rsidR="002B2B3E" w:rsidRPr="002D4687" w:rsidRDefault="00C537B7" w:rsidP="002D468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2015</w:t>
            </w:r>
          </w:p>
        </w:tc>
      </w:tr>
    </w:tbl>
    <w:p w:rsidR="0095254B" w:rsidRPr="002D4687" w:rsidRDefault="0095254B"/>
    <w:sectPr w:rsidR="0095254B" w:rsidRPr="002D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0A" w:rsidRDefault="00280F0A" w:rsidP="00205354">
      <w:pPr>
        <w:spacing w:after="0" w:line="240" w:lineRule="auto"/>
      </w:pPr>
      <w:r>
        <w:separator/>
      </w:r>
    </w:p>
  </w:endnote>
  <w:endnote w:type="continuationSeparator" w:id="0">
    <w:p w:rsidR="00280F0A" w:rsidRDefault="00280F0A" w:rsidP="0020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0A" w:rsidRDefault="00280F0A" w:rsidP="00205354">
      <w:pPr>
        <w:spacing w:after="0" w:line="240" w:lineRule="auto"/>
      </w:pPr>
      <w:r>
        <w:separator/>
      </w:r>
    </w:p>
  </w:footnote>
  <w:footnote w:type="continuationSeparator" w:id="0">
    <w:p w:rsidR="00280F0A" w:rsidRDefault="00280F0A" w:rsidP="0020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831846"/>
    <w:multiLevelType w:val="hybridMultilevel"/>
    <w:tmpl w:val="72825E74"/>
    <w:lvl w:ilvl="0" w:tplc="5C9052C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3E"/>
    <w:rsid w:val="000071AA"/>
    <w:rsid w:val="00015EA8"/>
    <w:rsid w:val="00016B15"/>
    <w:rsid w:val="00066A4B"/>
    <w:rsid w:val="00070360"/>
    <w:rsid w:val="000720BA"/>
    <w:rsid w:val="00072237"/>
    <w:rsid w:val="00072D36"/>
    <w:rsid w:val="000749DE"/>
    <w:rsid w:val="0007661D"/>
    <w:rsid w:val="00090F19"/>
    <w:rsid w:val="00095382"/>
    <w:rsid w:val="000D5A7C"/>
    <w:rsid w:val="000D6E6B"/>
    <w:rsid w:val="000D7005"/>
    <w:rsid w:val="000F5123"/>
    <w:rsid w:val="00100C6E"/>
    <w:rsid w:val="001164AB"/>
    <w:rsid w:val="00125521"/>
    <w:rsid w:val="00125C6A"/>
    <w:rsid w:val="00155A57"/>
    <w:rsid w:val="00165ED3"/>
    <w:rsid w:val="001934A4"/>
    <w:rsid w:val="001A4A4C"/>
    <w:rsid w:val="001B3BC1"/>
    <w:rsid w:val="001C17E7"/>
    <w:rsid w:val="00205354"/>
    <w:rsid w:val="00221191"/>
    <w:rsid w:val="00224849"/>
    <w:rsid w:val="00234A5F"/>
    <w:rsid w:val="00240280"/>
    <w:rsid w:val="00254864"/>
    <w:rsid w:val="00261CD0"/>
    <w:rsid w:val="00274131"/>
    <w:rsid w:val="002767CA"/>
    <w:rsid w:val="00280F0A"/>
    <w:rsid w:val="00287C61"/>
    <w:rsid w:val="0029368E"/>
    <w:rsid w:val="0029677A"/>
    <w:rsid w:val="002B2B3E"/>
    <w:rsid w:val="002C715F"/>
    <w:rsid w:val="002D4687"/>
    <w:rsid w:val="002E2F93"/>
    <w:rsid w:val="00303D75"/>
    <w:rsid w:val="0031236C"/>
    <w:rsid w:val="0033790A"/>
    <w:rsid w:val="003451FD"/>
    <w:rsid w:val="003672C2"/>
    <w:rsid w:val="00372B29"/>
    <w:rsid w:val="00381A06"/>
    <w:rsid w:val="0038336A"/>
    <w:rsid w:val="00385382"/>
    <w:rsid w:val="003E4F96"/>
    <w:rsid w:val="003F6DEA"/>
    <w:rsid w:val="0040051A"/>
    <w:rsid w:val="00421C1E"/>
    <w:rsid w:val="00456C33"/>
    <w:rsid w:val="0046281A"/>
    <w:rsid w:val="00465C03"/>
    <w:rsid w:val="00466E40"/>
    <w:rsid w:val="004C0568"/>
    <w:rsid w:val="004D7341"/>
    <w:rsid w:val="004E60B9"/>
    <w:rsid w:val="004F2F50"/>
    <w:rsid w:val="004F7368"/>
    <w:rsid w:val="0050679D"/>
    <w:rsid w:val="00506E34"/>
    <w:rsid w:val="005328F5"/>
    <w:rsid w:val="00543865"/>
    <w:rsid w:val="005440AC"/>
    <w:rsid w:val="005649C3"/>
    <w:rsid w:val="005754F6"/>
    <w:rsid w:val="00594298"/>
    <w:rsid w:val="005A3FD9"/>
    <w:rsid w:val="005C48A4"/>
    <w:rsid w:val="005E3FA2"/>
    <w:rsid w:val="005F72D8"/>
    <w:rsid w:val="006213A6"/>
    <w:rsid w:val="006335A1"/>
    <w:rsid w:val="00643209"/>
    <w:rsid w:val="00660B40"/>
    <w:rsid w:val="00673201"/>
    <w:rsid w:val="00685C57"/>
    <w:rsid w:val="006A6424"/>
    <w:rsid w:val="006B26DA"/>
    <w:rsid w:val="006B6DB7"/>
    <w:rsid w:val="006C629A"/>
    <w:rsid w:val="006C744C"/>
    <w:rsid w:val="006E0D20"/>
    <w:rsid w:val="006E3136"/>
    <w:rsid w:val="006F3915"/>
    <w:rsid w:val="007050FB"/>
    <w:rsid w:val="00736A66"/>
    <w:rsid w:val="007770DD"/>
    <w:rsid w:val="007C507B"/>
    <w:rsid w:val="007C7BAB"/>
    <w:rsid w:val="007E1FF9"/>
    <w:rsid w:val="007E3902"/>
    <w:rsid w:val="00853285"/>
    <w:rsid w:val="00854501"/>
    <w:rsid w:val="008648B4"/>
    <w:rsid w:val="0087308E"/>
    <w:rsid w:val="008D2BD6"/>
    <w:rsid w:val="008D5112"/>
    <w:rsid w:val="008D5250"/>
    <w:rsid w:val="008E1010"/>
    <w:rsid w:val="008F052B"/>
    <w:rsid w:val="009479B9"/>
    <w:rsid w:val="0095254B"/>
    <w:rsid w:val="00960953"/>
    <w:rsid w:val="00985437"/>
    <w:rsid w:val="009A4074"/>
    <w:rsid w:val="009B00AD"/>
    <w:rsid w:val="00A25636"/>
    <w:rsid w:val="00A319EE"/>
    <w:rsid w:val="00A33262"/>
    <w:rsid w:val="00A33C4A"/>
    <w:rsid w:val="00A52676"/>
    <w:rsid w:val="00A60753"/>
    <w:rsid w:val="00A60FB3"/>
    <w:rsid w:val="00A83084"/>
    <w:rsid w:val="00A8381E"/>
    <w:rsid w:val="00AA7D0E"/>
    <w:rsid w:val="00AB0DC9"/>
    <w:rsid w:val="00AE3933"/>
    <w:rsid w:val="00B207B6"/>
    <w:rsid w:val="00B401C1"/>
    <w:rsid w:val="00B40EC2"/>
    <w:rsid w:val="00B46913"/>
    <w:rsid w:val="00B50D9F"/>
    <w:rsid w:val="00B60043"/>
    <w:rsid w:val="00BB0646"/>
    <w:rsid w:val="00BB1D01"/>
    <w:rsid w:val="00C05A68"/>
    <w:rsid w:val="00C1069E"/>
    <w:rsid w:val="00C350DA"/>
    <w:rsid w:val="00C537B7"/>
    <w:rsid w:val="00C5654D"/>
    <w:rsid w:val="00C568BE"/>
    <w:rsid w:val="00C56ACC"/>
    <w:rsid w:val="00C603D8"/>
    <w:rsid w:val="00C75137"/>
    <w:rsid w:val="00CD70BF"/>
    <w:rsid w:val="00CF0EC8"/>
    <w:rsid w:val="00D11444"/>
    <w:rsid w:val="00D51B76"/>
    <w:rsid w:val="00D51BE7"/>
    <w:rsid w:val="00DB4D72"/>
    <w:rsid w:val="00DE1DE5"/>
    <w:rsid w:val="00E10EC3"/>
    <w:rsid w:val="00E213CA"/>
    <w:rsid w:val="00E21BD7"/>
    <w:rsid w:val="00E230EB"/>
    <w:rsid w:val="00E536EE"/>
    <w:rsid w:val="00E62A90"/>
    <w:rsid w:val="00EB5611"/>
    <w:rsid w:val="00EB70C3"/>
    <w:rsid w:val="00EB7E36"/>
    <w:rsid w:val="00EC39B3"/>
    <w:rsid w:val="00F06609"/>
    <w:rsid w:val="00F11C9C"/>
    <w:rsid w:val="00F30166"/>
    <w:rsid w:val="00F4776E"/>
    <w:rsid w:val="00F50BCA"/>
    <w:rsid w:val="00F56F7B"/>
    <w:rsid w:val="00F95A42"/>
    <w:rsid w:val="00F971F6"/>
    <w:rsid w:val="00FA02BF"/>
    <w:rsid w:val="00FA7DA3"/>
    <w:rsid w:val="00FB4F81"/>
    <w:rsid w:val="00FE5EB2"/>
    <w:rsid w:val="00FE6200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B2B3E"/>
    <w:pPr>
      <w:keepNext/>
      <w:spacing w:before="40" w:after="40" w:line="240" w:lineRule="auto"/>
      <w:jc w:val="center"/>
      <w:outlineLvl w:val="0"/>
    </w:pPr>
    <w:rPr>
      <w:rFonts w:ascii="Verdana" w:eastAsia="Times New Roman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3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3E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2B2B3E"/>
    <w:pPr>
      <w:spacing w:after="0" w:line="240" w:lineRule="auto"/>
      <w:jc w:val="center"/>
    </w:pPr>
    <w:rPr>
      <w:rFonts w:ascii="Verdana" w:eastAsia="Times New Roman" w:hAnsi="Verdana" w:cs="Verdan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2B2B3E"/>
    <w:pPr>
      <w:spacing w:after="0" w:line="240" w:lineRule="auto"/>
    </w:pPr>
    <w:rPr>
      <w:rFonts w:ascii="Verdana" w:eastAsia="Times New Roman" w:hAnsi="Verdana" w:cs="Verdan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54"/>
  </w:style>
  <w:style w:type="paragraph" w:styleId="Footer">
    <w:name w:val="footer"/>
    <w:basedOn w:val="Normal"/>
    <w:link w:val="Foot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B2B3E"/>
    <w:pPr>
      <w:keepNext/>
      <w:spacing w:before="40" w:after="40" w:line="240" w:lineRule="auto"/>
      <w:jc w:val="center"/>
      <w:outlineLvl w:val="0"/>
    </w:pPr>
    <w:rPr>
      <w:rFonts w:ascii="Verdana" w:eastAsia="Times New Roman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3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3E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2B2B3E"/>
    <w:pPr>
      <w:spacing w:after="0" w:line="240" w:lineRule="auto"/>
      <w:jc w:val="center"/>
    </w:pPr>
    <w:rPr>
      <w:rFonts w:ascii="Verdana" w:eastAsia="Times New Roman" w:hAnsi="Verdana" w:cs="Verdan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2B2B3E"/>
    <w:pPr>
      <w:spacing w:after="0" w:line="240" w:lineRule="auto"/>
    </w:pPr>
    <w:rPr>
      <w:rFonts w:ascii="Verdana" w:eastAsia="Times New Roman" w:hAnsi="Verdana" w:cs="Verdan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B2B3E"/>
    <w:rPr>
      <w:rFonts w:ascii="Verdana" w:eastAsia="Times New Roman" w:hAnsi="Verdana" w:cs="Verdan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54"/>
  </w:style>
  <w:style w:type="paragraph" w:styleId="Footer">
    <w:name w:val="footer"/>
    <w:basedOn w:val="Normal"/>
    <w:link w:val="Foot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53C06-3842-405F-9F3C-D50932C5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PESIT</dc:creator>
  <cp:lastModifiedBy>Srinivasa Murthy</cp:lastModifiedBy>
  <cp:revision>166</cp:revision>
  <dcterms:created xsi:type="dcterms:W3CDTF">2014-07-16T00:42:00Z</dcterms:created>
  <dcterms:modified xsi:type="dcterms:W3CDTF">2018-07-25T16:58:00Z</dcterms:modified>
</cp:coreProperties>
</file>