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E9423" w14:textId="77777777" w:rsidR="005F0AAF" w:rsidRDefault="00D86581" w:rsidP="00D86581">
      <w:pPr>
        <w:jc w:val="center"/>
        <w:rPr>
          <w:b/>
          <w:lang w:val="en-US"/>
        </w:rPr>
      </w:pPr>
      <w:r>
        <w:rPr>
          <w:b/>
          <w:lang w:val="en-US"/>
        </w:rPr>
        <w:t>COSTS</w:t>
      </w:r>
    </w:p>
    <w:p w14:paraId="33DA779C" w14:textId="77777777" w:rsidR="00D86581" w:rsidRPr="00D86581" w:rsidRDefault="00D86581" w:rsidP="00D86581">
      <w:pPr>
        <w:shd w:val="clear" w:color="auto" w:fill="FFFFFF"/>
        <w:spacing w:after="150" w:line="290" w:lineRule="atLeast"/>
        <w:outlineLvl w:val="2"/>
        <w:rPr>
          <w:rFonts w:eastAsia="Times New Roman" w:cstheme="minorHAnsi"/>
          <w:b/>
          <w:bCs/>
          <w:color w:val="323232"/>
          <w:lang w:eastAsia="en-IN"/>
        </w:rPr>
      </w:pPr>
      <w:r w:rsidRPr="00D86581">
        <w:rPr>
          <w:rFonts w:eastAsia="Times New Roman" w:cstheme="minorHAnsi"/>
          <w:b/>
          <w:bCs/>
          <w:color w:val="323232"/>
          <w:lang w:eastAsia="en-IN"/>
        </w:rPr>
        <w:t>Core Layer</w:t>
      </w:r>
    </w:p>
    <w:p w14:paraId="5F2B78F5" w14:textId="77777777" w:rsidR="00D86581" w:rsidRPr="00D86581" w:rsidRDefault="00D86581" w:rsidP="00D86581">
      <w:pPr>
        <w:shd w:val="clear" w:color="auto" w:fill="FFFFFF"/>
        <w:spacing w:after="360" w:line="401" w:lineRule="atLeast"/>
        <w:rPr>
          <w:rFonts w:eastAsia="Times New Roman" w:cstheme="minorHAnsi"/>
          <w:sz w:val="24"/>
          <w:szCs w:val="24"/>
          <w:lang w:eastAsia="en-IN"/>
        </w:rPr>
      </w:pPr>
      <w:r w:rsidRPr="00D86581">
        <w:rPr>
          <w:rFonts w:eastAsia="Times New Roman" w:cstheme="minorHAnsi"/>
          <w:sz w:val="24"/>
          <w:szCs w:val="24"/>
          <w:lang w:eastAsia="en-IN"/>
        </w:rPr>
        <w:t>The core layer is responsible for fast and reliable transportation of data across a network. The core layer is often known as the backbone or foundation network because all other layers rely upon it. Its purpose is to reduce the latency time in the delivery of packets. The factors to be considered while designing devices to be used in the core layer are:</w:t>
      </w:r>
    </w:p>
    <w:p w14:paraId="21CC2E51" w14:textId="77777777" w:rsidR="00D86581" w:rsidRPr="00D86581" w:rsidRDefault="00D86581" w:rsidP="00D86581">
      <w:pPr>
        <w:shd w:val="clear" w:color="auto" w:fill="FFFFFF"/>
        <w:spacing w:before="360" w:after="360" w:line="401" w:lineRule="atLeast"/>
        <w:rPr>
          <w:rFonts w:eastAsia="Times New Roman" w:cstheme="minorHAnsi"/>
          <w:sz w:val="24"/>
          <w:szCs w:val="24"/>
          <w:lang w:eastAsia="en-IN"/>
        </w:rPr>
      </w:pPr>
      <w:r w:rsidRPr="00D86581">
        <w:rPr>
          <w:rFonts w:eastAsia="Times New Roman" w:cstheme="minorHAnsi"/>
          <w:sz w:val="24"/>
          <w:szCs w:val="24"/>
          <w:lang w:eastAsia="en-IN"/>
        </w:rPr>
        <w:br/>
        <w:t xml:space="preserve">At the core layer, efficiency is the key term. Fewer and faster systems create a more efficient backbone. There are various </w:t>
      </w:r>
      <w:proofErr w:type="spellStart"/>
      <w:r w:rsidRPr="00D86581">
        <w:rPr>
          <w:rFonts w:eastAsia="Times New Roman" w:cstheme="minorHAnsi"/>
          <w:sz w:val="24"/>
          <w:szCs w:val="24"/>
          <w:lang w:eastAsia="en-IN"/>
        </w:rPr>
        <w:t>equipments</w:t>
      </w:r>
      <w:proofErr w:type="spellEnd"/>
      <w:r w:rsidRPr="00D86581">
        <w:rPr>
          <w:rFonts w:eastAsia="Times New Roman" w:cstheme="minorHAnsi"/>
          <w:sz w:val="24"/>
          <w:szCs w:val="24"/>
          <w:lang w:eastAsia="en-IN"/>
        </w:rPr>
        <w:t xml:space="preserve"> available for the core layer. Examples of core layer Cisco equipment include:</w:t>
      </w:r>
    </w:p>
    <w:p w14:paraId="31198EB3" w14:textId="77777777" w:rsidR="00D86581" w:rsidRPr="00D86581" w:rsidRDefault="00D86581" w:rsidP="00D86581">
      <w:pPr>
        <w:numPr>
          <w:ilvl w:val="0"/>
          <w:numId w:val="1"/>
        </w:numPr>
        <w:shd w:val="clear" w:color="auto" w:fill="FFFFFF"/>
        <w:spacing w:before="150" w:after="150" w:line="401" w:lineRule="atLeast"/>
        <w:ind w:left="375"/>
        <w:rPr>
          <w:rFonts w:eastAsia="Times New Roman" w:cstheme="minorHAnsi"/>
          <w:sz w:val="24"/>
          <w:szCs w:val="24"/>
          <w:lang w:eastAsia="en-IN"/>
        </w:rPr>
      </w:pPr>
      <w:r w:rsidRPr="00D86581">
        <w:rPr>
          <w:rFonts w:eastAsia="Times New Roman" w:cstheme="minorHAnsi"/>
          <w:sz w:val="24"/>
          <w:szCs w:val="24"/>
          <w:lang w:eastAsia="en-IN"/>
        </w:rPr>
        <w:t> Cisco switches such as 7000, 7200, 7500, and 12000 (for WAN use)</w:t>
      </w:r>
    </w:p>
    <w:p w14:paraId="3C84487D" w14:textId="77777777" w:rsidR="00D86581" w:rsidRPr="00D86581" w:rsidRDefault="00D86581" w:rsidP="00D86581">
      <w:pPr>
        <w:numPr>
          <w:ilvl w:val="0"/>
          <w:numId w:val="1"/>
        </w:numPr>
        <w:shd w:val="clear" w:color="auto" w:fill="FFFFFF"/>
        <w:spacing w:before="150" w:after="150" w:line="401" w:lineRule="atLeast"/>
        <w:ind w:left="375"/>
        <w:rPr>
          <w:rFonts w:eastAsia="Times New Roman" w:cstheme="minorHAnsi"/>
          <w:sz w:val="24"/>
          <w:szCs w:val="24"/>
          <w:lang w:eastAsia="en-IN"/>
        </w:rPr>
      </w:pPr>
      <w:r w:rsidRPr="00D86581">
        <w:rPr>
          <w:rFonts w:eastAsia="Times New Roman" w:cstheme="minorHAnsi"/>
          <w:sz w:val="24"/>
          <w:szCs w:val="24"/>
          <w:lang w:eastAsia="en-IN"/>
        </w:rPr>
        <w:t> Catalyst switches such as 6000, 5000, and 4000 (for LAN use)</w:t>
      </w:r>
    </w:p>
    <w:p w14:paraId="39DDA69F" w14:textId="0A70E110" w:rsidR="00D86581" w:rsidRDefault="00D86581" w:rsidP="00D86581">
      <w:pPr>
        <w:numPr>
          <w:ilvl w:val="0"/>
          <w:numId w:val="1"/>
        </w:numPr>
        <w:shd w:val="clear" w:color="auto" w:fill="FFFFFF"/>
        <w:spacing w:before="150" w:after="150" w:line="401" w:lineRule="atLeast"/>
        <w:ind w:left="375"/>
        <w:rPr>
          <w:rFonts w:eastAsia="Times New Roman" w:cstheme="minorHAnsi"/>
          <w:sz w:val="24"/>
          <w:szCs w:val="24"/>
          <w:lang w:eastAsia="en-IN"/>
        </w:rPr>
      </w:pPr>
      <w:r w:rsidRPr="00D86581">
        <w:rPr>
          <w:rFonts w:eastAsia="Times New Roman" w:cstheme="minorHAnsi"/>
          <w:sz w:val="24"/>
          <w:szCs w:val="24"/>
          <w:lang w:eastAsia="en-IN"/>
        </w:rPr>
        <w:t> T-1 and E-1 lines, Frame relay connections, ATM networks, Switched Multimegabit Data Service (SMDS)</w:t>
      </w:r>
    </w:p>
    <w:tbl>
      <w:tblPr>
        <w:tblStyle w:val="TableGrid"/>
        <w:tblW w:w="0" w:type="auto"/>
        <w:tblLook w:val="04A0" w:firstRow="1" w:lastRow="0" w:firstColumn="1" w:lastColumn="0" w:noHBand="0" w:noVBand="1"/>
      </w:tblPr>
      <w:tblGrid>
        <w:gridCol w:w="4508"/>
        <w:gridCol w:w="4508"/>
      </w:tblGrid>
      <w:tr w:rsidR="00D86581" w14:paraId="0354E330" w14:textId="77777777" w:rsidTr="00D86581">
        <w:tc>
          <w:tcPr>
            <w:tcW w:w="4508" w:type="dxa"/>
          </w:tcPr>
          <w:p w14:paraId="22950B7C" w14:textId="79E7F1BE" w:rsidR="00D86581" w:rsidRPr="00D86581" w:rsidRDefault="00D86581" w:rsidP="00D86581">
            <w:pPr>
              <w:spacing w:before="150" w:after="150" w:line="401" w:lineRule="atLeast"/>
              <w:jc w:val="center"/>
              <w:rPr>
                <w:rFonts w:eastAsia="Times New Roman" w:cstheme="minorHAnsi"/>
                <w:b/>
                <w:sz w:val="24"/>
                <w:szCs w:val="24"/>
                <w:lang w:eastAsia="en-IN"/>
              </w:rPr>
            </w:pPr>
            <w:r>
              <w:rPr>
                <w:rFonts w:eastAsia="Times New Roman" w:cstheme="minorHAnsi"/>
                <w:b/>
                <w:sz w:val="24"/>
                <w:szCs w:val="24"/>
                <w:lang w:eastAsia="en-IN"/>
              </w:rPr>
              <w:t>DEVICE</w:t>
            </w:r>
          </w:p>
        </w:tc>
        <w:tc>
          <w:tcPr>
            <w:tcW w:w="4508" w:type="dxa"/>
          </w:tcPr>
          <w:p w14:paraId="4AE66246" w14:textId="431BD6B0" w:rsidR="00D86581" w:rsidRPr="00D86581" w:rsidRDefault="00D86581" w:rsidP="00D86581">
            <w:pPr>
              <w:spacing w:before="150" w:after="150" w:line="401" w:lineRule="atLeast"/>
              <w:jc w:val="center"/>
              <w:rPr>
                <w:rFonts w:eastAsia="Times New Roman" w:cstheme="minorHAnsi"/>
                <w:b/>
                <w:sz w:val="24"/>
                <w:szCs w:val="24"/>
                <w:lang w:eastAsia="en-IN"/>
              </w:rPr>
            </w:pPr>
            <w:r>
              <w:rPr>
                <w:rFonts w:eastAsia="Times New Roman" w:cstheme="minorHAnsi"/>
                <w:b/>
                <w:sz w:val="24"/>
                <w:szCs w:val="24"/>
                <w:lang w:eastAsia="en-IN"/>
              </w:rPr>
              <w:t>COST</w:t>
            </w:r>
          </w:p>
        </w:tc>
      </w:tr>
      <w:tr w:rsidR="00D86581" w14:paraId="6F280AD4" w14:textId="77777777" w:rsidTr="00D86581">
        <w:tc>
          <w:tcPr>
            <w:tcW w:w="4508" w:type="dxa"/>
          </w:tcPr>
          <w:p w14:paraId="6A9C4E0D" w14:textId="6E2B2162" w:rsidR="00D86581" w:rsidRDefault="00D86581" w:rsidP="00D86581">
            <w:pPr>
              <w:spacing w:before="150" w:after="150" w:line="401" w:lineRule="atLeast"/>
              <w:rPr>
                <w:rFonts w:eastAsia="Times New Roman" w:cstheme="minorHAnsi"/>
                <w:sz w:val="24"/>
                <w:szCs w:val="24"/>
                <w:lang w:eastAsia="en-IN"/>
              </w:rPr>
            </w:pPr>
            <w:r>
              <w:rPr>
                <w:rFonts w:eastAsia="Times New Roman" w:cstheme="minorHAnsi"/>
                <w:sz w:val="24"/>
                <w:szCs w:val="24"/>
                <w:lang w:eastAsia="en-IN"/>
              </w:rPr>
              <w:t>Cisco switch 7000</w:t>
            </w:r>
            <w:r w:rsidR="005A151B">
              <w:rPr>
                <w:rFonts w:eastAsia="Times New Roman" w:cstheme="minorHAnsi"/>
                <w:sz w:val="24"/>
                <w:szCs w:val="24"/>
                <w:lang w:eastAsia="en-IN"/>
              </w:rPr>
              <w:t xml:space="preserve"> series (for WAN)</w:t>
            </w:r>
          </w:p>
        </w:tc>
        <w:tc>
          <w:tcPr>
            <w:tcW w:w="4508" w:type="dxa"/>
          </w:tcPr>
          <w:p w14:paraId="096B299C" w14:textId="403B85E7" w:rsidR="00D86581" w:rsidRDefault="001F4B99" w:rsidP="00D86581">
            <w:pPr>
              <w:spacing w:before="150" w:after="150" w:line="401" w:lineRule="atLeast"/>
              <w:rPr>
                <w:rFonts w:eastAsia="Times New Roman" w:cstheme="minorHAnsi"/>
                <w:sz w:val="24"/>
                <w:szCs w:val="24"/>
                <w:lang w:eastAsia="en-IN"/>
              </w:rPr>
            </w:pPr>
            <w:r>
              <w:rPr>
                <w:rFonts w:eastAsia="Times New Roman" w:cstheme="minorHAnsi"/>
                <w:sz w:val="24"/>
                <w:szCs w:val="24"/>
                <w:lang w:eastAsia="en-IN"/>
              </w:rPr>
              <w:t>Rs. 9,47,000/-</w:t>
            </w:r>
          </w:p>
        </w:tc>
      </w:tr>
      <w:tr w:rsidR="00D86581" w14:paraId="694C7902" w14:textId="77777777" w:rsidTr="00D86581">
        <w:tc>
          <w:tcPr>
            <w:tcW w:w="4508" w:type="dxa"/>
          </w:tcPr>
          <w:p w14:paraId="6E3459F4" w14:textId="1A59E9BB" w:rsidR="00D86581" w:rsidRDefault="00426E5E" w:rsidP="00D86581">
            <w:pPr>
              <w:spacing w:before="150" w:after="150" w:line="401" w:lineRule="atLeast"/>
              <w:rPr>
                <w:rFonts w:eastAsia="Times New Roman" w:cstheme="minorHAnsi"/>
                <w:sz w:val="24"/>
                <w:szCs w:val="24"/>
                <w:lang w:eastAsia="en-IN"/>
              </w:rPr>
            </w:pPr>
            <w:r>
              <w:rPr>
                <w:rFonts w:eastAsia="Times New Roman" w:cstheme="minorHAnsi"/>
                <w:sz w:val="24"/>
                <w:szCs w:val="24"/>
                <w:lang w:eastAsia="en-IN"/>
              </w:rPr>
              <w:t>Catalyst 6000 series (for LAN</w:t>
            </w:r>
            <w:r w:rsidR="009A696F">
              <w:rPr>
                <w:rFonts w:eastAsia="Times New Roman" w:cstheme="minorHAnsi"/>
                <w:sz w:val="24"/>
                <w:szCs w:val="24"/>
                <w:lang w:eastAsia="en-IN"/>
              </w:rPr>
              <w:t>)</w:t>
            </w:r>
          </w:p>
        </w:tc>
        <w:tc>
          <w:tcPr>
            <w:tcW w:w="4508" w:type="dxa"/>
          </w:tcPr>
          <w:p w14:paraId="696BD80E" w14:textId="0F8813D1" w:rsidR="00D86581" w:rsidRDefault="009A696F" w:rsidP="00D86581">
            <w:pPr>
              <w:spacing w:before="150" w:after="150" w:line="401" w:lineRule="atLeast"/>
              <w:rPr>
                <w:rFonts w:eastAsia="Times New Roman" w:cstheme="minorHAnsi"/>
                <w:sz w:val="24"/>
                <w:szCs w:val="24"/>
                <w:lang w:eastAsia="en-IN"/>
              </w:rPr>
            </w:pPr>
            <w:r>
              <w:rPr>
                <w:rFonts w:eastAsia="Times New Roman" w:cstheme="minorHAnsi"/>
                <w:sz w:val="24"/>
                <w:szCs w:val="24"/>
                <w:lang w:eastAsia="en-IN"/>
              </w:rPr>
              <w:t xml:space="preserve">Rs. </w:t>
            </w:r>
            <w:r w:rsidR="00AB4839">
              <w:rPr>
                <w:rFonts w:eastAsia="Times New Roman" w:cstheme="minorHAnsi"/>
                <w:sz w:val="24"/>
                <w:szCs w:val="24"/>
                <w:lang w:eastAsia="en-IN"/>
              </w:rPr>
              <w:t>2,80,000/-</w:t>
            </w:r>
          </w:p>
        </w:tc>
      </w:tr>
      <w:tr w:rsidR="00D86581" w14:paraId="41966059" w14:textId="77777777" w:rsidTr="00D86581">
        <w:tc>
          <w:tcPr>
            <w:tcW w:w="4508" w:type="dxa"/>
          </w:tcPr>
          <w:p w14:paraId="35CB3F75" w14:textId="20FA3536" w:rsidR="00D86581" w:rsidRDefault="0025252C" w:rsidP="00D86581">
            <w:pPr>
              <w:spacing w:before="150" w:after="150" w:line="401" w:lineRule="atLeast"/>
              <w:rPr>
                <w:rFonts w:eastAsia="Times New Roman" w:cstheme="minorHAnsi"/>
                <w:sz w:val="24"/>
                <w:szCs w:val="24"/>
                <w:lang w:eastAsia="en-IN"/>
              </w:rPr>
            </w:pPr>
            <w:r>
              <w:rPr>
                <w:rFonts w:eastAsia="Times New Roman" w:cstheme="minorHAnsi"/>
                <w:sz w:val="24"/>
                <w:szCs w:val="24"/>
                <w:lang w:eastAsia="en-IN"/>
              </w:rPr>
              <w:t>T1 lines</w:t>
            </w:r>
          </w:p>
        </w:tc>
        <w:tc>
          <w:tcPr>
            <w:tcW w:w="4508" w:type="dxa"/>
          </w:tcPr>
          <w:p w14:paraId="514E3D66" w14:textId="6B94356C" w:rsidR="00D86581" w:rsidRDefault="0025252C" w:rsidP="00D86581">
            <w:pPr>
              <w:spacing w:before="150" w:after="150" w:line="401" w:lineRule="atLeast"/>
              <w:rPr>
                <w:rFonts w:eastAsia="Times New Roman" w:cstheme="minorHAnsi"/>
                <w:sz w:val="24"/>
                <w:szCs w:val="24"/>
                <w:lang w:eastAsia="en-IN"/>
              </w:rPr>
            </w:pPr>
            <w:r>
              <w:rPr>
                <w:rFonts w:eastAsia="Times New Roman" w:cstheme="minorHAnsi"/>
                <w:sz w:val="24"/>
                <w:szCs w:val="24"/>
                <w:lang w:eastAsia="en-IN"/>
              </w:rPr>
              <w:t>Rs. 14,000/- per month</w:t>
            </w:r>
            <w:bookmarkStart w:id="0" w:name="_GoBack"/>
            <w:bookmarkEnd w:id="0"/>
          </w:p>
        </w:tc>
      </w:tr>
    </w:tbl>
    <w:p w14:paraId="2776CD86" w14:textId="77777777" w:rsidR="00D86581" w:rsidRPr="00D86581" w:rsidRDefault="00D86581" w:rsidP="00D86581">
      <w:pPr>
        <w:shd w:val="clear" w:color="auto" w:fill="FFFFFF"/>
        <w:spacing w:before="150" w:after="150" w:line="401" w:lineRule="atLeast"/>
        <w:ind w:left="375"/>
        <w:rPr>
          <w:rFonts w:eastAsia="Times New Roman" w:cstheme="minorHAnsi"/>
          <w:sz w:val="24"/>
          <w:szCs w:val="24"/>
          <w:lang w:eastAsia="en-IN"/>
        </w:rPr>
      </w:pPr>
    </w:p>
    <w:p w14:paraId="76B5E924" w14:textId="77777777" w:rsidR="00D86581" w:rsidRPr="00D86581" w:rsidRDefault="00D86581" w:rsidP="00D86581">
      <w:pPr>
        <w:rPr>
          <w:lang w:val="en-US"/>
        </w:rPr>
      </w:pPr>
    </w:p>
    <w:sectPr w:rsidR="00D86581" w:rsidRPr="00D86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76282"/>
    <w:multiLevelType w:val="multilevel"/>
    <w:tmpl w:val="BACE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81"/>
    <w:rsid w:val="000737B3"/>
    <w:rsid w:val="001F4B99"/>
    <w:rsid w:val="0025252C"/>
    <w:rsid w:val="00426E5E"/>
    <w:rsid w:val="005A151B"/>
    <w:rsid w:val="005F0AAF"/>
    <w:rsid w:val="009A696F"/>
    <w:rsid w:val="00AB4839"/>
    <w:rsid w:val="00D57CA9"/>
    <w:rsid w:val="00D86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8704"/>
  <w15:chartTrackingRefBased/>
  <w15:docId w15:val="{34A339F1-1CA5-4AEA-95CF-3FA2376A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865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658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8658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86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865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D865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D865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73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talesara</dc:creator>
  <cp:keywords/>
  <dc:description/>
  <cp:lastModifiedBy>rohan talesara</cp:lastModifiedBy>
  <cp:revision>6</cp:revision>
  <dcterms:created xsi:type="dcterms:W3CDTF">2019-03-04T19:22:00Z</dcterms:created>
  <dcterms:modified xsi:type="dcterms:W3CDTF">2019-03-04T19:34:00Z</dcterms:modified>
</cp:coreProperties>
</file>