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Product Requirements Document</w:t>
      </w:r>
    </w:p>
    <w:p>
      <w:pPr>
        <w:spacing w:after="100"/>
        <w:jc w:val="center"/>
      </w:pPr>
      <w:r>
        <w:rPr>
          <w:b/>
          <w:bCs/>
          <w:sz w:val="40"/>
          <w:szCs w:val="40"/>
        </w:rPr>
        <w:t xml:space="preserve">AI-Powered MSME Financial Health Card</w:t>
      </w:r>
    </w:p>
    <w:p>
      <w:pPr>
        <w:spacing w:after="600"/>
        <w:jc w:val="center"/>
      </w:pPr>
      <w:r>
        <w:rPr>
          <w:i/>
          <w:iCs/>
          <w:sz w:val="26"/>
          <w:szCs w:val="26"/>
        </w:rPr>
        <w:t xml:space="preserve">For New-to-Credit (NTC) and New-to-Bank (NTB) Enterprises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3864" w:color="auto" w:val="clear"/>
            <w:vAlign w:val="center"/>
          </w:tcPr>
          <w:p>
            <w:r>
              <w:rPr>
                <w:b/>
                <w:bCs/>
                <w:color w:val="FFFFFF"/>
              </w:rPr>
              <w:t xml:space="preserve">Field</w:t>
            </w:r>
          </w:p>
        </w:tc>
        <w:tc>
          <w:tcPr>
            <w:tcW w:type="dxa" w:w="6326"/>
            <w:shd w:fill="1F3864" w:color="auto" w:val="clear"/>
            <w:vAlign w:val="center"/>
          </w:tcPr>
          <w:p>
            <w:r>
              <w:rPr>
                <w:b/>
                <w:bCs/>
                <w:color w:val="FFFFFF"/>
              </w:rPr>
              <w:t xml:space="preserve">Detail</w:t>
            </w:r>
          </w:p>
        </w:tc>
      </w:tr>
      <w:tr>
        <w:tc>
          <w:tcPr>
            <w:tcW w:type="dxa" w:w="2700"/>
            <w:vAlign w:val="center"/>
          </w:tcPr>
          <w:p>
            <w:r>
              <w:rPr>
                <w:b w:val="false"/>
                <w:bCs w:val="false"/>
              </w:rPr>
              <w:t xml:space="preserve">Document Title</w:t>
            </w:r>
          </w:p>
        </w:tc>
        <w:tc>
          <w:tcPr>
            <w:tcW w:type="dxa" w:w="6326"/>
            <w:vAlign w:val="center"/>
          </w:tcPr>
          <w:p>
            <w:r>
              <w:rPr>
                <w:b w:val="false"/>
                <w:bCs w:val="false"/>
              </w:rPr>
              <w:t xml:space="preserve">AI-Powered MSME Financial Health Card — PRD v2.0</w:t>
            </w:r>
          </w:p>
        </w:tc>
      </w:tr>
      <w:tr>
        <w:tc>
          <w:tcPr>
            <w:tcW w:type="dxa" w:w="2700"/>
            <w:vAlign w:val="center"/>
          </w:tcPr>
          <w:p>
            <w:r>
              <w:rPr>
                <w:b w:val="false"/>
                <w:bCs w:val="false"/>
              </w:rPr>
              <w:t xml:space="preserve">Version</w:t>
            </w:r>
          </w:p>
        </w:tc>
        <w:tc>
          <w:tcPr>
            <w:tcW w:type="dxa" w:w="6326"/>
            <w:vAlign w:val="center"/>
          </w:tcPr>
          <w:p>
            <w:r>
              <w:rPr>
                <w:b w:val="false"/>
                <w:bCs w:val="false"/>
              </w:rPr>
              <w:t xml:space="preserve">2.0 (Revised)</w:t>
            </w:r>
          </w:p>
        </w:tc>
      </w:tr>
      <w:tr>
        <w:tc>
          <w:tcPr>
            <w:tcW w:type="dxa" w:w="2700"/>
            <w:vAlign w:val="center"/>
          </w:tcPr>
          <w:p>
            <w:r>
              <w:rPr>
                <w:b w:val="false"/>
                <w:bCs w:val="false"/>
              </w:rPr>
              <w:t xml:space="preserve">Status</w:t>
            </w:r>
          </w:p>
        </w:tc>
        <w:tc>
          <w:tcPr>
            <w:tcW w:type="dxa" w:w="6326"/>
            <w:vAlign w:val="center"/>
          </w:tcPr>
          <w:p>
            <w:r>
              <w:rPr>
                <w:b w:val="false"/>
                <w:bCs w:val="false"/>
              </w:rPr>
              <w:t xml:space="preserve">Draft for Review</w:t>
            </w:r>
          </w:p>
        </w:tc>
      </w:tr>
      <w:tr>
        <w:tc>
          <w:tcPr>
            <w:tcW w:type="dxa" w:w="2700"/>
            <w:vAlign w:val="center"/>
          </w:tcPr>
          <w:p>
            <w:r>
              <w:rPr>
                <w:b w:val="false"/>
                <w:bCs w:val="false"/>
              </w:rPr>
              <w:t xml:space="preserve">Owner</w:t>
            </w:r>
          </w:p>
        </w:tc>
        <w:tc>
          <w:tcPr>
            <w:tcW w:type="dxa" w:w="6326"/>
            <w:vAlign w:val="center"/>
          </w:tcPr>
          <w:p>
            <w:r>
              <w:rPr>
                <w:b w:val="false"/>
                <w:bCs w:val="false"/>
              </w:rPr>
              <w:t xml:space="preserve">Om</w:t>
            </w:r>
          </w:p>
        </w:tc>
      </w:tr>
      <w:tr>
        <w:tc>
          <w:tcPr>
            <w:tcW w:type="dxa" w:w="2700"/>
            <w:vAlign w:val="center"/>
          </w:tcPr>
          <w:p>
            <w:r>
              <w:rPr>
                <w:b w:val="false"/>
                <w:bCs w:val="false"/>
              </w:rPr>
              <w:t xml:space="preserve">Last Updated</w:t>
            </w:r>
          </w:p>
        </w:tc>
        <w:tc>
          <w:tcPr>
            <w:tcW w:type="dxa" w:w="6326"/>
            <w:vAlign w:val="center"/>
          </w:tcPr>
          <w:p>
            <w:r>
              <w:rPr>
                <w:b w:val="false"/>
                <w:bCs w:val="false"/>
              </w:rPr>
              <w:t xml:space="preserve">July 2026</w:t>
            </w:r>
          </w:p>
        </w:tc>
      </w:tr>
      <w:tr>
        <w:tc>
          <w:tcPr>
            <w:tcW w:type="dxa" w:w="2700"/>
            <w:vAlign w:val="center"/>
          </w:tcPr>
          <w:p>
            <w:r>
              <w:rPr>
                <w:b w:val="false"/>
                <w:bCs w:val="false"/>
              </w:rPr>
              <w:t xml:space="preserve">Audience</w:t>
            </w:r>
          </w:p>
        </w:tc>
        <w:tc>
          <w:tcPr>
            <w:tcW w:type="dxa" w:w="6326"/>
            <w:vAlign w:val="center"/>
          </w:tcPr>
          <w:p>
            <w:r>
              <w:rPr>
                <w:b w:val="false"/>
                <w:bCs w:val="false"/>
              </w:rPr>
              <w:t xml:space="preserve">Product managers, engineering, data science, risk/credit, compliance</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60"/>
      </w:pPr>
      <w:r>
        <w:t xml:space="preserve">1.1 Purpose</w:t>
      </w:r>
    </w:p>
    <w:p>
      <w:pPr>
        <w:spacing w:after="160"/>
        <w:jc w:val="left"/>
      </w:pPr>
      <w:r>
        <w:rPr>
          <w:b w:val="false"/>
          <w:bCs w:val="false"/>
          <w:i w:val="false"/>
          <w:iCs w:val="false"/>
        </w:rPr>
        <w:t xml:space="preserve">This Product Requirements Document (PRD) specifies the design and requirements for an AI-Powered MSME Financial Health Card. The goal is to give New-to-Credit (NTC) and New-to-Bank (NTB) Micro, Small, and Medium Enterprises (MSMEs) a path to formal credit by converting their alternate digital footprint into an explainable, lender-ready financial health assessment.</w:t>
      </w:r>
    </w:p>
    <w:p>
      <w:pPr>
        <w:pStyle w:val="Heading2"/>
        <w:spacing w:after="120" w:before="260"/>
      </w:pPr>
      <w:r>
        <w:t xml:space="preserve">1.2 Scope</w:t>
      </w:r>
    </w:p>
    <w:p>
      <w:pPr>
        <w:spacing w:after="160"/>
        <w:jc w:val="left"/>
      </w:pPr>
      <w:r>
        <w:rPr>
          <w:b w:val="false"/>
          <w:bCs w:val="false"/>
          <w:i w:val="false"/>
          <w:iCs w:val="false"/>
        </w:rPr>
        <w:t xml:space="preserve">This document covers: aggregation of consented alternate digital data; transformation of that data into risk-relevant features; generation of an explainable, multidimensional financial health score; presentation of underwriting insights through a lender-facing dashboard; and the regulatory, compliance, and non-functional requirements needed to move this from a demo to a production system. It also defines what is explicitly out of scope for the initial build.</w:t>
      </w:r>
    </w:p>
    <w:p>
      <w:pPr>
        <w:pStyle w:val="Heading2"/>
        <w:spacing w:after="120" w:before="260"/>
      </w:pPr>
      <w:r>
        <w:t xml:space="preserve">1.3 Document Audience</w:t>
      </w:r>
    </w:p>
    <w:p>
      <w:pPr>
        <w:spacing w:after="160"/>
        <w:jc w:val="left"/>
      </w:pPr>
      <w:r>
        <w:rPr>
          <w:b w:val="false"/>
          <w:bCs w:val="false"/>
          <w:i w:val="false"/>
          <w:iCs w:val="false"/>
        </w:rPr>
        <w:t xml:space="preserve">Product managers, engineering teams, data scientists, risk analysts, and compliance officers involved in designing, building, and deploying the AI-Powered MSME Financial Health Card, as well as reviewers evaluating this as a hackathon or early-stage product submission.</w:t>
      </w:r>
    </w:p>
    <w:p>
      <w:pPr>
        <w:pStyle w:val="Heading1"/>
        <w:spacing w:after="160" w:before="360"/>
      </w:pPr>
      <w:r>
        <w:t xml:space="preserve">2. Product Overview</w:t>
      </w:r>
    </w:p>
    <w:p>
      <w:pPr>
        <w:pStyle w:val="Heading2"/>
        <w:spacing w:after="120" w:before="260"/>
      </w:pPr>
      <w:r>
        <w:t xml:space="preserve">2.1 Product Name</w:t>
      </w:r>
    </w:p>
    <w:p>
      <w:pPr>
        <w:spacing w:after="160"/>
        <w:jc w:val="left"/>
      </w:pPr>
      <w:r>
        <w:rPr>
          <w:b w:val="false"/>
          <w:bCs w:val="false"/>
          <w:i w:val="false"/>
          <w:iCs w:val="false"/>
        </w:rPr>
        <w:t xml:space="preserve">AI-Powered MSME Financial Health Card for New-to-Credit and New-to-Bank Enterprises</w:t>
      </w:r>
    </w:p>
    <w:p>
      <w:pPr>
        <w:pStyle w:val="Heading2"/>
        <w:spacing w:after="120" w:before="260"/>
      </w:pPr>
      <w:r>
        <w:t xml:space="preserve">2.2 Background</w:t>
      </w:r>
    </w:p>
    <w:p>
      <w:pPr>
        <w:spacing w:after="160"/>
        <w:jc w:val="left"/>
      </w:pPr>
      <w:r>
        <w:rPr>
          <w:b w:val="false"/>
          <w:bCs w:val="false"/>
          <w:i w:val="false"/>
          <w:iCs w:val="false"/>
        </w:rPr>
        <w:t xml:space="preserve">Traditional MSME loan appraisal depends heavily on audited financial statements, income tax returns, bank statements, collateral records, and bureau history. This excludes a large number of viable NTC and NTB MSMEs that are operationally active but lack formal financial depth or borrowing history. These same businesses generate substantial digital footprints through GST filings, e-invoices, UPI collections, consented bank transaction data (via Account Aggregator), EPFO payroll contributions, and utility usage — all of which can serve as credible proxies for cash-flow health, operational discipline, and repayment capacity.</w:t>
      </w:r>
    </w:p>
    <w:p>
      <w:pPr>
        <w:pStyle w:val="Heading2"/>
        <w:spacing w:after="120" w:before="260"/>
      </w:pPr>
      <w:r>
        <w:t xml:space="preserve">2.3 Problem Statement</w:t>
      </w:r>
    </w:p>
    <w:p>
      <w:pPr>
        <w:spacing w:after="160"/>
        <w:jc w:val="left"/>
      </w:pPr>
      <w:r>
        <w:rPr>
          <w:b w:val="false"/>
          <w:bCs w:val="false"/>
          <w:i w:val="false"/>
          <w:iCs w:val="false"/>
        </w:rPr>
        <w:t xml:space="preserve">There is no unified, explainable, near real-time framework that converts alternate digital business data into a lender-ready MSME financial health assessment. This gap results in slow underwriting, high false-rejection rates, limited portfolio diversification, inconsistent risk assessment for thin-file borrowers, and missed opportunities for formal credit inclusion.</w:t>
      </w:r>
    </w:p>
    <w:p>
      <w:pPr>
        <w:pStyle w:val="Heading2"/>
        <w:spacing w:after="120" w:before="260"/>
      </w:pPr>
      <w:r>
        <w:t xml:space="preserve">2.4 Product Objective</w:t>
      </w:r>
    </w:p>
    <w:p>
      <w:pPr>
        <w:spacing w:after="160"/>
        <w:jc w:val="left"/>
      </w:pPr>
      <w:r>
        <w:rPr>
          <w:b w:val="false"/>
          <w:bCs w:val="false"/>
          <w:i w:val="false"/>
          <w:iCs w:val="false"/>
        </w:rPr>
        <w:t xml:space="preserve">Design and build an AI/ML-powered Financial Health Card that aggregates consented alternate digital data from multiple sources, transforms it into risk-relevant features, and produces an explainable, multidimensional score for MSME financial health and creditworthiness — supporting underwriting and ongoing monitoring while remaining transparent, auditable, and compliant with consent-led digital lending practice.</w:t>
      </w:r>
    </w:p>
    <w:p>
      <w:pPr>
        <w:pStyle w:val="Heading2"/>
        <w:spacing w:after="120" w:before="260"/>
      </w:pPr>
      <w:r>
        <w:t xml:space="preserve">2.5 One-Line Summary</w:t>
      </w:r>
    </w:p>
    <w:p>
      <w:pPr>
        <w:spacing w:after="160"/>
        <w:jc w:val="left"/>
      </w:pPr>
      <w:r>
        <w:rPr>
          <w:b w:val="false"/>
          <w:bCs w:val="false"/>
          <w:i/>
          <w:iCs/>
        </w:rPr>
        <w:t xml:space="preserve">Build an AI-powered, explainable MSME Financial Health Card that uses consented alternate digital data — GST, UPI, AA, EPFO, utilities, and bank activity — to assess the creditworthiness of New-to-Credit and New-to-Bank businesses in near real time, enabling faster, fairer, and more inclusive lending.</w:t>
      </w:r>
    </w:p>
    <w:p>
      <w:pPr>
        <w:pStyle w:val="Heading2"/>
        <w:spacing w:after="120" w:before="260"/>
      </w:pPr>
      <w:r>
        <w:t xml:space="preserve">2.6 Polished Problem Statement</w:t>
      </w:r>
    </w:p>
    <w:p>
      <w:pPr>
        <w:spacing w:after="160"/>
        <w:jc w:val="left"/>
      </w:pPr>
      <w:r>
        <w:rPr>
          <w:b w:val="false"/>
          <w:bCs w:val="false"/>
          <w:i w:val="false"/>
          <w:iCs w:val="false"/>
        </w:rPr>
        <w:t xml:space="preserve">Traditional MSME credit appraisal depends heavily on audited statements, collateral, tax filings, and bureau history, which excludes many viable NTC and NTB enterprises from formal credit. Meanwhile, these businesses increasingly leave behind rich digital evidence of commercial activity through GST, digital payments, bank transactions, payroll contributions, and utility consumption. The challenge is to transform this fragmented, alternate data into a unified, explainable, lender-ready financial health assessment that works in near real time — aggregating consented data, engineering meaningful business-risk signals, generating a multidimensional score, classifying risk, and presenting transparent decision support to lenders, while remaining compatible with India's evolving digital public infrastructure (Account Aggregator, OCEN, ULI).</w:t>
      </w:r>
    </w:p>
    <w:p>
      <w:pPr>
        <w:pStyle w:val="Heading1"/>
        <w:spacing w:after="160" w:before="360"/>
      </w:pPr>
      <w:r>
        <w:t xml:space="preserve">3. Market Landscape and Competitive Differentiation</w:t>
      </w:r>
    </w:p>
    <w:p>
      <w:pPr>
        <w:spacing w:after="160"/>
        <w:jc w:val="left"/>
      </w:pPr>
      <w:r>
        <w:rPr>
          <w:b w:val="false"/>
          <w:bCs w:val="false"/>
          <w:i w:val="false"/>
          <w:iCs w:val="false"/>
        </w:rPr>
        <w:t xml:space="preserve">This is not an empty space. Several players already address parts of this problem, and any credible PRD should say so plainly: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shd w:fill="1F3864" w:color="auto" w:val="clear"/>
            <w:vAlign w:val="center"/>
          </w:tcPr>
          <w:p>
            <w:r>
              <w:rPr>
                <w:b/>
                <w:bCs/>
                <w:color w:val="FFFFFF"/>
              </w:rPr>
              <w:t xml:space="preserve">Player</w:t>
            </w:r>
          </w:p>
        </w:tc>
        <w:tc>
          <w:tcPr>
            <w:tcW w:type="dxa" w:w="3800"/>
            <w:shd w:fill="1F3864" w:color="auto" w:val="clear"/>
            <w:vAlign w:val="center"/>
          </w:tcPr>
          <w:p>
            <w:r>
              <w:rPr>
                <w:b/>
                <w:bCs/>
                <w:color w:val="FFFFFF"/>
              </w:rPr>
              <w:t xml:space="preserve">Core Approach</w:t>
            </w:r>
          </w:p>
        </w:tc>
        <w:tc>
          <w:tcPr>
            <w:tcW w:type="dxa" w:w="2826"/>
            <w:shd w:fill="1F3864" w:color="auto" w:val="clear"/>
            <w:vAlign w:val="center"/>
          </w:tcPr>
          <w:p>
            <w:r>
              <w:rPr>
                <w:b/>
                <w:bCs/>
                <w:color w:val="FFFFFF"/>
              </w:rPr>
              <w:t xml:space="preserve">Primary Data Anchor</w:t>
            </w:r>
          </w:p>
        </w:tc>
      </w:tr>
      <w:tr>
        <w:tc>
          <w:tcPr>
            <w:tcW w:type="dxa" w:w="2400"/>
            <w:vAlign w:val="center"/>
          </w:tcPr>
          <w:p>
            <w:r>
              <w:rPr>
                <w:b w:val="false"/>
                <w:bCs w:val="false"/>
              </w:rPr>
              <w:t xml:space="preserve">CRIF India — MSME Rank</w:t>
            </w:r>
          </w:p>
        </w:tc>
        <w:tc>
          <w:tcPr>
            <w:tcW w:type="dxa" w:w="3800"/>
            <w:vAlign w:val="center"/>
          </w:tcPr>
          <w:p>
            <w:r>
              <w:rPr>
                <w:b w:val="false"/>
                <w:bCs w:val="false"/>
              </w:rPr>
              <w:t xml:space="preserve">13-tier commercial risk ranking for MSME credit decisions</w:t>
            </w:r>
          </w:p>
        </w:tc>
        <w:tc>
          <w:tcPr>
            <w:tcW w:type="dxa" w:w="2826"/>
            <w:vAlign w:val="center"/>
          </w:tcPr>
          <w:p>
            <w:r>
              <w:rPr>
                <w:b w:val="false"/>
                <w:bCs w:val="false"/>
              </w:rPr>
              <w:t xml:space="preserve">Bureau and business records</w:t>
            </w:r>
          </w:p>
        </w:tc>
      </w:tr>
      <w:tr>
        <w:tc>
          <w:tcPr>
            <w:tcW w:type="dxa" w:w="2400"/>
            <w:vAlign w:val="center"/>
          </w:tcPr>
          <w:p>
            <w:r>
              <w:rPr>
                <w:b w:val="false"/>
                <w:bCs w:val="false"/>
              </w:rPr>
              <w:t xml:space="preserve">Jocata — SME DNA</w:t>
            </w:r>
          </w:p>
        </w:tc>
        <w:tc>
          <w:tcPr>
            <w:tcW w:type="dxa" w:w="3800"/>
            <w:vAlign w:val="center"/>
          </w:tcPr>
          <w:p>
            <w:r>
              <w:rPr>
                <w:b w:val="false"/>
                <w:bCs w:val="false"/>
              </w:rPr>
              <w:t xml:space="preserve">Consent-led GST-data scoring producing Go/No-Go decisions in under 2 minutes</w:t>
            </w:r>
          </w:p>
        </w:tc>
        <w:tc>
          <w:tcPr>
            <w:tcW w:type="dxa" w:w="2826"/>
            <w:vAlign w:val="center"/>
          </w:tcPr>
          <w:p>
            <w:r>
              <w:rPr>
                <w:b w:val="false"/>
                <w:bCs w:val="false"/>
              </w:rPr>
              <w:t xml:space="preserve">GST filings</w:t>
            </w:r>
          </w:p>
        </w:tc>
      </w:tr>
      <w:tr>
        <w:tc>
          <w:tcPr>
            <w:tcW w:type="dxa" w:w="2400"/>
            <w:vAlign w:val="center"/>
          </w:tcPr>
          <w:p>
            <w:r>
              <w:rPr>
                <w:b w:val="false"/>
                <w:bCs w:val="false"/>
              </w:rPr>
              <w:t xml:space="preserve">Jocata — Retail Persona</w:t>
            </w:r>
          </w:p>
        </w:tc>
        <w:tc>
          <w:tcPr>
            <w:tcW w:type="dxa" w:w="3800"/>
            <w:vAlign w:val="center"/>
          </w:tcPr>
          <w:p>
            <w:r>
              <w:rPr>
                <w:b w:val="false"/>
                <w:bCs w:val="false"/>
              </w:rPr>
              <w:t xml:space="preserve">Behavioural scoring for MSMEs outside the GST net</w:t>
            </w:r>
          </w:p>
        </w:tc>
        <w:tc>
          <w:tcPr>
            <w:tcW w:type="dxa" w:w="2826"/>
            <w:vAlign w:val="center"/>
          </w:tcPr>
          <w:p>
            <w:r>
              <w:rPr>
                <w:b w:val="false"/>
                <w:bCs w:val="false"/>
              </w:rPr>
              <w:t xml:space="preserve">Bank transaction data</w:t>
            </w:r>
          </w:p>
        </w:tc>
      </w:tr>
      <w:tr>
        <w:tc>
          <w:tcPr>
            <w:tcW w:type="dxa" w:w="2400"/>
            <w:vAlign w:val="center"/>
          </w:tcPr>
          <w:p>
            <w:r>
              <w:rPr>
                <w:b w:val="false"/>
                <w:bCs w:val="false"/>
              </w:rPr>
              <w:t xml:space="preserve">Perfios</w:t>
            </w:r>
          </w:p>
        </w:tc>
        <w:tc>
          <w:tcPr>
            <w:tcW w:type="dxa" w:w="3800"/>
            <w:vAlign w:val="center"/>
          </w:tcPr>
          <w:p>
            <w:r>
              <w:rPr>
                <w:b w:val="false"/>
                <w:bCs w:val="false"/>
              </w:rPr>
              <w:t xml:space="preserve">Alternate-data cash-flow analytics for lenders</w:t>
            </w:r>
          </w:p>
        </w:tc>
        <w:tc>
          <w:tcPr>
            <w:tcW w:type="dxa" w:w="2826"/>
            <w:vAlign w:val="center"/>
          </w:tcPr>
          <w:p>
            <w:r>
              <w:rPr>
                <w:b w:val="false"/>
                <w:bCs w:val="false"/>
              </w:rPr>
              <w:t xml:space="preserve">Bank statements and transaction patterns</w:t>
            </w:r>
          </w:p>
        </w:tc>
      </w:tr>
    </w:tbl>
    <w:p>
      <w:pPr>
        <w:pStyle w:val="Heading2"/>
        <w:spacing w:after="120" w:before="260"/>
      </w:pPr>
      <w:r>
        <w:t xml:space="preserve">3.1 Honest Differentiation</w:t>
      </w:r>
    </w:p>
    <w:p>
      <w:pPr>
        <w:pStyle w:val="ListParagraph"/>
        <w:numPr>
          <w:ilvl w:val="0"/>
          <w:numId w:val="1"/>
        </w:numPr>
        <w:spacing w:after="80"/>
      </w:pPr>
      <w:r>
        <w:rPr>
          <w:b w:val="false"/>
          <w:bCs w:val="false"/>
        </w:rPr>
        <w:t xml:space="preserve">Multi-source parity: most incumbent tools anchor on one dominant source (GST-first, or bank-statement-first) and treat the rest as supplementary. This design treats five sources — GST, UPI, AA banking data, EPFO, and utilities — as co-equal inputs, which is harder to build but more defensible for businesses that are strong on one signal and silent on another.</w:t>
      </w:r>
    </w:p>
    <w:p>
      <w:pPr>
        <w:pStyle w:val="ListParagraph"/>
        <w:numPr>
          <w:ilvl w:val="0"/>
          <w:numId w:val="1"/>
        </w:numPr>
        <w:spacing w:after="80"/>
      </w:pPr>
      <w:r>
        <w:rPr>
          <w:b w:val="false"/>
          <w:bCs w:val="false"/>
        </w:rPr>
        <w:t xml:space="preserve">Explainability as a user-facing feature, not just a model-audit artifact — the credit manager sees the reasons, not only the score.</w:t>
      </w:r>
    </w:p>
    <w:p>
      <w:pPr>
        <w:pStyle w:val="ListParagraph"/>
        <w:numPr>
          <w:ilvl w:val="0"/>
          <w:numId w:val="1"/>
        </w:numPr>
        <w:spacing w:after="80"/>
      </w:pPr>
      <w:r>
        <w:rPr>
          <w:b w:val="false"/>
          <w:bCs w:val="false"/>
        </w:rPr>
        <w:t xml:space="preserve">A cross-validation/fraud layer (declared turnover vs. GST vs. bank inflow) built into the core score rather than bolted on afterward.</w:t>
      </w:r>
    </w:p>
    <w:p>
      <w:pPr>
        <w:pStyle w:val="ListParagraph"/>
        <w:numPr>
          <w:ilvl w:val="0"/>
          <w:numId w:val="1"/>
        </w:numPr>
        <w:spacing w:after="80"/>
      </w:pPr>
      <w:r>
        <w:rPr>
          <w:b w:val="false"/>
          <w:bCs w:val="false"/>
        </w:rPr>
        <w:t xml:space="preserve">Post-disbursal monitoring reuses the same scoring pipeline for early-warning deterioration alerts, extending the product beyond a one-time underwriting decision.</w:t>
      </w:r>
    </w:p>
    <w:p>
      <w:pPr>
        <w:pStyle w:val="Heading2"/>
        <w:spacing w:after="120" w:before="260"/>
      </w:pPr>
      <w:r>
        <w:t xml:space="preserve">3.2 What This Is Not</w:t>
      </w:r>
    </w:p>
    <w:p>
      <w:pPr>
        <w:spacing w:after="160"/>
        <w:jc w:val="left"/>
      </w:pPr>
      <w:r>
        <w:rPr>
          <w:b w:val="false"/>
          <w:bCs w:val="false"/>
          <w:i w:val="false"/>
          <w:iCs w:val="false"/>
        </w:rPr>
        <w:t xml:space="preserve">This is not a claim of superior predictive accuracy over CRIF or Jocata's production models — those are validated at institutional scale. The differentiation claimed here is architectural breadth and explainability posture, not proven performance, and that distinction should be preserved in any pitch or review.</w:t>
      </w:r>
    </w:p>
    <w:p>
      <w:pPr>
        <w:pStyle w:val="Heading1"/>
        <w:spacing w:after="160" w:before="360"/>
      </w:pPr>
      <w:r>
        <w:t xml:space="preserve">4. User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1F3864" w:color="auto" w:val="clear"/>
            <w:vAlign w:val="center"/>
          </w:tcPr>
          <w:p>
            <w:r>
              <w:rPr>
                <w:b/>
                <w:bCs/>
                <w:color w:val="FFFFFF"/>
              </w:rPr>
              <w:t xml:space="preserve">Persona</w:t>
            </w:r>
          </w:p>
        </w:tc>
        <w:tc>
          <w:tcPr>
            <w:tcW w:type="dxa" w:w="2600"/>
            <w:shd w:fill="1F3864" w:color="auto" w:val="clear"/>
            <w:vAlign w:val="center"/>
          </w:tcPr>
          <w:p>
            <w:r>
              <w:rPr>
                <w:b/>
                <w:bCs/>
                <w:color w:val="FFFFFF"/>
              </w:rPr>
              <w:t xml:space="preserve">Role</w:t>
            </w:r>
          </w:p>
        </w:tc>
        <w:tc>
          <w:tcPr>
            <w:tcW w:type="dxa" w:w="3826"/>
            <w:shd w:fill="1F3864" w:color="auto" w:val="clear"/>
            <w:vAlign w:val="center"/>
          </w:tcPr>
          <w:p>
            <w:r>
              <w:rPr>
                <w:b/>
                <w:bCs/>
                <w:color w:val="FFFFFF"/>
              </w:rPr>
              <w:t xml:space="preserve">What They Need From This System</w:t>
            </w:r>
          </w:p>
        </w:tc>
      </w:tr>
      <w:tr>
        <w:tc>
          <w:tcPr>
            <w:tcW w:type="dxa" w:w="2600"/>
            <w:vAlign w:val="center"/>
          </w:tcPr>
          <w:p>
            <w:r>
              <w:rPr>
                <w:b w:val="false"/>
                <w:bCs w:val="false"/>
              </w:rPr>
              <w:t xml:space="preserve">Credit Manager / Underwriter</w:t>
            </w:r>
          </w:p>
        </w:tc>
        <w:tc>
          <w:tcPr>
            <w:tcW w:type="dxa" w:w="2600"/>
            <w:vAlign w:val="center"/>
          </w:tcPr>
          <w:p>
            <w:r>
              <w:rPr>
                <w:b w:val="false"/>
                <w:bCs w:val="false"/>
              </w:rPr>
              <w:t xml:space="preserve">Reviews individual loan applications</w:t>
            </w:r>
          </w:p>
        </w:tc>
        <w:tc>
          <w:tcPr>
            <w:tcW w:type="dxa" w:w="3826"/>
            <w:vAlign w:val="center"/>
          </w:tcPr>
          <w:p>
            <w:r>
              <w:rPr>
                <w:b w:val="false"/>
                <w:bCs w:val="false"/>
              </w:rPr>
              <w:t xml:space="preserve">A defensible score with the specific data points behind it, not just a number</w:t>
            </w:r>
          </w:p>
        </w:tc>
      </w:tr>
      <w:tr>
        <w:tc>
          <w:tcPr>
            <w:tcW w:type="dxa" w:w="2600"/>
            <w:vAlign w:val="center"/>
          </w:tcPr>
          <w:p>
            <w:r>
              <w:rPr>
                <w:b w:val="false"/>
                <w:bCs w:val="false"/>
              </w:rPr>
              <w:t xml:space="preserve">Portfolio Risk Manager</w:t>
            </w:r>
          </w:p>
        </w:tc>
        <w:tc>
          <w:tcPr>
            <w:tcW w:type="dxa" w:w="2600"/>
            <w:vAlign w:val="center"/>
          </w:tcPr>
          <w:p>
            <w:r>
              <w:rPr>
                <w:b w:val="false"/>
                <w:bCs w:val="false"/>
              </w:rPr>
              <w:t xml:space="preserve">Monitors the back book post-disbursal</w:t>
            </w:r>
          </w:p>
        </w:tc>
        <w:tc>
          <w:tcPr>
            <w:tcW w:type="dxa" w:w="3826"/>
            <w:vAlign w:val="center"/>
          </w:tcPr>
          <w:p>
            <w:r>
              <w:rPr>
                <w:b w:val="false"/>
                <w:bCs w:val="false"/>
              </w:rPr>
              <w:t xml:space="preserve">Early-warning signals on deteriorating accounts and an aggregated portfolio risk view</w:t>
            </w:r>
          </w:p>
        </w:tc>
      </w:tr>
      <w:tr>
        <w:tc>
          <w:tcPr>
            <w:tcW w:type="dxa" w:w="2600"/>
            <w:vAlign w:val="center"/>
          </w:tcPr>
          <w:p>
            <w:r>
              <w:rPr>
                <w:b w:val="false"/>
                <w:bCs w:val="false"/>
              </w:rPr>
              <w:t xml:space="preserve">Compliance Officer</w:t>
            </w:r>
          </w:p>
        </w:tc>
        <w:tc>
          <w:tcPr>
            <w:tcW w:type="dxa" w:w="2600"/>
            <w:vAlign w:val="center"/>
          </w:tcPr>
          <w:p>
            <w:r>
              <w:rPr>
                <w:b w:val="false"/>
                <w:bCs w:val="false"/>
              </w:rPr>
              <w:t xml:space="preserve">Owns audit and regulatory response</w:t>
            </w:r>
          </w:p>
        </w:tc>
        <w:tc>
          <w:tcPr>
            <w:tcW w:type="dxa" w:w="3826"/>
            <w:vAlign w:val="center"/>
          </w:tcPr>
          <w:p>
            <w:r>
              <w:rPr>
                <w:b w:val="false"/>
                <w:bCs w:val="false"/>
              </w:rPr>
              <w:t xml:space="preserve">Full consent trail, model version history, and decision logs per applicant</w:t>
            </w:r>
          </w:p>
        </w:tc>
      </w:tr>
      <w:tr>
        <w:tc>
          <w:tcPr>
            <w:tcW w:type="dxa" w:w="2600"/>
            <w:vAlign w:val="center"/>
          </w:tcPr>
          <w:p>
            <w:r>
              <w:rPr>
                <w:b w:val="false"/>
                <w:bCs w:val="false"/>
              </w:rPr>
              <w:t xml:space="preserve">MSME Applicant (indirect user)</w:t>
            </w:r>
          </w:p>
        </w:tc>
        <w:tc>
          <w:tcPr>
            <w:tcW w:type="dxa" w:w="2600"/>
            <w:vAlign w:val="center"/>
          </w:tcPr>
          <w:p>
            <w:r>
              <w:rPr>
                <w:b w:val="false"/>
                <w:bCs w:val="false"/>
              </w:rPr>
              <w:t xml:space="preserve">Receives the credit decision</w:t>
            </w:r>
          </w:p>
        </w:tc>
        <w:tc>
          <w:tcPr>
            <w:tcW w:type="dxa" w:w="3826"/>
            <w:vAlign w:val="center"/>
          </w:tcPr>
          <w:p>
            <w:r>
              <w:rPr>
                <w:b w:val="false"/>
                <w:bCs w:val="false"/>
              </w:rPr>
              <w:t xml:space="preserve">A plain-language explanation of why they were approved, conditioned, or declined</w:t>
            </w:r>
          </w:p>
        </w:tc>
      </w:tr>
    </w:tbl>
    <w:p>
      <w:pPr>
        <w:pStyle w:val="Heading1"/>
        <w:spacing w:after="160" w:before="360"/>
      </w:pPr>
      <w:r>
        <w:t xml:space="preserve">5. Detailed Solution Scope</w:t>
      </w:r>
    </w:p>
    <w:p>
      <w:pPr>
        <w:pStyle w:val="Heading2"/>
        <w:spacing w:after="120" w:before="260"/>
      </w:pPr>
      <w:r>
        <w:t xml:space="preserve">5.1 Data Sources</w:t>
      </w:r>
    </w:p>
    <w:p>
      <w:pPr>
        <w:pStyle w:val="ListParagraph"/>
        <w:numPr>
          <w:ilvl w:val="0"/>
          <w:numId w:val="1"/>
        </w:numPr>
        <w:spacing w:after="80"/>
      </w:pPr>
      <w:r>
        <w:rPr>
          <w:b w:val="false"/>
          <w:bCs w:val="false"/>
        </w:rPr>
        <w:t xml:space="preserve">GST returns and e-invoice-linked business activity</w:t>
      </w:r>
    </w:p>
    <w:p>
      <w:pPr>
        <w:pStyle w:val="ListParagraph"/>
        <w:numPr>
          <w:ilvl w:val="0"/>
          <w:numId w:val="1"/>
        </w:numPr>
        <w:spacing w:after="80"/>
      </w:pPr>
      <w:r>
        <w:rPr>
          <w:b w:val="false"/>
          <w:bCs w:val="false"/>
        </w:rPr>
        <w:t xml:space="preserve">UPI collection patterns and digital payment behaviour</w:t>
      </w:r>
    </w:p>
    <w:p>
      <w:pPr>
        <w:pStyle w:val="ListParagraph"/>
        <w:numPr>
          <w:ilvl w:val="0"/>
          <w:numId w:val="1"/>
        </w:numPr>
        <w:spacing w:after="80"/>
      </w:pPr>
      <w:r>
        <w:rPr>
          <w:b w:val="false"/>
          <w:bCs w:val="false"/>
        </w:rPr>
        <w:t xml:space="preserve">Account Aggregator-based bank transaction data and statement equivalents</w:t>
      </w:r>
    </w:p>
    <w:p>
      <w:pPr>
        <w:pStyle w:val="ListParagraph"/>
        <w:numPr>
          <w:ilvl w:val="0"/>
          <w:numId w:val="1"/>
        </w:numPr>
        <w:spacing w:after="80"/>
      </w:pPr>
      <w:r>
        <w:rPr>
          <w:b w:val="false"/>
          <w:bCs w:val="false"/>
        </w:rPr>
        <w:t xml:space="preserve">EPFO contribution trends as a proxy for payroll stability and workforce continuity</w:t>
      </w:r>
    </w:p>
    <w:p>
      <w:pPr>
        <w:pStyle w:val="ListParagraph"/>
        <w:numPr>
          <w:ilvl w:val="0"/>
          <w:numId w:val="1"/>
        </w:numPr>
        <w:spacing w:after="80"/>
      </w:pPr>
      <w:r>
        <w:rPr>
          <w:b w:val="false"/>
          <w:bCs w:val="false"/>
        </w:rPr>
        <w:t xml:space="preserve">Electricity or utility consumption as an operational activity signal</w:t>
      </w:r>
    </w:p>
    <w:p>
      <w:pPr>
        <w:pStyle w:val="ListParagraph"/>
        <w:numPr>
          <w:ilvl w:val="0"/>
          <w:numId w:val="1"/>
        </w:numPr>
        <w:spacing w:after="80"/>
      </w:pPr>
      <w:r>
        <w:rPr>
          <w:b w:val="false"/>
          <w:bCs w:val="false"/>
        </w:rPr>
        <w:t xml:space="preserve">Optional supplementary records: bank statements, invoice ledgers, Udyam profile, bureau data, and sector benchmarks</w:t>
      </w:r>
    </w:p>
    <w:p>
      <w:pPr>
        <w:pStyle w:val="Heading2"/>
        <w:spacing w:after="120" w:before="260"/>
      </w:pPr>
      <w:r>
        <w:t xml:space="preserve">5.2 Functional Capabilities</w:t>
      </w:r>
    </w:p>
    <w:p>
      <w:pPr>
        <w:pStyle w:val="ListParagraph"/>
        <w:numPr>
          <w:ilvl w:val="0"/>
          <w:numId w:val="1"/>
        </w:numPr>
        <w:spacing w:after="80"/>
      </w:pPr>
      <w:r>
        <w:rPr>
          <w:b w:val="false"/>
          <w:bCs w:val="false"/>
        </w:rPr>
        <w:t xml:space="preserve">Aggregate multi-source business data into a common data model</w:t>
      </w:r>
    </w:p>
    <w:p>
      <w:pPr>
        <w:pStyle w:val="ListParagraph"/>
        <w:numPr>
          <w:ilvl w:val="0"/>
          <w:numId w:val="1"/>
        </w:numPr>
        <w:spacing w:after="80"/>
      </w:pPr>
      <w:r>
        <w:rPr>
          <w:b w:val="false"/>
          <w:bCs w:val="false"/>
        </w:rPr>
        <w:t xml:space="preserve">Clean, normalize, reconcile, and timestamp data for underwriting use</w:t>
      </w:r>
    </w:p>
    <w:p>
      <w:pPr>
        <w:pStyle w:val="ListParagraph"/>
        <w:numPr>
          <w:ilvl w:val="0"/>
          <w:numId w:val="1"/>
        </w:numPr>
        <w:spacing w:after="80"/>
      </w:pPr>
      <w:r>
        <w:rPr>
          <w:b w:val="false"/>
          <w:bCs w:val="false"/>
        </w:rPr>
        <w:t xml:space="preserve">Generate feature sets covering cash flow, compliance, business momentum, volatility, seasonality, resilience, and concentration risk</w:t>
      </w:r>
    </w:p>
    <w:p>
      <w:pPr>
        <w:pStyle w:val="ListParagraph"/>
        <w:numPr>
          <w:ilvl w:val="0"/>
          <w:numId w:val="1"/>
        </w:numPr>
        <w:spacing w:after="80"/>
      </w:pPr>
      <w:r>
        <w:rPr>
          <w:b w:val="false"/>
          <w:bCs w:val="false"/>
        </w:rPr>
        <w:t xml:space="preserve">Produce a Financial Health Score plus component sub-scores</w:t>
      </w:r>
    </w:p>
    <w:p>
      <w:pPr>
        <w:pStyle w:val="ListParagraph"/>
        <w:numPr>
          <w:ilvl w:val="0"/>
          <w:numId w:val="1"/>
        </w:numPr>
        <w:spacing w:after="80"/>
      </w:pPr>
      <w:r>
        <w:rPr>
          <w:b w:val="false"/>
          <w:bCs w:val="false"/>
        </w:rPr>
        <w:t xml:space="preserve">Classify applicants into low, medium, and high risk bands</w:t>
      </w:r>
    </w:p>
    <w:p>
      <w:pPr>
        <w:pStyle w:val="ListParagraph"/>
        <w:numPr>
          <w:ilvl w:val="0"/>
          <w:numId w:val="1"/>
        </w:numPr>
        <w:spacing w:after="80"/>
      </w:pPr>
      <w:r>
        <w:rPr>
          <w:b w:val="false"/>
          <w:bCs w:val="false"/>
        </w:rPr>
        <w:t xml:space="preserve">Surface reasons behind the score using explainable AI</w:t>
      </w:r>
    </w:p>
    <w:p>
      <w:pPr>
        <w:pStyle w:val="ListParagraph"/>
        <w:numPr>
          <w:ilvl w:val="0"/>
          <w:numId w:val="1"/>
        </w:numPr>
        <w:spacing w:after="80"/>
      </w:pPr>
      <w:r>
        <w:rPr>
          <w:b w:val="false"/>
          <w:bCs w:val="false"/>
        </w:rPr>
        <w:t xml:space="preserve">Present underwriting insights in a dashboard for bankers and credit managers</w:t>
      </w:r>
    </w:p>
    <w:p>
      <w:pPr>
        <w:pStyle w:val="ListParagraph"/>
        <w:numPr>
          <w:ilvl w:val="0"/>
          <w:numId w:val="1"/>
        </w:numPr>
        <w:spacing w:after="80"/>
      </w:pPr>
      <w:r>
        <w:rPr>
          <w:b w:val="false"/>
          <w:bCs w:val="false"/>
        </w:rPr>
        <w:t xml:space="preserve">Integrate with India's digital public infrastructure via Account Aggregator, and remain compatible with OCEN and ULI-oriented workflows</w:t>
      </w:r>
    </w:p>
    <w:p>
      <w:pPr>
        <w:pStyle w:val="Heading2"/>
        <w:spacing w:after="120" w:before="260"/>
      </w:pPr>
      <w:r>
        <w:t xml:space="preserve">5.3 Sample Scoring Dimensions</w:t>
      </w:r>
    </w:p>
    <w:p>
      <w:pPr>
        <w:pStyle w:val="ListParagraph"/>
        <w:numPr>
          <w:ilvl w:val="0"/>
          <w:numId w:val="1"/>
        </w:numPr>
        <w:spacing w:after="80"/>
      </w:pPr>
      <w:r>
        <w:rPr>
          <w:b w:val="false"/>
          <w:bCs w:val="false"/>
        </w:rPr>
        <w:t xml:space="preserve">Cash-flow strength</w:t>
      </w:r>
    </w:p>
    <w:p>
      <w:pPr>
        <w:pStyle w:val="ListParagraph"/>
        <w:numPr>
          <w:ilvl w:val="0"/>
          <w:numId w:val="1"/>
        </w:numPr>
        <w:spacing w:after="80"/>
      </w:pPr>
      <w:r>
        <w:rPr>
          <w:b w:val="false"/>
          <w:bCs w:val="false"/>
        </w:rPr>
        <w:t xml:space="preserve">Revenue consistency</w:t>
      </w:r>
    </w:p>
    <w:p>
      <w:pPr>
        <w:pStyle w:val="ListParagraph"/>
        <w:numPr>
          <w:ilvl w:val="0"/>
          <w:numId w:val="1"/>
        </w:numPr>
        <w:spacing w:after="80"/>
      </w:pPr>
      <w:r>
        <w:rPr>
          <w:b w:val="false"/>
          <w:bCs w:val="false"/>
        </w:rPr>
        <w:t xml:space="preserve">Compliance behaviour</w:t>
      </w:r>
    </w:p>
    <w:p>
      <w:pPr>
        <w:pStyle w:val="ListParagraph"/>
        <w:numPr>
          <w:ilvl w:val="0"/>
          <w:numId w:val="1"/>
        </w:numPr>
        <w:spacing w:after="80"/>
      </w:pPr>
      <w:r>
        <w:rPr>
          <w:b w:val="false"/>
          <w:bCs w:val="false"/>
        </w:rPr>
        <w:t xml:space="preserve">Operational continuity</w:t>
      </w:r>
    </w:p>
    <w:p>
      <w:pPr>
        <w:pStyle w:val="ListParagraph"/>
        <w:numPr>
          <w:ilvl w:val="0"/>
          <w:numId w:val="1"/>
        </w:numPr>
        <w:spacing w:after="80"/>
      </w:pPr>
      <w:r>
        <w:rPr>
          <w:b w:val="false"/>
          <w:bCs w:val="false"/>
        </w:rPr>
        <w:t xml:space="preserve">Financial resilience</w:t>
      </w:r>
    </w:p>
    <w:p>
      <w:pPr>
        <w:pStyle w:val="ListParagraph"/>
        <w:numPr>
          <w:ilvl w:val="0"/>
          <w:numId w:val="1"/>
        </w:numPr>
        <w:spacing w:after="80"/>
      </w:pPr>
      <w:r>
        <w:rPr>
          <w:b w:val="false"/>
          <w:bCs w:val="false"/>
        </w:rPr>
        <w:t xml:space="preserve">Credit augmentation, where bureau or repayment data exists</w:t>
      </w:r>
    </w:p>
    <w:p>
      <w:pPr>
        <w:pStyle w:val="Heading2"/>
        <w:spacing w:after="120" w:before="260"/>
      </w:pPr>
      <w:r>
        <w:t xml:space="preserve">5.4 Expected Outputs</w:t>
      </w:r>
    </w:p>
    <w:p>
      <w:pPr>
        <w:pStyle w:val="ListParagraph"/>
        <w:numPr>
          <w:ilvl w:val="0"/>
          <w:numId w:val="1"/>
        </w:numPr>
        <w:spacing w:after="80"/>
      </w:pPr>
      <w:r>
        <w:rPr>
          <w:b w:val="false"/>
          <w:bCs w:val="false"/>
        </w:rPr>
        <w:t xml:space="preserve">Overall Financial Health Score (e.g., 0 to 1000)</w:t>
      </w:r>
    </w:p>
    <w:p>
      <w:pPr>
        <w:pStyle w:val="ListParagraph"/>
        <w:numPr>
          <w:ilvl w:val="0"/>
          <w:numId w:val="1"/>
        </w:numPr>
        <w:spacing w:after="80"/>
      </w:pPr>
      <w:r>
        <w:rPr>
          <w:b w:val="false"/>
          <w:bCs w:val="false"/>
        </w:rPr>
        <w:t xml:space="preserve">Risk category: Low / Medium / High</w:t>
      </w:r>
    </w:p>
    <w:p>
      <w:pPr>
        <w:pStyle w:val="ListParagraph"/>
        <w:numPr>
          <w:ilvl w:val="0"/>
          <w:numId w:val="1"/>
        </w:numPr>
        <w:spacing w:after="80"/>
      </w:pPr>
      <w:r>
        <w:rPr>
          <w:b w:val="false"/>
          <w:bCs w:val="false"/>
        </w:rPr>
        <w:t xml:space="preserve">Top positive drivers</w:t>
      </w:r>
    </w:p>
    <w:p>
      <w:pPr>
        <w:pStyle w:val="ListParagraph"/>
        <w:numPr>
          <w:ilvl w:val="0"/>
          <w:numId w:val="1"/>
        </w:numPr>
        <w:spacing w:after="80"/>
      </w:pPr>
      <w:r>
        <w:rPr>
          <w:b w:val="false"/>
          <w:bCs w:val="false"/>
        </w:rPr>
        <w:t xml:space="preserve">Top negative drivers</w:t>
      </w:r>
    </w:p>
    <w:p>
      <w:pPr>
        <w:pStyle w:val="ListParagraph"/>
        <w:numPr>
          <w:ilvl w:val="0"/>
          <w:numId w:val="1"/>
        </w:numPr>
        <w:spacing w:after="80"/>
      </w:pPr>
      <w:r>
        <w:rPr>
          <w:b w:val="false"/>
          <w:bCs w:val="false"/>
        </w:rPr>
        <w:t xml:space="preserve">Confidence or data-sufficiency indicator</w:t>
      </w:r>
    </w:p>
    <w:p>
      <w:pPr>
        <w:pStyle w:val="ListParagraph"/>
        <w:numPr>
          <w:ilvl w:val="0"/>
          <w:numId w:val="1"/>
        </w:numPr>
        <w:spacing w:after="80"/>
      </w:pPr>
      <w:r>
        <w:rPr>
          <w:b w:val="false"/>
          <w:bCs w:val="false"/>
        </w:rPr>
        <w:t xml:space="preserve">Recommended action: approve, approve with conditions, review manually, request more data, or decline</w:t>
      </w:r>
    </w:p>
    <w:p>
      <w:pPr>
        <w:pStyle w:val="Heading1"/>
        <w:spacing w:after="160" w:before="360"/>
      </w:pPr>
      <w:r>
        <w:t xml:space="preserve">6. Architecture and Workflow</w:t>
      </w:r>
    </w:p>
    <w:p>
      <w:pPr>
        <w:pStyle w:val="Heading2"/>
        <w:spacing w:after="120" w:before="260"/>
      </w:pPr>
      <w:r>
        <w:t xml:space="preserve">6.1 Proposed Workflow</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Alternate Data Sources: GST | UPI | AA | EPFO | Electricity | Bank Statements | Optional Bureau</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Data Ingestion and Consent Validation</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Data Cleaning, Standardization, and Reconciliation</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Feature Engineering and Risk Signal Extraction</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AI/ML Scoring Engine</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Explainability Layer and Reason Codes</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Risk Classification and Policy Rules</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Financial Health Card Dashboard</w:t>
      </w:r>
    </w:p>
    <w:p>
      <w:pPr>
        <w:spacing w:after="40"/>
        <w:jc w:val="center"/>
      </w:pPr>
      <w:r>
        <w:rPr>
          <w:b/>
          <w:bCs/>
          <w:sz w:val="28"/>
          <w:szCs w:val="28"/>
        </w:rPr>
        <w:t xml:space="preserve">↓</w:t>
      </w:r>
    </w:p>
    <w:p>
      <w:pPr>
        <w:pBdr>
          <w:top w:val="single" w:color="1F3864" w:sz="6"/>
          <w:bottom w:val="single" w:color="1F3864" w:sz="6"/>
          <w:left w:val="single" w:color="1F3864" w:sz="6"/>
          <w:right w:val="single" w:color="1F3864" w:sz="6"/>
        </w:pBdr>
        <w:shd w:fill="DCE6F1" w:color="auto" w:val="clear"/>
        <w:spacing w:after="100" w:before="100"/>
        <w:jc w:val="center"/>
      </w:pPr>
      <w:r>
        <w:rPr>
          <w:b/>
          <w:bCs/>
        </w:rPr>
        <w:t xml:space="preserve">Loan Decision Support and Ongoing Monitoring</w:t>
      </w:r>
    </w:p>
    <w:p>
      <w:pPr>
        <w:spacing w:after="160"/>
      </w:pPr>
    </w:p>
    <w:p>
      <w:pPr>
        <w:pStyle w:val="Heading2"/>
        <w:spacing w:after="120" w:before="260"/>
      </w:pPr>
      <w:r>
        <w:t xml:space="preserve">6.2 Suggested Modules</w:t>
      </w:r>
    </w:p>
    <w:p>
      <w:pPr>
        <w:pStyle w:val="ListParagraph"/>
        <w:numPr>
          <w:ilvl w:val="0"/>
          <w:numId w:val="1"/>
        </w:numPr>
        <w:spacing w:after="80"/>
      </w:pPr>
      <w:r>
        <w:rPr>
          <w:b w:val="false"/>
          <w:bCs w:val="false"/>
        </w:rPr>
        <w:t xml:space="preserve">Consent Manager: captures source-wise, purpose-bound consent and access duration, aligned with Account Aggregator's explicit, revocable consent model — and designed to double as a DPDP-compliant consent record (see Section 8).</w:t>
      </w:r>
    </w:p>
    <w:p>
      <w:pPr>
        <w:pStyle w:val="ListParagraph"/>
        <w:numPr>
          <w:ilvl w:val="0"/>
          <w:numId w:val="1"/>
        </w:numPr>
        <w:spacing w:after="80"/>
      </w:pPr>
      <w:r>
        <w:rPr>
          <w:b w:val="false"/>
          <w:bCs w:val="false"/>
        </w:rPr>
        <w:t xml:space="preserve">Source Connectors: APIs, file uploads, OCR/parsers, AA flows, and billing software adapters for data ingestion.</w:t>
      </w:r>
    </w:p>
    <w:p>
      <w:pPr>
        <w:pStyle w:val="ListParagraph"/>
        <w:numPr>
          <w:ilvl w:val="0"/>
          <w:numId w:val="1"/>
        </w:numPr>
        <w:spacing w:after="80"/>
      </w:pPr>
      <w:r>
        <w:rPr>
          <w:b w:val="false"/>
          <w:bCs w:val="false"/>
        </w:rPr>
        <w:t xml:space="preserve">Feature Store: maintains reusable and versioned underwriting features.</w:t>
      </w:r>
    </w:p>
    <w:p>
      <w:pPr>
        <w:pStyle w:val="ListParagraph"/>
        <w:numPr>
          <w:ilvl w:val="0"/>
          <w:numId w:val="1"/>
        </w:numPr>
        <w:spacing w:after="80"/>
      </w:pPr>
      <w:r>
        <w:rPr>
          <w:b w:val="false"/>
          <w:bCs w:val="false"/>
        </w:rPr>
        <w:t xml:space="preserve">Model Layer: combines interpretable scorecards with stronger ML models.</w:t>
      </w:r>
    </w:p>
    <w:p>
      <w:pPr>
        <w:pStyle w:val="ListParagraph"/>
        <w:numPr>
          <w:ilvl w:val="0"/>
          <w:numId w:val="1"/>
        </w:numPr>
        <w:spacing w:after="80"/>
      </w:pPr>
      <w:r>
        <w:rPr>
          <w:b w:val="false"/>
          <w:bCs w:val="false"/>
        </w:rPr>
        <w:t xml:space="preserve">Rules Engine: overlays policy checks, sector-specific limits, and sanction logic.</w:t>
      </w:r>
    </w:p>
    <w:p>
      <w:pPr>
        <w:pStyle w:val="ListParagraph"/>
        <w:numPr>
          <w:ilvl w:val="0"/>
          <w:numId w:val="1"/>
        </w:numPr>
        <w:spacing w:after="80"/>
      </w:pPr>
      <w:r>
        <w:rPr>
          <w:b w:val="false"/>
          <w:bCs w:val="false"/>
        </w:rPr>
        <w:t xml:space="preserve">Audit and Compliance Layer: logs consent, model version, decision reasons, and data lineage, in line with RBI's direct-accountability expectations for digital lending.</w:t>
      </w:r>
    </w:p>
    <w:p>
      <w:pPr>
        <w:pStyle w:val="Heading1"/>
        <w:spacing w:after="160" w:before="360"/>
      </w:pPr>
      <w: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color="auto" w:val="clear"/>
            <w:vAlign w:val="center"/>
          </w:tcPr>
          <w:p>
            <w:r>
              <w:rPr>
                <w:b/>
                <w:bCs/>
                <w:color w:val="FFFFFF"/>
              </w:rPr>
              <w:t xml:space="preserve">Category</w:t>
            </w:r>
          </w:p>
        </w:tc>
        <w:tc>
          <w:tcPr>
            <w:tcW w:type="dxa" w:w="6826"/>
            <w:shd w:fill="1F3864" w:color="auto" w:val="clear"/>
            <w:vAlign w:val="center"/>
          </w:tcPr>
          <w:p>
            <w:r>
              <w:rPr>
                <w:b/>
                <w:bCs/>
                <w:color w:val="FFFFFF"/>
              </w:rPr>
              <w:t xml:space="preserve">Requirement</w:t>
            </w:r>
          </w:p>
        </w:tc>
      </w:tr>
      <w:tr>
        <w:tc>
          <w:tcPr>
            <w:tcW w:type="dxa" w:w="2200"/>
            <w:vAlign w:val="center"/>
          </w:tcPr>
          <w:p>
            <w:r>
              <w:rPr>
                <w:b w:val="false"/>
                <w:bCs w:val="false"/>
              </w:rPr>
              <w:t xml:space="preserve">Latency</w:t>
            </w:r>
          </w:p>
        </w:tc>
        <w:tc>
          <w:tcPr>
            <w:tcW w:type="dxa" w:w="6826"/>
            <w:vAlign w:val="center"/>
          </w:tcPr>
          <w:p>
            <w:r>
              <w:rPr>
                <w:b w:val="false"/>
                <w:bCs w:val="false"/>
              </w:rPr>
              <w:t xml:space="preserve">Score generation completes in seconds for a complete data profile; near-real-time refresh (minutes to hours, not instant) when a new GST/bank/UPI signal arrives</w:t>
            </w:r>
          </w:p>
        </w:tc>
      </w:tr>
      <w:tr>
        <w:tc>
          <w:tcPr>
            <w:tcW w:type="dxa" w:w="2200"/>
            <w:vAlign w:val="center"/>
          </w:tcPr>
          <w:p>
            <w:r>
              <w:rPr>
                <w:b w:val="false"/>
                <w:bCs w:val="false"/>
              </w:rPr>
              <w:t xml:space="preserve">Auditability</w:t>
            </w:r>
          </w:p>
        </w:tc>
        <w:tc>
          <w:tcPr>
            <w:tcW w:type="dxa" w:w="6826"/>
            <w:vAlign w:val="center"/>
          </w:tcPr>
          <w:p>
            <w:r>
              <w:rPr>
                <w:b w:val="false"/>
                <w:bCs w:val="false"/>
              </w:rPr>
              <w:t xml:space="preserve">Same inputs plus same model version must reproduce the same score and reason codes indefinitely, for regulatory replay</w:t>
            </w:r>
          </w:p>
        </w:tc>
      </w:tr>
      <w:tr>
        <w:tc>
          <w:tcPr>
            <w:tcW w:type="dxa" w:w="2200"/>
            <w:vAlign w:val="center"/>
          </w:tcPr>
          <w:p>
            <w:r>
              <w:rPr>
                <w:b w:val="false"/>
                <w:bCs w:val="false"/>
              </w:rPr>
              <w:t xml:space="preserve">Data retention</w:t>
            </w:r>
          </w:p>
        </w:tc>
        <w:tc>
          <w:tcPr>
            <w:tcW w:type="dxa" w:w="6826"/>
            <w:vAlign w:val="center"/>
          </w:tcPr>
          <w:p>
            <w:r>
              <w:rPr>
                <w:b w:val="false"/>
                <w:bCs w:val="false"/>
              </w:rPr>
              <w:t xml:space="preserve">Aligned to purpose-limitation: retain only as long as needed for the credit decision and monitoring period, with defined deletion timelines</w:t>
            </w:r>
          </w:p>
        </w:tc>
      </w:tr>
      <w:tr>
        <w:tc>
          <w:tcPr>
            <w:tcW w:type="dxa" w:w="2200"/>
            <w:vAlign w:val="center"/>
          </w:tcPr>
          <w:p>
            <w:r>
              <w:rPr>
                <w:b w:val="false"/>
                <w:bCs w:val="false"/>
              </w:rPr>
              <w:t xml:space="preserve">Explainability latency</w:t>
            </w:r>
          </w:p>
        </w:tc>
        <w:tc>
          <w:tcPr>
            <w:tcW w:type="dxa" w:w="6826"/>
            <w:vAlign w:val="center"/>
          </w:tcPr>
          <w:p>
            <w:r>
              <w:rPr>
                <w:b w:val="false"/>
                <w:bCs w:val="false"/>
              </w:rPr>
              <w:t xml:space="preserve">Reason codes generate alongside the score; a score is never shown in the UI without its drivers</w:t>
            </w:r>
          </w:p>
        </w:tc>
      </w:tr>
      <w:tr>
        <w:tc>
          <w:tcPr>
            <w:tcW w:type="dxa" w:w="2200"/>
            <w:vAlign w:val="center"/>
          </w:tcPr>
          <w:p>
            <w:r>
              <w:rPr>
                <w:b w:val="false"/>
                <w:bCs w:val="false"/>
              </w:rPr>
              <w:t xml:space="preserve">Availability</w:t>
            </w:r>
          </w:p>
        </w:tc>
        <w:tc>
          <w:tcPr>
            <w:tcW w:type="dxa" w:w="6826"/>
            <w:vAlign w:val="center"/>
          </w:tcPr>
          <w:p>
            <w:r>
              <w:rPr>
                <w:b w:val="false"/>
                <w:bCs w:val="false"/>
              </w:rPr>
              <w:t xml:space="preserve">Dashboard and scoring pipeline available during standard banking hours at minimum, with defined recovery time for outages</w:t>
            </w:r>
          </w:p>
        </w:tc>
      </w:tr>
    </w:tbl>
    <w:p>
      <w:pPr>
        <w:pStyle w:val="Heading1"/>
        <w:spacing w:after="160" w:before="360"/>
      </w:pPr>
      <w:r>
        <w:t xml:space="preserve">8. Regulatory and Compliance Requirements</w:t>
      </w:r>
    </w:p>
    <w:p>
      <w:pPr>
        <w:pStyle w:val="Heading2"/>
        <w:spacing w:after="120" w:before="260"/>
      </w:pPr>
      <w:r>
        <w:t xml:space="preserve">8.1 RBI Digital Lending Directions</w:t>
      </w:r>
    </w:p>
    <w:p>
      <w:pPr>
        <w:spacing w:after="160"/>
        <w:jc w:val="left"/>
      </w:pPr>
      <w:r>
        <w:rPr>
          <w:b w:val="false"/>
          <w:bCs w:val="false"/>
          <w:i w:val="false"/>
          <w:iCs w:val="false"/>
        </w:rPr>
        <w:t xml:space="preserve">The regulated entity remains directly accountable for the lending decision even when a data or scoring vendor is involved. Borrower-facing transparency on how a decision was reached is required, and collection of data beyond what is needed for the credit decision (e.g. contacts, call logs, unrelated device data) is prohibited. This system's explainability layer and Consent Manager are designed to satisfy that accountability and transparency requirement directly.</w:t>
      </w:r>
    </w:p>
    <w:p>
      <w:pPr>
        <w:pStyle w:val="Heading2"/>
        <w:spacing w:after="120" w:before="260"/>
      </w:pPr>
      <w:r>
        <w:t xml:space="preserve">8.2 Digital Personal Data Protection (DPDP) Act, 2023 and DPDP Rules, 2025</w:t>
      </w:r>
    </w:p>
    <w:p>
      <w:pPr>
        <w:spacing w:after="160"/>
        <w:jc w:val="left"/>
      </w:pPr>
      <w:r>
        <w:rPr>
          <w:b w:val="false"/>
          <w:bCs w:val="false"/>
          <w:i w:val="false"/>
          <w:iCs w:val="false"/>
        </w:rPr>
        <w:t xml:space="preserve">GST, bank, and EPFO data handled by this system are personal/business data under the DPDP Act. The DPDP Rules were notified on 13 November 2025, with enforcement staggered across three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shd w:fill="1F3864" w:color="auto" w:val="clear"/>
            <w:vAlign w:val="center"/>
          </w:tcPr>
          <w:p>
            <w:r>
              <w:rPr>
                <w:b/>
                <w:bCs/>
                <w:color w:val="FFFFFF"/>
              </w:rPr>
              <w:t xml:space="preserve">Phase</w:t>
            </w:r>
          </w:p>
        </w:tc>
        <w:tc>
          <w:tcPr>
            <w:tcW w:type="dxa" w:w="2400"/>
            <w:shd w:fill="1F3864" w:color="auto" w:val="clear"/>
            <w:vAlign w:val="center"/>
          </w:tcPr>
          <w:p>
            <w:r>
              <w:rPr>
                <w:b/>
                <w:bCs/>
                <w:color w:val="FFFFFF"/>
              </w:rPr>
              <w:t xml:space="preserve">Date</w:t>
            </w:r>
          </w:p>
        </w:tc>
        <w:tc>
          <w:tcPr>
            <w:tcW w:type="dxa" w:w="5026"/>
            <w:shd w:fill="1F3864" w:color="auto" w:val="clear"/>
            <w:vAlign w:val="center"/>
          </w:tcPr>
          <w:p>
            <w:r>
              <w:rPr>
                <w:b/>
                <w:bCs/>
                <w:color w:val="FFFFFF"/>
              </w:rPr>
              <w:t xml:space="preserve">Milestone</w:t>
            </w:r>
          </w:p>
        </w:tc>
      </w:tr>
      <w:tr>
        <w:tc>
          <w:tcPr>
            <w:tcW w:type="dxa" w:w="1600"/>
            <w:vAlign w:val="center"/>
          </w:tcPr>
          <w:p>
            <w:r>
              <w:rPr>
                <w:b w:val="false"/>
                <w:bCs w:val="false"/>
              </w:rPr>
              <w:t xml:space="preserve">Phase 1</w:t>
            </w:r>
          </w:p>
        </w:tc>
        <w:tc>
          <w:tcPr>
            <w:tcW w:type="dxa" w:w="2400"/>
            <w:vAlign w:val="center"/>
          </w:tcPr>
          <w:p>
            <w:r>
              <w:rPr>
                <w:b w:val="false"/>
                <w:bCs w:val="false"/>
              </w:rPr>
              <w:t xml:space="preserve">13 November 2025</w:t>
            </w:r>
          </w:p>
        </w:tc>
        <w:tc>
          <w:tcPr>
            <w:tcW w:type="dxa" w:w="5026"/>
            <w:vAlign w:val="center"/>
          </w:tcPr>
          <w:p>
            <w:r>
              <w:rPr>
                <w:b w:val="false"/>
                <w:bCs w:val="false"/>
              </w:rPr>
              <w:t xml:space="preserve">Data Protection Board of India established</w:t>
            </w:r>
          </w:p>
        </w:tc>
      </w:tr>
      <w:tr>
        <w:tc>
          <w:tcPr>
            <w:tcW w:type="dxa" w:w="1600"/>
            <w:vAlign w:val="center"/>
          </w:tcPr>
          <w:p>
            <w:r>
              <w:rPr>
                <w:b w:val="false"/>
                <w:bCs w:val="false"/>
              </w:rPr>
              <w:t xml:space="preserve">Phase 2</w:t>
            </w:r>
          </w:p>
        </w:tc>
        <w:tc>
          <w:tcPr>
            <w:tcW w:type="dxa" w:w="2400"/>
            <w:vAlign w:val="center"/>
          </w:tcPr>
          <w:p>
            <w:r>
              <w:rPr>
                <w:b w:val="false"/>
                <w:bCs w:val="false"/>
              </w:rPr>
              <w:t xml:space="preserve">13 November 2026</w:t>
            </w:r>
          </w:p>
        </w:tc>
        <w:tc>
          <w:tcPr>
            <w:tcW w:type="dxa" w:w="5026"/>
            <w:vAlign w:val="center"/>
          </w:tcPr>
          <w:p>
            <w:r>
              <w:rPr>
                <w:b w:val="false"/>
                <w:bCs w:val="false"/>
              </w:rPr>
              <w:t xml:space="preserve">Consent Manager registration framework becomes operational</w:t>
            </w:r>
          </w:p>
        </w:tc>
      </w:tr>
      <w:tr>
        <w:tc>
          <w:tcPr>
            <w:tcW w:type="dxa" w:w="1600"/>
            <w:vAlign w:val="center"/>
          </w:tcPr>
          <w:p>
            <w:r>
              <w:rPr>
                <w:b w:val="false"/>
                <w:bCs w:val="false"/>
              </w:rPr>
              <w:t xml:space="preserve">Phase 3</w:t>
            </w:r>
          </w:p>
        </w:tc>
        <w:tc>
          <w:tcPr>
            <w:tcW w:type="dxa" w:w="2400"/>
            <w:vAlign w:val="center"/>
          </w:tcPr>
          <w:p>
            <w:r>
              <w:rPr>
                <w:b w:val="false"/>
                <w:bCs w:val="false"/>
              </w:rPr>
              <w:t xml:space="preserve">13 May 2027</w:t>
            </w:r>
          </w:p>
        </w:tc>
        <w:tc>
          <w:tcPr>
            <w:tcW w:type="dxa" w:w="5026"/>
            <w:vAlign w:val="center"/>
          </w:tcPr>
          <w:p>
            <w:r>
              <w:rPr>
                <w:b w:val="false"/>
                <w:bCs w:val="false"/>
              </w:rPr>
              <w:t xml:space="preserve">Full substantive compliance enforceable: consent notices, 72-hour breach notification, data principal rights, mandatory security safeguards (encryption, access logging, retention controls)</w:t>
            </w:r>
          </w:p>
        </w:tc>
      </w:tr>
    </w:tbl>
    <w:p>
      <w:pPr>
        <w:pStyle w:val="Heading2"/>
        <w:spacing w:after="120" w:before="260"/>
      </w:pPr>
      <w:r>
        <w:t xml:space="preserve">8.3 Design Implication</w:t>
      </w:r>
    </w:p>
    <w:p>
      <w:pPr>
        <w:spacing w:after="160"/>
        <w:jc w:val="left"/>
      </w:pPr>
      <w:r>
        <w:rPr>
          <w:b w:val="false"/>
          <w:bCs w:val="false"/>
          <w:i w:val="false"/>
          <w:iCs w:val="false"/>
        </w:rPr>
        <w:t xml:space="preserve">The Consent Manager module (Section 6.2) should be built to serve both the Account Aggregator consent framework and DPDP obligations from day one — one consent capture, purpose-limitation, and retention system, rather than building two separate systems later.</w:t>
      </w:r>
    </w:p>
    <w:p>
      <w:pPr>
        <w:pStyle w:val="Heading1"/>
        <w:spacing w:after="160" w:before="360"/>
      </w:pPr>
      <w:r>
        <w:t xml:space="preserve">9. Key Innovations and Differentiators</w:t>
      </w:r>
    </w:p>
    <w:p>
      <w:pPr>
        <w:pStyle w:val="ListParagraph"/>
        <w:numPr>
          <w:ilvl w:val="0"/>
          <w:numId w:val="1"/>
        </w:numPr>
        <w:spacing w:after="80"/>
      </w:pPr>
      <w:r>
        <w:rPr>
          <w:b w:val="false"/>
          <w:bCs w:val="false"/>
        </w:rPr>
        <w:t xml:space="preserve">Near real-time refresh: scores update as new GST, bank, UPI, or utility signals arrive</w:t>
      </w:r>
    </w:p>
    <w:p>
      <w:pPr>
        <w:pStyle w:val="ListParagraph"/>
        <w:numPr>
          <w:ilvl w:val="0"/>
          <w:numId w:val="1"/>
        </w:numPr>
        <w:spacing w:after="80"/>
      </w:pPr>
      <w:r>
        <w:rPr>
          <w:b w:val="false"/>
          <w:bCs w:val="false"/>
        </w:rPr>
        <w:t xml:space="preserve">Thin-file underwriting: explicitly targets borrowers with little or no bureau depth</w:t>
      </w:r>
    </w:p>
    <w:p>
      <w:pPr>
        <w:pStyle w:val="ListParagraph"/>
        <w:numPr>
          <w:ilvl w:val="0"/>
          <w:numId w:val="1"/>
        </w:numPr>
        <w:spacing w:after="80"/>
      </w:pPr>
      <w:r>
        <w:rPr>
          <w:b w:val="false"/>
          <w:bCs w:val="false"/>
        </w:rPr>
        <w:t xml:space="preserve">Cash-flow lending orientation: shifts from collateral-heavy lending toward business-activity-based underwriting</w:t>
      </w:r>
    </w:p>
    <w:p>
      <w:pPr>
        <w:pStyle w:val="ListParagraph"/>
        <w:numPr>
          <w:ilvl w:val="0"/>
          <w:numId w:val="1"/>
        </w:numPr>
        <w:spacing w:after="80"/>
      </w:pPr>
      <w:r>
        <w:rPr>
          <w:b w:val="false"/>
          <w:bCs w:val="false"/>
        </w:rPr>
        <w:t xml:space="preserve">Cross-validation engine: compares declared turnover against GST and bank inflows to detect inconsistency</w:t>
      </w:r>
    </w:p>
    <w:p>
      <w:pPr>
        <w:pStyle w:val="ListParagraph"/>
        <w:numPr>
          <w:ilvl w:val="0"/>
          <w:numId w:val="1"/>
        </w:numPr>
        <w:spacing w:after="80"/>
      </w:pPr>
      <w:r>
        <w:rPr>
          <w:b w:val="false"/>
          <w:bCs w:val="false"/>
        </w:rPr>
        <w:t xml:space="preserve">Fraud and anomaly detection: flags sudden invoice spikes, mismatched seasonality, suspicious payer concentration, and repeated low-balance stress</w:t>
      </w:r>
    </w:p>
    <w:p>
      <w:pPr>
        <w:pStyle w:val="ListParagraph"/>
        <w:numPr>
          <w:ilvl w:val="0"/>
          <w:numId w:val="1"/>
        </w:numPr>
        <w:spacing w:after="80"/>
      </w:pPr>
      <w:r>
        <w:rPr>
          <w:b w:val="false"/>
          <w:bCs w:val="false"/>
        </w:rPr>
        <w:t xml:space="preserve">Sector-aware benchmarking: compares firms against peer bands by industry, geography, and enterprise size</w:t>
      </w:r>
    </w:p>
    <w:p>
      <w:pPr>
        <w:pStyle w:val="ListParagraph"/>
        <w:numPr>
          <w:ilvl w:val="0"/>
          <w:numId w:val="1"/>
        </w:numPr>
        <w:spacing w:after="80"/>
      </w:pPr>
      <w:r>
        <w:rPr>
          <w:b w:val="false"/>
          <w:bCs w:val="false"/>
        </w:rPr>
        <w:t xml:space="preserve">Early-warning monitoring: reuses the same framework post-disbursal for monthly deterioration alerts</w:t>
      </w:r>
    </w:p>
    <w:p>
      <w:pPr>
        <w:pStyle w:val="ListParagraph"/>
        <w:numPr>
          <w:ilvl w:val="0"/>
          <w:numId w:val="1"/>
        </w:numPr>
        <w:spacing w:after="80"/>
      </w:pPr>
      <w:r>
        <w:rPr>
          <w:b w:val="false"/>
          <w:bCs w:val="false"/>
        </w:rPr>
        <w:t xml:space="preserve">Human-in-the-loop underwriting: AI supports the credit officer rather than replacing them</w:t>
      </w:r>
    </w:p>
    <w:p>
      <w:pPr>
        <w:pStyle w:val="ListParagraph"/>
        <w:numPr>
          <w:ilvl w:val="0"/>
          <w:numId w:val="1"/>
        </w:numPr>
        <w:spacing w:after="80"/>
      </w:pPr>
      <w:r>
        <w:rPr>
          <w:b w:val="false"/>
          <w:bCs w:val="false"/>
        </w:rPr>
        <w:t xml:space="preserve">Explainability-first design: every adverse or positive inference is traceable to an interpretable signal</w:t>
      </w:r>
    </w:p>
    <w:p>
      <w:pPr>
        <w:pStyle w:val="Heading1"/>
        <w:spacing w:after="160" w:before="360"/>
      </w:pPr>
      <w:r>
        <w:t xml:space="preserve">10. Evaluation Metrics and Success Criteria</w:t>
      </w:r>
    </w:p>
    <w:p>
      <w:pPr>
        <w:pStyle w:val="ListParagraph"/>
        <w:numPr>
          <w:ilvl w:val="0"/>
          <w:numId w:val="1"/>
        </w:numPr>
        <w:spacing w:after="80"/>
      </w:pPr>
      <w:r>
        <w:rPr>
          <w:b w:val="false"/>
          <w:bCs w:val="false"/>
        </w:rPr>
        <w:t xml:space="preserve">Higher approval rate for creditworthy NTC/NTB MSMEs</w:t>
      </w:r>
    </w:p>
    <w:p>
      <w:pPr>
        <w:pStyle w:val="ListParagraph"/>
        <w:numPr>
          <w:ilvl w:val="0"/>
          <w:numId w:val="1"/>
        </w:numPr>
        <w:spacing w:after="80"/>
      </w:pPr>
      <w:r>
        <w:rPr>
          <w:b w:val="false"/>
          <w:bCs w:val="false"/>
        </w:rPr>
        <w:t xml:space="preserve">Lower default or delinquency rate versus baseline underwriting</w:t>
      </w:r>
    </w:p>
    <w:p>
      <w:pPr>
        <w:pStyle w:val="ListParagraph"/>
        <w:numPr>
          <w:ilvl w:val="0"/>
          <w:numId w:val="1"/>
        </w:numPr>
        <w:spacing w:after="80"/>
      </w:pPr>
      <w:r>
        <w:rPr>
          <w:b w:val="false"/>
          <w:bCs w:val="false"/>
        </w:rPr>
        <w:t xml:space="preserve">Faster time-to-decision</w:t>
      </w:r>
    </w:p>
    <w:p>
      <w:pPr>
        <w:pStyle w:val="ListParagraph"/>
        <w:numPr>
          <w:ilvl w:val="0"/>
          <w:numId w:val="1"/>
        </w:numPr>
        <w:spacing w:after="80"/>
      </w:pPr>
      <w:r>
        <w:rPr>
          <w:b w:val="false"/>
          <w:bCs w:val="false"/>
        </w:rPr>
        <w:t xml:space="preserve">Better precision and recall on risk prediction</w:t>
      </w:r>
    </w:p>
    <w:p>
      <w:pPr>
        <w:pStyle w:val="ListParagraph"/>
        <w:numPr>
          <w:ilvl w:val="0"/>
          <w:numId w:val="1"/>
        </w:numPr>
        <w:spacing w:after="80"/>
      </w:pPr>
      <w:r>
        <w:rPr>
          <w:b w:val="false"/>
          <w:bCs w:val="false"/>
        </w:rPr>
        <w:t xml:space="preserve">Higher onboarding of under-documented MSMEs</w:t>
      </w:r>
    </w:p>
    <w:p>
      <w:pPr>
        <w:pStyle w:val="ListParagraph"/>
        <w:numPr>
          <w:ilvl w:val="0"/>
          <w:numId w:val="1"/>
        </w:numPr>
        <w:spacing w:after="80"/>
      </w:pPr>
      <w:r>
        <w:rPr>
          <w:b w:val="false"/>
          <w:bCs w:val="false"/>
        </w:rPr>
        <w:t xml:space="preserve">Reduced manual document handling and turnaround time</w:t>
      </w:r>
    </w:p>
    <w:p>
      <w:pPr>
        <w:pStyle w:val="Heading1"/>
        <w:spacing w:after="160" w:before="360"/>
      </w:pPr>
      <w:r>
        <w:t xml:space="preserve">11. Technical Considerations</w:t>
      </w:r>
    </w:p>
    <w:p>
      <w:pPr>
        <w:pStyle w:val="Heading2"/>
        <w:spacing w:after="120" w:before="260"/>
      </w:pPr>
      <w:r>
        <w:t xml:space="preserve">11.1 Suggested Tech Stack</w:t>
      </w:r>
    </w:p>
    <w:p>
      <w:pPr>
        <w:pStyle w:val="ListParagraph"/>
        <w:numPr>
          <w:ilvl w:val="0"/>
          <w:numId w:val="1"/>
        </w:numPr>
        <w:spacing w:after="80"/>
      </w:pPr>
      <w:r>
        <w:rPr>
          <w:b w:val="false"/>
          <w:bCs w:val="false"/>
        </w:rPr>
        <w:t xml:space="preserve">AI/ML: XGBoost, LightGBM, logistic scorecards, anomaly detection</w:t>
      </w:r>
    </w:p>
    <w:p>
      <w:pPr>
        <w:pStyle w:val="ListParagraph"/>
        <w:numPr>
          <w:ilvl w:val="0"/>
          <w:numId w:val="1"/>
        </w:numPr>
        <w:spacing w:after="80"/>
      </w:pPr>
      <w:r>
        <w:rPr>
          <w:b w:val="false"/>
          <w:bCs w:val="false"/>
        </w:rPr>
        <w:t xml:space="preserve">Data Engineering: Python, Spark or pandas, feature store, API gateway</w:t>
      </w:r>
    </w:p>
    <w:p>
      <w:pPr>
        <w:pStyle w:val="ListParagraph"/>
        <w:numPr>
          <w:ilvl w:val="0"/>
          <w:numId w:val="1"/>
        </w:numPr>
        <w:spacing w:after="80"/>
      </w:pPr>
      <w:r>
        <w:rPr>
          <w:b w:val="false"/>
          <w:bCs w:val="false"/>
        </w:rPr>
        <w:t xml:space="preserve">Explainable AI: SHAP, reason codes, monotonic constraints, score decomposition</w:t>
      </w:r>
    </w:p>
    <w:p>
      <w:pPr>
        <w:pStyle w:val="ListParagraph"/>
        <w:numPr>
          <w:ilvl w:val="0"/>
          <w:numId w:val="1"/>
        </w:numPr>
        <w:spacing w:after="80"/>
      </w:pPr>
      <w:r>
        <w:rPr>
          <w:b w:val="false"/>
          <w:bCs w:val="false"/>
        </w:rPr>
        <w:t xml:space="preserve">Backend: FastAPI or Spring Boot</w:t>
      </w:r>
    </w:p>
    <w:p>
      <w:pPr>
        <w:pStyle w:val="ListParagraph"/>
        <w:numPr>
          <w:ilvl w:val="0"/>
          <w:numId w:val="1"/>
        </w:numPr>
        <w:spacing w:after="80"/>
      </w:pPr>
      <w:r>
        <w:rPr>
          <w:b w:val="false"/>
          <w:bCs w:val="false"/>
        </w:rPr>
        <w:t xml:space="preserve">Frontend: React dashboard with drill-down views</w:t>
      </w:r>
    </w:p>
    <w:p>
      <w:pPr>
        <w:pStyle w:val="ListParagraph"/>
        <w:numPr>
          <w:ilvl w:val="0"/>
          <w:numId w:val="1"/>
        </w:numPr>
        <w:spacing w:after="80"/>
      </w:pPr>
      <w:r>
        <w:rPr>
          <w:b w:val="false"/>
          <w:bCs w:val="false"/>
        </w:rPr>
        <w:t xml:space="preserve">Cloud: AWS, Azure, or GCP with encryption and audit logging</w:t>
      </w:r>
    </w:p>
    <w:p>
      <w:pPr>
        <w:pStyle w:val="Heading1"/>
        <w:spacing w:after="160" w:before="360"/>
      </w:pPr>
      <w:r>
        <w:t xml:space="preserve">12. Phased Scope: Demo vs. Full Production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shd w:fill="1F3864" w:color="auto" w:val="clear"/>
            <w:vAlign w:val="center"/>
          </w:tcPr>
          <w:p>
            <w:r>
              <w:rPr>
                <w:b/>
                <w:bCs/>
                <w:color w:val="FFFFFF"/>
              </w:rPr>
              <w:t xml:space="preserve">Dimension</w:t>
            </w:r>
          </w:p>
        </w:tc>
        <w:tc>
          <w:tcPr>
            <w:tcW w:type="dxa" w:w="3613"/>
            <w:shd w:fill="1F3864" w:color="auto" w:val="clear"/>
            <w:vAlign w:val="center"/>
          </w:tcPr>
          <w:p>
            <w:r>
              <w:rPr>
                <w:b/>
                <w:bCs/>
                <w:color w:val="FFFFFF"/>
              </w:rPr>
              <w:t xml:space="preserve">MVP / Hackathon Demo</w:t>
            </w:r>
          </w:p>
        </w:tc>
        <w:tc>
          <w:tcPr>
            <w:tcW w:type="dxa" w:w="3613"/>
            <w:shd w:fill="1F3864" w:color="auto" w:val="clear"/>
            <w:vAlign w:val="center"/>
          </w:tcPr>
          <w:p>
            <w:r>
              <w:rPr>
                <w:b/>
                <w:bCs/>
                <w:color w:val="FFFFFF"/>
              </w:rPr>
              <w:t xml:space="preserve">Full Production Vision</w:t>
            </w:r>
          </w:p>
        </w:tc>
      </w:tr>
      <w:tr>
        <w:tc>
          <w:tcPr>
            <w:tcW w:type="dxa" w:w="1800"/>
            <w:vAlign w:val="center"/>
          </w:tcPr>
          <w:p>
            <w:r>
              <w:rPr>
                <w:b w:val="false"/>
                <w:bCs w:val="false"/>
              </w:rPr>
              <w:t xml:space="preserve">Data</w:t>
            </w:r>
          </w:p>
        </w:tc>
        <w:tc>
          <w:tcPr>
            <w:tcW w:type="dxa" w:w="3613"/>
            <w:vAlign w:val="center"/>
          </w:tcPr>
          <w:p>
            <w:r>
              <w:rPr>
                <w:b w:val="false"/>
                <w:bCs w:val="false"/>
              </w:rPr>
              <w:t xml:space="preserve">Synthetic data simulating all five sources</w:t>
            </w:r>
          </w:p>
        </w:tc>
        <w:tc>
          <w:tcPr>
            <w:tcW w:type="dxa" w:w="3613"/>
            <w:vAlign w:val="center"/>
          </w:tcPr>
          <w:p>
            <w:r>
              <w:rPr>
                <w:b w:val="false"/>
                <w:bCs w:val="false"/>
              </w:rPr>
              <w:t xml:space="preserve">Live GSP / AA-FIU / EPFO integrations</w:t>
            </w:r>
          </w:p>
        </w:tc>
      </w:tr>
      <w:tr>
        <w:tc>
          <w:tcPr>
            <w:tcW w:type="dxa" w:w="1800"/>
            <w:vAlign w:val="center"/>
          </w:tcPr>
          <w:p>
            <w:r>
              <w:rPr>
                <w:b w:val="false"/>
                <w:bCs w:val="false"/>
              </w:rPr>
              <w:t xml:space="preserve">Scoring</w:t>
            </w:r>
          </w:p>
        </w:tc>
        <w:tc>
          <w:tcPr>
            <w:tcW w:type="dxa" w:w="3613"/>
            <w:vAlign w:val="center"/>
          </w:tcPr>
          <w:p>
            <w:r>
              <w:rPr>
                <w:b w:val="false"/>
                <w:bCs w:val="false"/>
              </w:rPr>
              <w:t xml:space="preserve">Transparent weighted formula, rule-based</w:t>
            </w:r>
          </w:p>
        </w:tc>
        <w:tc>
          <w:tcPr>
            <w:tcW w:type="dxa" w:w="3613"/>
            <w:vAlign w:val="center"/>
          </w:tcPr>
          <w:p>
            <w:r>
              <w:rPr>
                <w:b w:val="false"/>
                <w:bCs w:val="false"/>
              </w:rPr>
              <w:t xml:space="preserve">Formula plus trained ML layer with monotonic constraints</w:t>
            </w:r>
          </w:p>
        </w:tc>
      </w:tr>
      <w:tr>
        <w:tc>
          <w:tcPr>
            <w:tcW w:type="dxa" w:w="1800"/>
            <w:vAlign w:val="center"/>
          </w:tcPr>
          <w:p>
            <w:r>
              <w:rPr>
                <w:b w:val="false"/>
                <w:bCs w:val="false"/>
              </w:rPr>
              <w:t xml:space="preserve">Validation</w:t>
            </w:r>
          </w:p>
        </w:tc>
        <w:tc>
          <w:tcPr>
            <w:tcW w:type="dxa" w:w="3613"/>
            <w:vAlign w:val="center"/>
          </w:tcPr>
          <w:p>
            <w:r>
              <w:rPr>
                <w:b w:val="false"/>
                <w:bCs w:val="false"/>
              </w:rPr>
              <w:t xml:space="preserve">None (demo only)</w:t>
            </w:r>
          </w:p>
        </w:tc>
        <w:tc>
          <w:tcPr>
            <w:tcW w:type="dxa" w:w="3613"/>
            <w:vAlign w:val="center"/>
          </w:tcPr>
          <w:p>
            <w:r>
              <w:rPr>
                <w:b w:val="false"/>
                <w:bCs w:val="false"/>
              </w:rPr>
              <w:t xml:space="preserve">Bias checks, calibration, out-of-time testing</w:t>
            </w:r>
          </w:p>
        </w:tc>
      </w:tr>
      <w:tr>
        <w:tc>
          <w:tcPr>
            <w:tcW w:type="dxa" w:w="1800"/>
            <w:vAlign w:val="center"/>
          </w:tcPr>
          <w:p>
            <w:r>
              <w:rPr>
                <w:b w:val="false"/>
                <w:bCs w:val="false"/>
              </w:rPr>
              <w:t xml:space="preserve">Consent</w:t>
            </w:r>
          </w:p>
        </w:tc>
        <w:tc>
          <w:tcPr>
            <w:tcW w:type="dxa" w:w="3613"/>
            <w:vAlign w:val="center"/>
          </w:tcPr>
          <w:p>
            <w:r>
              <w:rPr>
                <w:b w:val="false"/>
                <w:bCs w:val="false"/>
              </w:rPr>
              <w:t xml:space="preserve">Simulated consent flow in UI</w:t>
            </w:r>
          </w:p>
        </w:tc>
        <w:tc>
          <w:tcPr>
            <w:tcW w:type="dxa" w:w="3613"/>
            <w:vAlign w:val="center"/>
          </w:tcPr>
          <w:p>
            <w:r>
              <w:rPr>
                <w:b w:val="false"/>
                <w:bCs w:val="false"/>
              </w:rPr>
              <w:t xml:space="preserve">DPDP- and AA-compliant Consent Manager, formally registered</w:t>
            </w:r>
          </w:p>
        </w:tc>
      </w:tr>
      <w:tr>
        <w:tc>
          <w:tcPr>
            <w:tcW w:type="dxa" w:w="1800"/>
            <w:vAlign w:val="center"/>
          </w:tcPr>
          <w:p>
            <w:r>
              <w:rPr>
                <w:b w:val="false"/>
                <w:bCs w:val="false"/>
              </w:rPr>
              <w:t xml:space="preserve">Monitoring</w:t>
            </w:r>
          </w:p>
        </w:tc>
        <w:tc>
          <w:tcPr>
            <w:tcW w:type="dxa" w:w="3613"/>
            <w:vAlign w:val="center"/>
          </w:tcPr>
          <w:p>
            <w:r>
              <w:rPr>
                <w:b w:val="false"/>
                <w:bCs w:val="false"/>
              </w:rPr>
              <w:t xml:space="preserve">Static portfolio view</w:t>
            </w:r>
          </w:p>
        </w:tc>
        <w:tc>
          <w:tcPr>
            <w:tcW w:type="dxa" w:w="3613"/>
            <w:vAlign w:val="center"/>
          </w:tcPr>
          <w:p>
            <w:r>
              <w:rPr>
                <w:b w:val="false"/>
                <w:bCs w:val="false"/>
              </w:rPr>
              <w:t xml:space="preserve">Live monthly deterioration alerting</w:t>
            </w:r>
          </w:p>
        </w:tc>
      </w:tr>
      <w:tr>
        <w:tc>
          <w:tcPr>
            <w:tcW w:type="dxa" w:w="1800"/>
            <w:vAlign w:val="center"/>
          </w:tcPr>
          <w:p>
            <w:r>
              <w:rPr>
                <w:b w:val="false"/>
                <w:bCs w:val="false"/>
              </w:rPr>
              <w:t xml:space="preserve">Compliance</w:t>
            </w:r>
          </w:p>
        </w:tc>
        <w:tc>
          <w:tcPr>
            <w:tcW w:type="dxa" w:w="3613"/>
            <w:vAlign w:val="center"/>
          </w:tcPr>
          <w:p>
            <w:r>
              <w:rPr>
                <w:b w:val="false"/>
                <w:bCs w:val="false"/>
              </w:rPr>
              <w:t xml:space="preserve">Documented as design intent</w:t>
            </w:r>
          </w:p>
        </w:tc>
        <w:tc>
          <w:tcPr>
            <w:tcW w:type="dxa" w:w="3613"/>
            <w:vAlign w:val="center"/>
          </w:tcPr>
          <w:p>
            <w:r>
              <w:rPr>
                <w:b w:val="false"/>
                <w:bCs w:val="false"/>
              </w:rPr>
              <w:t xml:space="preserve">Legal and regulatory sign-off, RBI sandbox testing</w:t>
            </w:r>
          </w:p>
        </w:tc>
      </w:tr>
    </w:tbl>
    <w:p>
      <w:pPr>
        <w:spacing w:after="160"/>
        <w:jc w:val="left"/>
      </w:pPr>
      <w:r>
        <w:rPr>
          <w:b w:val="false"/>
          <w:bCs w:val="false"/>
          <w:i/>
          <w:iCs/>
        </w:rPr>
        <w:t xml:space="preserve">Stating this split explicitly is a strength in review: it shows the difference between a demo and a bankable product is understood, rather than overclaiming production-readiness on synthetic data.</w:t>
      </w:r>
    </w:p>
    <w:p>
      <w:pPr>
        <w:pStyle w:val="Heading1"/>
        <w:spacing w:after="160" w:before="360"/>
      </w:pPr>
      <w:r>
        <w:t xml:space="preserve">13. Risks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3864" w:color="auto" w:val="clear"/>
            <w:vAlign w:val="center"/>
          </w:tcPr>
          <w:p>
            <w:r>
              <w:rPr>
                <w:b/>
                <w:bCs/>
                <w:color w:val="FFFFFF"/>
              </w:rPr>
              <w:t xml:space="preserve">Risk</w:t>
            </w:r>
          </w:p>
        </w:tc>
        <w:tc>
          <w:tcPr>
            <w:tcW w:type="dxa" w:w="5426"/>
            <w:shd w:fill="1F3864" w:color="auto" w:val="clear"/>
            <w:vAlign w:val="center"/>
          </w:tcPr>
          <w:p>
            <w:r>
              <w:rPr>
                <w:b/>
                <w:bCs/>
                <w:color w:val="FFFFFF"/>
              </w:rPr>
              <w:t xml:space="preserve">Mitigation</w:t>
            </w:r>
          </w:p>
        </w:tc>
      </w:tr>
      <w:tr>
        <w:tc>
          <w:tcPr>
            <w:tcW w:type="dxa" w:w="3600"/>
            <w:vAlign w:val="center"/>
          </w:tcPr>
          <w:p>
            <w:r>
              <w:rPr>
                <w:b w:val="false"/>
                <w:bCs w:val="false"/>
              </w:rPr>
              <w:t xml:space="preserve">GST/EPFO/AA lack simple public APIs; real integration needs GSP/FIU partnership</w:t>
            </w:r>
          </w:p>
        </w:tc>
        <w:tc>
          <w:tcPr>
            <w:tcW w:type="dxa" w:w="5426"/>
            <w:vAlign w:val="center"/>
          </w:tcPr>
          <w:p>
            <w:r>
              <w:rPr>
                <w:b w:val="false"/>
                <w:bCs w:val="false"/>
              </w:rPr>
              <w:t xml:space="preserve">Use synthetic data for the demo stage; sequence partnership acquisition into the production roadmap</w:t>
            </w:r>
          </w:p>
        </w:tc>
      </w:tr>
      <w:tr>
        <w:tc>
          <w:tcPr>
            <w:tcW w:type="dxa" w:w="3600"/>
            <w:vAlign w:val="center"/>
          </w:tcPr>
          <w:p>
            <w:r>
              <w:rPr>
                <w:b w:val="false"/>
                <w:bCs w:val="false"/>
              </w:rPr>
              <w:t xml:space="preserve">DPDP Act full enforcement is not until May 2027</w:t>
            </w:r>
          </w:p>
        </w:tc>
        <w:tc>
          <w:tcPr>
            <w:tcW w:type="dxa" w:w="5426"/>
            <w:vAlign w:val="center"/>
          </w:tcPr>
          <w:p>
            <w:r>
              <w:rPr>
                <w:b w:val="false"/>
                <w:bCs w:val="false"/>
              </w:rPr>
              <w:t xml:space="preserve">Design the consent architecture to be compliant from day one rather than retrofitting later</w:t>
            </w:r>
          </w:p>
        </w:tc>
      </w:tr>
      <w:tr>
        <w:tc>
          <w:tcPr>
            <w:tcW w:type="dxa" w:w="3600"/>
            <w:vAlign w:val="center"/>
          </w:tcPr>
          <w:p>
            <w:r>
              <w:rPr>
                <w:b w:val="false"/>
                <w:bCs w:val="false"/>
              </w:rPr>
              <w:t xml:space="preserve">Model bias/calibration risk on a thin-file, historically underserved segment</w:t>
            </w:r>
          </w:p>
        </w:tc>
        <w:tc>
          <w:tcPr>
            <w:tcW w:type="dxa" w:w="5426"/>
            <w:vAlign w:val="center"/>
          </w:tcPr>
          <w:p>
            <w:r>
              <w:rPr>
                <w:b w:val="false"/>
                <w:bCs w:val="false"/>
              </w:rPr>
              <w:t xml:space="preserve">Run bias audits, calibration checks, and out-of-time validation before any production launch</w:t>
            </w:r>
          </w:p>
        </w:tc>
      </w:tr>
      <w:tr>
        <w:tc>
          <w:tcPr>
            <w:tcW w:type="dxa" w:w="3600"/>
            <w:vAlign w:val="center"/>
          </w:tcPr>
          <w:p>
            <w:r>
              <w:rPr>
                <w:b w:val="false"/>
                <w:bCs w:val="false"/>
              </w:rPr>
              <w:t xml:space="preserve">Alternate data can be a noisy proxy (e.g., utility usage does not always track revenue)</w:t>
            </w:r>
          </w:p>
        </w:tc>
        <w:tc>
          <w:tcPr>
            <w:tcW w:type="dxa" w:w="5426"/>
            <w:vAlign w:val="center"/>
          </w:tcPr>
          <w:p>
            <w:r>
              <w:rPr>
                <w:b w:val="false"/>
                <w:bCs w:val="false"/>
              </w:rPr>
              <w:t xml:space="preserve">Use sector-aware benchmarking and a visible confidence/data-sufficiency indicator rather than treating all signals as equally reliable</w:t>
            </w:r>
          </w:p>
        </w:tc>
      </w:tr>
      <w:tr>
        <w:tc>
          <w:tcPr>
            <w:tcW w:type="dxa" w:w="3600"/>
            <w:vAlign w:val="center"/>
          </w:tcPr>
          <w:p>
            <w:r>
              <w:rPr>
                <w:b w:val="false"/>
                <w:bCs w:val="false"/>
              </w:rPr>
              <w:t xml:space="preserve">Incumbents (CRIF, Jocata, Perfios) already have validated, at-scale models</w:t>
            </w:r>
          </w:p>
        </w:tc>
        <w:tc>
          <w:tcPr>
            <w:tcW w:type="dxa" w:w="5426"/>
            <w:vAlign w:val="center"/>
          </w:tcPr>
          <w:p>
            <w:r>
              <w:rPr>
                <w:b w:val="false"/>
                <w:bCs w:val="false"/>
              </w:rPr>
              <w:t xml:space="preserve">Position around architectural breadth and explainability rather than claiming superior accuracy; target integration or differentiated segments rather than head-on replacement</w:t>
            </w:r>
          </w:p>
        </w:tc>
      </w:tr>
    </w:tbl>
    <w:p>
      <w:pPr>
        <w:pStyle w:val="Heading1"/>
        <w:spacing w:after="160" w:before="360"/>
      </w:pPr>
      <w:r>
        <w:t xml:space="preserve">14. Anti-Patterns and Considerations</w:t>
      </w:r>
    </w:p>
    <w:p>
      <w:pPr>
        <w:pStyle w:val="Heading2"/>
        <w:spacing w:after="120" w:before="260"/>
      </w:pPr>
      <w:r>
        <w:t xml:space="preserve">14.1 Product Mistakes to Avoid</w:t>
      </w:r>
    </w:p>
    <w:p>
      <w:pPr>
        <w:pStyle w:val="ListParagraph"/>
        <w:numPr>
          <w:ilvl w:val="0"/>
          <w:numId w:val="1"/>
        </w:numPr>
        <w:spacing w:after="80"/>
      </w:pPr>
      <w:r>
        <w:rPr>
          <w:b w:val="false"/>
          <w:bCs w:val="false"/>
        </w:rPr>
        <w:t xml:space="preserve">Do not build only a flashy dashboard without a real scoring methodology</w:t>
      </w:r>
    </w:p>
    <w:p>
      <w:pPr>
        <w:pStyle w:val="ListParagraph"/>
        <w:numPr>
          <w:ilvl w:val="0"/>
          <w:numId w:val="1"/>
        </w:numPr>
        <w:spacing w:after="80"/>
      </w:pPr>
      <w:r>
        <w:rPr>
          <w:b w:val="false"/>
          <w:bCs w:val="false"/>
        </w:rPr>
        <w:t xml:space="preserve">Do not rely on one data source alone, such as just GST or just UPI</w:t>
      </w:r>
    </w:p>
    <w:p>
      <w:pPr>
        <w:pStyle w:val="ListParagraph"/>
        <w:numPr>
          <w:ilvl w:val="0"/>
          <w:numId w:val="1"/>
        </w:numPr>
        <w:spacing w:after="80"/>
      </w:pPr>
      <w:r>
        <w:rPr>
          <w:b w:val="false"/>
          <w:bCs w:val="false"/>
        </w:rPr>
        <w:t xml:space="preserve">Do not produce a black-box score with no reasons — underwriting requires traceability and defensibility</w:t>
      </w:r>
    </w:p>
    <w:p>
      <w:pPr>
        <w:pStyle w:val="ListParagraph"/>
        <w:numPr>
          <w:ilvl w:val="0"/>
          <w:numId w:val="1"/>
        </w:numPr>
        <w:spacing w:after="80"/>
      </w:pPr>
      <w:r>
        <w:rPr>
          <w:b w:val="false"/>
          <w:bCs w:val="false"/>
        </w:rPr>
        <w:t xml:space="preserve">Do not assume missing traditional data always means high risk</w:t>
      </w:r>
    </w:p>
    <w:p>
      <w:pPr>
        <w:pStyle w:val="ListParagraph"/>
        <w:numPr>
          <w:ilvl w:val="0"/>
          <w:numId w:val="1"/>
        </w:numPr>
        <w:spacing w:after="80"/>
      </w:pPr>
      <w:r>
        <w:rPr>
          <w:b w:val="false"/>
          <w:bCs w:val="false"/>
        </w:rPr>
        <w:t xml:space="preserve">Do not mix consumer-style behavioural gimmicks with business underwriting unless clearly lawful and relevant</w:t>
      </w:r>
    </w:p>
    <w:p>
      <w:pPr>
        <w:pStyle w:val="Heading2"/>
        <w:spacing w:after="120" w:before="260"/>
      </w:pPr>
      <w:r>
        <w:t xml:space="preserve">14.2 Compliance and Trust Mistakes to Avoid</w:t>
      </w:r>
    </w:p>
    <w:p>
      <w:pPr>
        <w:pStyle w:val="ListParagraph"/>
        <w:numPr>
          <w:ilvl w:val="0"/>
          <w:numId w:val="1"/>
        </w:numPr>
        <w:spacing w:after="80"/>
      </w:pPr>
      <w:r>
        <w:rPr>
          <w:b w:val="false"/>
          <w:bCs w:val="false"/>
        </w:rPr>
        <w:t xml:space="preserve">Do not collect more data than necessary for the stated underwriting purpose</w:t>
      </w:r>
    </w:p>
    <w:p>
      <w:pPr>
        <w:pStyle w:val="ListParagraph"/>
        <w:numPr>
          <w:ilvl w:val="0"/>
          <w:numId w:val="1"/>
        </w:numPr>
        <w:spacing w:after="80"/>
      </w:pPr>
      <w:r>
        <w:rPr>
          <w:b w:val="false"/>
          <w:bCs w:val="false"/>
        </w:rPr>
        <w:t xml:space="preserve">Do not take or store GST portal or bank login credentials as a shortcut</w:t>
      </w:r>
    </w:p>
    <w:p>
      <w:pPr>
        <w:pStyle w:val="ListParagraph"/>
        <w:numPr>
          <w:ilvl w:val="0"/>
          <w:numId w:val="1"/>
        </w:numPr>
        <w:spacing w:after="80"/>
      </w:pPr>
      <w:r>
        <w:rPr>
          <w:b w:val="false"/>
          <w:bCs w:val="false"/>
        </w:rPr>
        <w:t xml:space="preserve">Do not scrape portals unofficially when consented or regulated access is expected</w:t>
      </w:r>
    </w:p>
    <w:p>
      <w:pPr>
        <w:pStyle w:val="ListParagraph"/>
        <w:numPr>
          <w:ilvl w:val="0"/>
          <w:numId w:val="1"/>
        </w:numPr>
        <w:spacing w:after="80"/>
      </w:pPr>
      <w:r>
        <w:rPr>
          <w:b w:val="false"/>
          <w:bCs w:val="false"/>
        </w:rPr>
        <w:t xml:space="preserve">Do not access phone contacts, call logs, messages, or unrelated device data for lending decisions</w:t>
      </w:r>
    </w:p>
    <w:p>
      <w:pPr>
        <w:pStyle w:val="ListParagraph"/>
        <w:numPr>
          <w:ilvl w:val="0"/>
          <w:numId w:val="1"/>
        </w:numPr>
        <w:spacing w:after="80"/>
      </w:pPr>
      <w:r>
        <w:rPr>
          <w:b w:val="false"/>
          <w:bCs w:val="false"/>
        </w:rPr>
        <w:t xml:space="preserve">Do not share applicant data with third parties without explicit consent, except where legally required</w:t>
      </w:r>
    </w:p>
    <w:p>
      <w:pPr>
        <w:pStyle w:val="ListParagraph"/>
        <w:numPr>
          <w:ilvl w:val="0"/>
          <w:numId w:val="1"/>
        </w:numPr>
        <w:spacing w:after="80"/>
      </w:pPr>
      <w:r>
        <w:rPr>
          <w:b w:val="false"/>
          <w:bCs w:val="false"/>
        </w:rPr>
        <w:t xml:space="preserve">Do not hide decision logic from the lender or borrower-facing process</w:t>
      </w:r>
    </w:p>
    <w:p>
      <w:pPr>
        <w:pStyle w:val="Heading2"/>
        <w:spacing w:after="120" w:before="260"/>
      </w:pPr>
      <w:r>
        <w:t xml:space="preserve">14.3 Risk-Model Mistakes to Avoid</w:t>
      </w:r>
    </w:p>
    <w:p>
      <w:pPr>
        <w:pStyle w:val="ListParagraph"/>
        <w:numPr>
          <w:ilvl w:val="0"/>
          <w:numId w:val="1"/>
        </w:numPr>
        <w:spacing w:after="80"/>
      </w:pPr>
      <w:r>
        <w:rPr>
          <w:b w:val="false"/>
          <w:bCs w:val="false"/>
        </w:rPr>
        <w:t xml:space="preserve">Do not train a model without bias checks, calibration checks, and out-of-time validation</w:t>
      </w:r>
    </w:p>
    <w:p>
      <w:pPr>
        <w:pStyle w:val="ListParagraph"/>
        <w:numPr>
          <w:ilvl w:val="0"/>
          <w:numId w:val="1"/>
        </w:numPr>
        <w:spacing w:after="80"/>
      </w:pPr>
      <w:r>
        <w:rPr>
          <w:b w:val="false"/>
          <w:bCs w:val="false"/>
        </w:rPr>
        <w:t xml:space="preserve">Do not equate correlation with causation — some alternate signals are noisy proxies</w:t>
      </w:r>
    </w:p>
    <w:p>
      <w:pPr>
        <w:pStyle w:val="ListParagraph"/>
        <w:numPr>
          <w:ilvl w:val="0"/>
          <w:numId w:val="1"/>
        </w:numPr>
        <w:spacing w:after="80"/>
      </w:pPr>
      <w:r>
        <w:rPr>
          <w:b w:val="false"/>
          <w:bCs w:val="false"/>
        </w:rPr>
        <w:t xml:space="preserve">Do not ignore seasonality, sector effects, and regional business cycles</w:t>
      </w:r>
    </w:p>
    <w:p>
      <w:pPr>
        <w:pStyle w:val="ListParagraph"/>
        <w:numPr>
          <w:ilvl w:val="0"/>
          <w:numId w:val="1"/>
        </w:numPr>
        <w:spacing w:after="80"/>
      </w:pPr>
      <w:r>
        <w:rPr>
          <w:b w:val="false"/>
          <w:bCs w:val="false"/>
        </w:rPr>
        <w:t xml:space="preserve">Do not overfit to synthetic or limited hackathon data and claim production readiness</w:t>
      </w:r>
    </w:p>
    <w:p>
      <w:pPr>
        <w:pStyle w:val="ListParagraph"/>
        <w:numPr>
          <w:ilvl w:val="0"/>
          <w:numId w:val="1"/>
        </w:numPr>
        <w:spacing w:after="80"/>
      </w:pPr>
      <w:r>
        <w:rPr>
          <w:b w:val="false"/>
          <w:bCs w:val="false"/>
        </w:rPr>
        <w:t xml:space="preserve">Do not use only approval prediction — include repayment risk or delinquency orientation</w:t>
      </w:r>
    </w:p>
    <w:p>
      <w:pPr>
        <w:pStyle w:val="Heading1"/>
        <w:spacing w:after="160" w:before="360"/>
      </w:pPr>
      <w:r>
        <w:t xml:space="preserve">15. Conclusion</w:t>
      </w:r>
    </w:p>
    <w:p>
      <w:pPr>
        <w:spacing w:after="160"/>
        <w:jc w:val="left"/>
      </w:pPr>
      <w:r>
        <w:rPr>
          <w:b w:val="false"/>
          <w:bCs w:val="false"/>
          <w:i w:val="false"/>
          <w:iCs w:val="false"/>
        </w:rPr>
        <w:t xml:space="preserve">The AI-Powered MSME Financial Health Card is a credible, well-scoped step toward inclusive finance for NTC and NTB enterprises — provided the gap between demo and production is kept explicit. The differentiation is architectural (multi-source parity, explainability-first design, integrated monitoring), not a claim of outperforming validated incumbents. With the compliance groundwork in Section 8 and the phased roadmap in Section 12 followed deliberately, this document is intended as a working guide for a team building toward a real, auditable underwriting product — not only a hackathon artifact.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2026-07-04T15:56:31.121Z</dcterms:created>
  <dcterms:modified xsi:type="dcterms:W3CDTF">2026-07-04T15:56:31.134Z</dcterms:modified>
</cp:coreProperties>
</file>

<file path=docProps/custom.xml><?xml version="1.0" encoding="utf-8"?>
<Properties xmlns="http://schemas.openxmlformats.org/officeDocument/2006/custom-properties" xmlns:vt="http://schemas.openxmlformats.org/officeDocument/2006/docPropsVTypes"/>
</file>