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36"/>
        </w:rPr>
        <w:t>Slide Master Architecture &amp; Uniform Design Guide</w:t>
      </w:r>
    </w:p>
    <w:p>
      <w:pPr>
        <w:spacing w:after="320"/>
      </w:pPr>
      <w:r>
        <w:rPr>
          <w:sz w:val="22"/>
        </w:rPr>
        <w:t>This document provides a comprehensive blueprint for configuring and applying a Slide Master in presentation software. Utilizing a Slide Master ensures absolute design consistency, standardized typography, cohesive color palettes, and uniform branding across all slides in a deck.</w:t>
      </w:r>
    </w:p>
    <w:p>
      <w:pPr>
        <w:pStyle w:val="Heading1"/>
        <w:spacing w:before="240" w:after="120"/>
      </w:pPr>
      <w:r>
        <w:rPr>
          <w:color w:val="1F4E79"/>
          <w:sz w:val="28"/>
        </w:rPr>
        <w:t>1. Overview of Slide Master &amp; Benefits</w:t>
      </w:r>
    </w:p>
    <w:p>
      <w:pPr>
        <w:spacing w:after="320"/>
      </w:pPr>
      <w:r>
        <w:t>The Slide Master is the top-level slide in your presentation's hierarchy that stores all information about the template, including font styles, placeholder sizes, background graphics, and color schemes. Any changes made to the Slide Master automatically cascade to every individual slide layout linked to it, saving hours of manual formatting and enforcing strict brand guidelines.</w:t>
      </w:r>
    </w:p>
    <w:p>
      <w:pPr>
        <w:pStyle w:val="Heading1"/>
        <w:spacing w:before="240" w:after="120"/>
      </w:pPr>
      <w:r>
        <w:rPr>
          <w:color w:val="1F4E79"/>
          <w:sz w:val="28"/>
        </w:rPr>
        <w:t>2. Core Elements Defined in the Master Template</w:t>
      </w:r>
    </w:p>
    <w:p>
      <w:pPr>
        <w:pStyle w:val="ListBullet"/>
        <w:spacing w:after="80"/>
      </w:pPr>
      <w:r>
        <w:rPr>
          <w:b/>
        </w:rPr>
        <w:t xml:space="preserve">Typography Hierarchy: </w:t>
      </w:r>
      <w:r>
        <w:t>Standardized heading fonts (e.g., Arial / Montserrat, Bold, Deep Navy #1F4E79) and body fonts (Calibri / Open Sans, Dark Grey #333333) with predefined line spacing (1.15x).</w:t>
      </w:r>
    </w:p>
    <w:p>
      <w:pPr>
        <w:pStyle w:val="ListBullet"/>
        <w:spacing w:after="80"/>
      </w:pPr>
      <w:r>
        <w:rPr>
          <w:b/>
        </w:rPr>
        <w:t xml:space="preserve">Color Palette Integration: </w:t>
      </w:r>
      <w:r>
        <w:t>Primary brand colors (Deep Navy), secondary accent tones (Slate Blue), and background neutrals (Off-White / Light Grey #F8F9FA) locked into the theme.</w:t>
      </w:r>
    </w:p>
    <w:p>
      <w:pPr>
        <w:pStyle w:val="ListBullet"/>
        <w:spacing w:after="80"/>
      </w:pPr>
      <w:r>
        <w:rPr>
          <w:b/>
        </w:rPr>
        <w:t xml:space="preserve">Header &amp; Footer Placement: </w:t>
      </w:r>
      <w:r>
        <w:t>Uniform placement for company logos in the top-right corner, subtle bottom accent bars, and dynamic slide numbering in the footer.</w:t>
      </w:r>
    </w:p>
    <w:p>
      <w:pPr>
        <w:pStyle w:val="ListBullet"/>
        <w:spacing w:after="80"/>
      </w:pPr>
      <w:r>
        <w:rPr>
          <w:b/>
        </w:rPr>
        <w:t xml:space="preserve">Content Placeholders: </w:t>
      </w:r>
      <w:r>
        <w:t>Consistent margins and bounding boxes for titles, bullet lists, charts, and image containers across all layout variants.</w:t>
      </w:r>
    </w:p>
    <w:p>
      <w:pPr>
        <w:spacing w:after="120"/>
      </w:pPr>
    </w:p>
    <w:p>
      <w:pPr>
        <w:pStyle w:val="Heading1"/>
        <w:spacing w:before="240" w:after="120"/>
      </w:pPr>
      <w:r>
        <w:rPr>
          <w:color w:val="1F4E79"/>
          <w:sz w:val="28"/>
        </w:rPr>
        <w:t>3. Step-by-Step Guide to Applying Slide Master</w:t>
      </w:r>
    </w:p>
    <w:p>
      <w:pPr>
        <w:pStyle w:val="ListBullet"/>
        <w:spacing w:after="80"/>
      </w:pPr>
      <w:r>
        <w:rPr>
          <w:b/>
        </w:rPr>
        <w:t xml:space="preserve">Step 1 (Open Master View): </w:t>
      </w:r>
      <w:r>
        <w:t>In PowerPoint or Google Slides, navigate to the View tab and select 'Slide Master' (or 'Edit Master').</w:t>
      </w:r>
    </w:p>
    <w:p>
      <w:pPr>
        <w:pStyle w:val="ListBullet"/>
        <w:spacing w:after="80"/>
      </w:pPr>
      <w:r>
        <w:rPr>
          <w:b/>
        </w:rPr>
        <w:t xml:space="preserve">Step 2 (Modify Master Slide): </w:t>
      </w:r>
      <w:r>
        <w:t>Select the topmost master slide. Apply global background colors, insert your corporate logo in the header zone, and configure the master text styles for Level 1, 2, and 3 bullet points.</w:t>
      </w:r>
    </w:p>
    <w:p>
      <w:pPr>
        <w:pStyle w:val="ListBullet"/>
        <w:spacing w:after="80"/>
      </w:pPr>
      <w:r>
        <w:rPr>
          <w:b/>
        </w:rPr>
        <w:t xml:space="preserve">Step 3 (Configure Layout Variants): </w:t>
      </w:r>
      <w:r>
        <w:t>Customize sub-layouts such as Title Slide, Two-Column Layout, and Data/Chart Layout to inherit master properties while serving specific content needs.</w:t>
      </w:r>
    </w:p>
    <w:p>
      <w:pPr>
        <w:pStyle w:val="ListBullet"/>
        <w:spacing w:after="80"/>
      </w:pPr>
      <w:r>
        <w:rPr>
          <w:b/>
        </w:rPr>
        <w:t xml:space="preserve">Step 4 (Close &amp; Apply): </w:t>
      </w:r>
      <w:r>
        <w:t>Exit Master View and return to normal editing. Apply the customized layouts to individual slides to ensure instant uniform alignment.</w:t>
      </w:r>
    </w:p>
    <w:p>
      <w:pPr>
        <w:spacing w:after="120"/>
      </w:pPr>
    </w:p>
    <w:p>
      <w:pPr>
        <w:pStyle w:val="Heading1"/>
        <w:spacing w:before="240" w:after="120"/>
      </w:pPr>
      <w:r>
        <w:rPr>
          <w:color w:val="1F4E79"/>
          <w:sz w:val="28"/>
        </w:rPr>
        <w:t>4. Slide Master Best Practices &amp; Common Pitfalls</w:t>
      </w:r>
    </w:p>
    <w:tbl>
      <w:tblPr>
        <w:tblW w:type="auto" w:w="0"/>
        <w:tblLayout w:type="fixed"/>
        <w:tblLook w:firstColumn="1" w:firstRow="1" w:lastColumn="0" w:lastRow="0" w:noHBand="0" w:noVBand="1" w:val="04A0"/>
      </w:tblPr>
      <w:tblGrid>
        <w:gridCol w:w="3120"/>
        <w:gridCol w:w="3120"/>
        <w:gridCol w:w="3120"/>
      </w:tblGrid>
      <w:tr>
        <w:tc>
          <w:tcPr>
            <w:tcW w:type="dxa" w:w="2160"/>
            <w:shd w:fill="1F4E79"/>
          </w:tcPr>
          <w:p>
            <w:r>
              <w:rPr>
                <w:b/>
                <w:color w:val="FFFFFF"/>
              </w:rPr>
              <w:t>Design Principle</w:t>
            </w:r>
          </w:p>
        </w:tc>
        <w:tc>
          <w:tcPr>
            <w:tcW w:type="dxa" w:w="3600"/>
            <w:shd w:fill="1F4E79"/>
          </w:tcPr>
          <w:p>
            <w:r>
              <w:rPr>
                <w:b/>
                <w:color w:val="FFFFFF"/>
              </w:rPr>
              <w:t>Recommended Practice</w:t>
            </w:r>
          </w:p>
        </w:tc>
        <w:tc>
          <w:tcPr>
            <w:tcW w:type="dxa" w:w="3888"/>
            <w:shd w:fill="1F4E79"/>
          </w:tcPr>
          <w:p>
            <w:r>
              <w:rPr>
                <w:b/>
                <w:color w:val="FFFFFF"/>
              </w:rPr>
              <w:t>Pitfall to Avoid</w:t>
            </w:r>
          </w:p>
        </w:tc>
      </w:tr>
      <w:tr>
        <w:tc>
          <w:tcPr>
            <w:tcW w:type="dxa" w:w="2160"/>
          </w:tcPr>
          <w:p>
            <w:r>
              <w:t>Color Consistency</w:t>
            </w:r>
          </w:p>
        </w:tc>
        <w:tc>
          <w:tcPr>
            <w:tcW w:type="dxa" w:w="3600"/>
          </w:tcPr>
          <w:p>
            <w:r>
              <w:t>Use a locked 4-color palette defined in the master theme.</w:t>
            </w:r>
          </w:p>
        </w:tc>
        <w:tc>
          <w:tcPr>
            <w:tcW w:type="dxa" w:w="3888"/>
          </w:tcPr>
          <w:p>
            <w:r>
              <w:t>Mixing unapproved accent colors on individual slides.</w:t>
            </w:r>
          </w:p>
        </w:tc>
      </w:tr>
      <w:tr>
        <w:tc>
          <w:tcPr>
            <w:tcW w:type="dxa" w:w="2160"/>
            <w:shd w:fill="F2F2F2"/>
          </w:tcPr>
          <w:p>
            <w:r>
              <w:t>Placeholder Lock</w:t>
            </w:r>
          </w:p>
        </w:tc>
        <w:tc>
          <w:tcPr>
            <w:tcW w:type="dxa" w:w="3600"/>
            <w:shd w:fill="F2F2F2"/>
          </w:tcPr>
          <w:p>
            <w:r>
              <w:t>Lock master elements so users cannot accidentally delete logos.</w:t>
            </w:r>
          </w:p>
        </w:tc>
        <w:tc>
          <w:tcPr>
            <w:tcW w:type="dxa" w:w="3888"/>
            <w:shd w:fill="F2F2F2"/>
          </w:tcPr>
          <w:p>
            <w:r>
              <w:t>Placing logos as loose images on every slide manually.</w:t>
            </w:r>
          </w:p>
        </w:tc>
      </w:tr>
      <w:tr>
        <w:tc>
          <w:tcPr>
            <w:tcW w:type="dxa" w:w="2160"/>
          </w:tcPr>
          <w:p>
            <w:r>
              <w:t>Font Economy</w:t>
            </w:r>
          </w:p>
        </w:tc>
        <w:tc>
          <w:tcPr>
            <w:tcW w:type="dxa" w:w="3600"/>
          </w:tcPr>
          <w:p>
            <w:r>
              <w:t>Stick to a maximum of 2 font families across all levels.</w:t>
            </w:r>
          </w:p>
        </w:tc>
        <w:tc>
          <w:tcPr>
            <w:tcW w:type="dxa" w:w="3888"/>
          </w:tcPr>
          <w:p>
            <w:r>
              <w:t>Using mismatched fonts and arbitrary text sizes per slide.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