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36"/>
        </w:rPr>
        <w:t>Structured AI-Generated Executive Report</w:t>
      </w:r>
    </w:p>
    <w:p>
      <w:pPr>
        <w:spacing w:after="320"/>
      </w:pPr>
      <w:r>
        <w:rPr>
          <w:sz w:val="22"/>
        </w:rPr>
        <w:t>This report demonstrates the application of strict structural constraints—including hierarchical headings, bullet points, data tables, and specified output formats—applied through an AI-driven generation framework.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1. Executive Summary &amp; Prompt Constraints</w:t>
      </w:r>
    </w:p>
    <w:p>
      <w:pPr>
        <w:spacing w:after="120"/>
      </w:pPr>
      <w:r>
        <w:t>To ensure maximum clarity and compliance with corporate reporting standards, the following structured constraints were enforced during generation:</w:t>
      </w:r>
    </w:p>
    <w:p>
      <w:pPr>
        <w:pStyle w:val="ListBullet"/>
        <w:spacing w:after="80"/>
      </w:pPr>
      <w:r>
        <w:rPr>
          <w:b/>
        </w:rPr>
        <w:t xml:space="preserve">Hierarchical Headings: </w:t>
      </w:r>
      <w:r>
        <w:t>Organized content into distinct numbered sections (Heading 1, Heading 2) for logical flow.</w:t>
      </w:r>
    </w:p>
    <w:p>
      <w:pPr>
        <w:pStyle w:val="ListBullet"/>
        <w:spacing w:after="80"/>
      </w:pPr>
      <w:r>
        <w:rPr>
          <w:b/>
        </w:rPr>
        <w:t xml:space="preserve">Visual Bullet Points: </w:t>
      </w:r>
      <w:r>
        <w:t>Utilized bulleted lists for scannable breakdowns of key findings and technical specifications.</w:t>
      </w:r>
    </w:p>
    <w:p>
      <w:pPr>
        <w:pStyle w:val="ListBullet"/>
        <w:spacing w:after="80"/>
      </w:pPr>
      <w:r>
        <w:rPr>
          <w:b/>
        </w:rPr>
        <w:t xml:space="preserve">Structured Data Tables: </w:t>
      </w:r>
      <w:r>
        <w:t>Integrated multi-column tables with styled headers and zebra striping to present metrics clearly.</w:t>
      </w:r>
    </w:p>
    <w:p>
      <w:pPr>
        <w:pStyle w:val="ListBullet"/>
        <w:spacing w:after="80"/>
      </w:pPr>
      <w:r>
        <w:rPr>
          <w:b/>
        </w:rPr>
        <w:t xml:space="preserve">Specified Output Formats: </w:t>
      </w:r>
      <w:r>
        <w:t>Enforced professional styling, 1-inch margins, and custom color accents (Deep Navy #1F4E79).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color w:val="1F4E79"/>
          <w:sz w:val="28"/>
        </w:rPr>
        <w:t>2. Key Performance Indicators &amp;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Metric Category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Target Goal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Status / Variance</w:t>
            </w:r>
          </w:p>
        </w:tc>
      </w:tr>
      <w:tr>
        <w:tc>
          <w:tcPr>
            <w:tcW w:type="dxa" w:w="3168"/>
          </w:tcPr>
          <w:p>
            <w:r>
              <w:t>User Acquisition Growth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  <w:tc>
          <w:tcPr>
            <w:tcW w:type="dxa" w:w="2160"/>
          </w:tcPr>
          <w:p>
            <w:r>
              <w:t>+28.5%</w:t>
            </w:r>
          </w:p>
        </w:tc>
        <w:tc>
          <w:tcPr>
            <w:tcW w:type="dxa" w:w="1872"/>
          </w:tcPr>
          <w:p>
            <w:r>
              <w:t>Exceeded Target (+3.5%)</w:t>
            </w:r>
          </w:p>
        </w:tc>
      </w:tr>
      <w:tr>
        <w:tc>
          <w:tcPr>
            <w:tcW w:type="dxa" w:w="3168"/>
            <w:shd w:fill="F2F2F2"/>
          </w:tcPr>
          <w:p>
            <w:r>
              <w:t>System Uptime SLA</w:t>
            </w:r>
          </w:p>
        </w:tc>
        <w:tc>
          <w:tcPr>
            <w:tcW w:type="dxa" w:w="2160"/>
            <w:shd w:fill="F2F2F2"/>
          </w:tcPr>
          <w:p>
            <w:r>
              <w:t>99.9%</w:t>
            </w:r>
          </w:p>
        </w:tc>
        <w:tc>
          <w:tcPr>
            <w:tcW w:type="dxa" w:w="2160"/>
            <w:shd w:fill="F2F2F2"/>
          </w:tcPr>
          <w:p>
            <w:r>
              <w:t>99.95%</w:t>
            </w:r>
          </w:p>
        </w:tc>
        <w:tc>
          <w:tcPr>
            <w:tcW w:type="dxa" w:w="1872"/>
            <w:shd w:fill="F2F2F2"/>
          </w:tcPr>
          <w:p>
            <w:r>
              <w:t>Meeting Standard</w:t>
            </w:r>
          </w:p>
        </w:tc>
      </w:tr>
      <w:tr>
        <w:tc>
          <w:tcPr>
            <w:tcW w:type="dxa" w:w="3168"/>
          </w:tcPr>
          <w:p>
            <w:r>
              <w:t>Customer Satisfaction (CSAT)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1872"/>
          </w:tcPr>
          <w:p>
            <w:r>
              <w:t>Exceeded Target (+4%)</w:t>
            </w:r>
          </w:p>
        </w:tc>
      </w:tr>
      <w:tr>
        <w:tc>
          <w:tcPr>
            <w:tcW w:type="dxa" w:w="3168"/>
            <w:shd w:fill="F2F2F2"/>
          </w:tcPr>
          <w:p>
            <w:r>
              <w:t>Sprint Bug Resolution Rate</w:t>
            </w:r>
          </w:p>
        </w:tc>
        <w:tc>
          <w:tcPr>
            <w:tcW w:type="dxa" w:w="2160"/>
            <w:shd w:fill="F2F2F2"/>
          </w:tcPr>
          <w:p>
            <w:r>
              <w:t>90%</w:t>
            </w:r>
          </w:p>
        </w:tc>
        <w:tc>
          <w:tcPr>
            <w:tcW w:type="dxa" w:w="2160"/>
            <w:shd w:fill="F2F2F2"/>
          </w:tcPr>
          <w:p>
            <w:r>
              <w:t>87%</w:t>
            </w:r>
          </w:p>
        </w:tc>
        <w:tc>
          <w:tcPr>
            <w:tcW w:type="dxa" w:w="1872"/>
            <w:shd w:fill="F2F2F2"/>
          </w:tcPr>
          <w:p>
            <w:r>
              <w:t>Minor Lag (-3%)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color w:val="1F4E79"/>
          <w:sz w:val="28"/>
        </w:rPr>
        <w:t>3. Strategic Recommendations &amp; Next Steps</w:t>
      </w:r>
    </w:p>
    <w:p>
      <w:pPr>
        <w:pStyle w:val="ListBullet"/>
        <w:spacing w:after="80"/>
      </w:pPr>
      <w:r>
        <w:rPr>
          <w:b/>
        </w:rPr>
        <w:t xml:space="preserve">Scale Infrastructure: </w:t>
      </w:r>
      <w:r>
        <w:t>Provision additional cloud server instances ahead of the Q4 marketing push to maintain 99.95% uptime.</w:t>
      </w:r>
    </w:p>
    <w:p>
      <w:pPr>
        <w:pStyle w:val="ListBullet"/>
        <w:spacing w:after="80"/>
      </w:pPr>
      <w:r>
        <w:rPr>
          <w:b/>
        </w:rPr>
        <w:t xml:space="preserve">Optimize QA Pipelines: </w:t>
      </w:r>
      <w:r>
        <w:t>Introduce automated regression testing scripts to close the 3% bug resolution gap identified in Sprint metrics.</w:t>
      </w:r>
    </w:p>
    <w:p>
      <w:pPr>
        <w:pStyle w:val="ListBullet"/>
        <w:spacing w:after="80"/>
      </w:pPr>
      <w:r>
        <w:rPr>
          <w:b/>
        </w:rPr>
        <w:t xml:space="preserve">Enhance User Onboarding: </w:t>
      </w:r>
      <w:r>
        <w:t>Deploy updated tooltips and interactive guides based on feedback gathered during the recent CSAT survey.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