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DD7EE"/>
                <w:spacing w:val="100"/>
                <w:sz w:val="22"/>
                <w:szCs w:val="22"/>
              </w:rPr>
              <w:t xml:space="preserve">BUSINESS INTELLIGENCE REPORT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Global E-Commerce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E4F0"/>
                <w:sz w:val="36"/>
                <w:szCs w:val="36"/>
              </w:rPr>
              <w:t xml:space="preserve">Profitability &amp; Sales Performance Analysis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Based on 5,000-Order Dataset  |  Multi-Region  |  Multi-Channel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pacing w:val="40"/>
                <w:sz w:val="16"/>
                <w:szCs w:val="16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Global Operations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pacing w:val="40"/>
                <w:sz w:val="16"/>
                <w:szCs w:val="16"/>
              </w:rPr>
              <w:t xml:space="preserve">DATASET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5,000 Transactions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F5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pacing w:val="40"/>
                <w:sz w:val="16"/>
                <w:szCs w:val="16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Business Report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EXECUTIVE SUMMARY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report presents a comprehensive analysis of global e-commerce operations across five regions, five product categories, and three distinct sales channels. The findings are drawn from a dataset of 5,000 transactions and are intended to provide senior management with actionable insights into revenue performance, cost efficiency, discount effectiveness, and marketing ROI.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business generated $5.57 million in total revenue with a net profit of $993,107, translating to a profit margin of 17.8%. While top-line performance is strong, the analysis reveals that profitability is being constrained by aggressive discount strategies, channel cost structures, and regional operational inefficiencies.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0"/>
                <w:szCs w:val="20"/>
              </w:rPr>
              <w:t xml:space="preserve">Key Takeaway: The company's revenue is healthy, but margin improvement requires strategic action on discounting, category management, and regional cost optimization.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KEY PERFORMANCE INDICATORS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Full dataset analyzed across all segments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$5.57M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Strong top-line performance globally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$993K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Approximately $1M net profit generated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17.8%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$17.80 retained per $100 of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$1,114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High AOV signals strong purchase intent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Average Discount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13.5%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Potential margin erosion at higher tiers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Marketing ROI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8.03×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Strong — $8.03 revenue per $1 marketing spend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PRODUCT CATEGORY PERFORMANCE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Revenue and profit across all five categories are broadly comparable, indicating a balanced product portfolio. However, a deeper examination reveals divergence in margin efficiency between categories.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Implied Margin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$1,164,845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$213,758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18.4%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Clothing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$1,161,715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$208,291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17.9%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Beauty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$1,119,247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$199,083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17.8%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Electronics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$1,090,780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$188,370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17.3%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$1,035,513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$183,603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17.7%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0"/>
                <w:szCs w:val="20"/>
              </w:rPr>
              <w:t xml:space="preserve">Sports and Clothing lead in both revenue and profit. Electronics and Home trail on margin efficiency, likely reflecting higher COGS, logistics overhead, or discount-heavy sales.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REGIONAL PERFORMANCE ANALYSIS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Europe emerges as the most profitable region, while Asia consistently records the weakest margins despite comparable revenue figures. This regional disparity warrants a focused investigation into cost structures, pricing strategies, and marketing efficiency at the local level.</w:t>
      </w:r>
    </w:p>
    <w:p>
      <w:pPr>
        <w:spacing w:after="0" w:before="160"/>
      </w:pPr>
      <w:r>
        <w:t xml:space="preserve"/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60"/>
        <w:gridCol w:w="2160"/>
        <w:gridCol w:w="21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Share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Europe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$1,160,042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$215,993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21.8%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$1,100,739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$198,794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North America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$1,099,406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$197,638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19.9%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South America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$1,137,411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$197,284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19.9%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Asia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$1,074,502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$183,399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18.5%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0"/>
                <w:szCs w:val="20"/>
              </w:rPr>
              <w:t xml:space="preserve">Asia's underperformance relative to its revenue contribution suggests elevated logistics costs, discount pressure, or sub-optimal marketing allocation — all addressable through targeted operational review.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SALES CHANNEL PERFORMANCE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three sales channels — Marketplace, Online, and Retail — exhibit markedly different revenue-to-profit profiles, with Retail proving the most margin-efficient despite ranking second in revenue.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Margin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$1,901,641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$350,149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18.4%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$1,828,945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$360,781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19.7%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Online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$1,841,515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$282,176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15.3%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0"/>
                <w:szCs w:val="20"/>
              </w:rPr>
              <w:t xml:space="preserve">The Online channel's 15.3% margin — significantly below Retail at 19.7% — points to elevated customer acquisition costs or higher operational overheads that are compressing profitability.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DISCOUNT STRATEGY &amp; MARGIN IMPACT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company applies an average discount of 13.5% across its order base. While this stimulates demand, transactional data reveals a clear inverse relationship between discount depth and profitability. Orders in the 20–30% discount band frequently generate significantly reduced — or outright negative — profit margins.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Discount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0–10%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Healthy margins sustained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5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10–20%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Moderate compression observed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20–30%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Significant margin erosion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&gt;30%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Negative profit outcomes likely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0"/>
                <w:szCs w:val="20"/>
              </w:rPr>
              <w:t xml:space="preserve">One observed order with a 30% discount resulted in a net loss of $355. Blanket discounting is the single most controllable driver of margin deterioration.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MARKETING SPEND EFFICIENCY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Total marketing expenditure of approximately $694,000 generated $5.57 million in revenue, delivering a Marketing ROI of 8.03×. This represents a highly efficient marketing investment profile. However, aggregate ROI figures mask potential variance across channels and regions — selective reallocation could further amplify returns.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$5,572,100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Marketing Spend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≈ $694,000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Marketing ROI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8.03×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Revenue per $1 Spent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$8.03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KEY BUSINESS INSIGHTS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following insights represent the most material findings from the dataset analysis, each with strategic implications for the business:</w:t>
      </w:r>
    </w:p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1. Discounts Are Eroding Profit Margins</w:t>
      </w:r>
    </w:p>
    <w:p>
      <w:pPr>
        <w:spacing w:after="8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An average discount rate of 13.5% — with a significant portion of orders exceeding 20% — is the primary driver of margin compression. High-discount orders can produce negative profit outcomes, representing a structural risk to profitability.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2. Electronics Underperforms on Margins</w:t>
      </w:r>
    </w:p>
    <w:p>
      <w:pPr>
        <w:spacing w:after="8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Despite generating over $1.09M in revenue, Electronics delivers the weakest profit-to-revenue ratio. Higher product costs, logistics overhead, or excessive promotional pricing are likely contributors.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3. Sports &amp; Clothing Are the Margin Leaders</w:t>
      </w:r>
    </w:p>
    <w:p>
      <w:pPr>
        <w:spacing w:after="8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These categories consistently deliver the strongest combination of revenue and profitability. They represent the company's most reliable profit engines and are candidates for investment and expansion.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4. Retail Outperforms Online on Margins</w:t>
      </w:r>
    </w:p>
    <w:p>
      <w:pPr>
        <w:spacing w:after="8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Online channel's 15.3% margin lags Retail's 19.7% by a material gap. Higher customer acquisition costs and digital marketing overhead appear to be the principal drag on online profitability.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5. Asia Requires Regional Attention</w:t>
      </w:r>
    </w:p>
    <w:p>
      <w:pPr>
        <w:spacing w:after="8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Despite comparable revenue, Asia's profit contribution ($183K) trails Europe ($216K) by 15%. Operational inefficiencies, pricing misalignment, or elevated logistics costs may be suppressing regional returns.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6. Marketing ROI Is a Competitive Strength</w:t>
      </w:r>
    </w:p>
    <w:p>
      <w:pPr>
        <w:spacing w:after="8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An 8.03× marketing return signals that the company's marketing engine is highly effective. Disciplined reallocation toward high-margin segments could amplify this advantage.</w:t>
      </w:r>
    </w:p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STRATEGIC RECOMMENDATIONS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following six strategic recommendations are proposed based on the analytical findings. Each recommendation is tied to an identified business problem and carries defined expected impacts.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Implement Precision Discount Management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 Identified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current blanket discounting approach is generating measurable margin leakage. Orders with discounts exceeding 20% frequently produce sub-optimal or negative profit outcomes.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Replace blanket promotions with data-driven, targeted discount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Cap deep discounts (&gt;20%) to premium customers or high-margin product lines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Introduce dynamic pricing mechanisms that protect minimum margin thresholds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D45"/>
          <w:sz w:val="19"/>
          <w:szCs w:val="19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Immediate improvement in overall profit margins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Reduced revenue leakage across the order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More sustainable promotional economics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Prioritize High-Margin Category Investment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 Identified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Sports and Clothing consistently outperform all other categories on both revenue and profit. Capital and marketing resources are not currently weighted toward these strengths.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Increase inventory depth and product variety in Sports and Clothing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Allocate incremental marketing budget to these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Introduce bundling, upsell, and cross-sell programs within these segments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D45"/>
          <w:sz w:val="19"/>
          <w:szCs w:val="19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Higher overall profitability through portfolio concentration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Improved customer lifetime value in high-affinity categories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Conduct an Electronics &amp; Home Category Review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 Identified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Both categories generate strong revenue but materially weaker margins. Structural cost issues are compressing their profit contribution.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Audit and renegotiate supplier and logistics contracts for these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Review and rationalize discount exposure across Electronics and Home SKUs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Evaluate whether pricing adequately reflects true cost structure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D45"/>
          <w:sz w:val="19"/>
          <w:szCs w:val="19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Margin improvement of 1–2 percentage points in underperforming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Stronger cost discipline across operational functions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Strengthen Direct Retail Channel Strategy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 Identified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Retail channel delivers the highest profit margin (19.7%) but ranks second in revenue. The Online channel, despite similar revenue, operates at 15.3% — a significant efficiency gap.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Expand retail distribution partnerships in priority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 incentive structures to migrate high-value customers from online to direct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Audit online channel cost structure to identify and eliminate avoidable overhead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D45"/>
          <w:sz w:val="19"/>
          <w:szCs w:val="19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Increased overall margin retention as revenue mix shifts toward Retail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Reduction in third-party platform commission costs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Address Asia-Pacific Underperformance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 Identified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Asia generates the lowest profit contribution among all five regions, despite revenue levels broadly in line with peers.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Commission a dedicated regional cost and pricing audit for Asia-Pacific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Identify high-discount segments within the region and apply tighter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Benchmark logistics costs against regional peers and negotiate improved terms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D45"/>
          <w:sz w:val="19"/>
          <w:szCs w:val="19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Narrowing of the profit gap between Asia and top-performing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Improved return on regional marketing investment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Optimize Marketing Budget Allocation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 Identified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While aggregate Marketing ROI is strong at 8.03×, allocation across channels and regions likely varies significantly. Sub-optimal spend distribution is leaving value unrealized.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 channel- and region-level marketing attribution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Reallocate budget toward highest-ROI segments — prioritizing Retail, Europe, Sports, and Clothing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 or redirect spend from consistently underperforming digital acquisition channels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7D45"/>
          <w:sz w:val="19"/>
          <w:szCs w:val="19"/>
        </w:rPr>
        <w:t xml:space="preserve">Expected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Higher blended marketing ROI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More profitable revenue mix driven by strategic spend concentration</w:t>
      </w:r>
    </w:p>
    <w:p>
      <w:pPr>
        <w:spacing w:after="0" w:before="480"/>
      </w:pPr>
      <w:r>
        <w:t xml:space="preserve"/>
      </w:r>
    </w:p>
    <w:p>
      <w:pPr>
        <w:pBdr>
          <w:bottom w:val="single" w:color="2E75B6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pacing w:val="60"/>
          <w:sz w:val="22"/>
          <w:szCs w:val="22"/>
        </w:rPr>
        <w:t xml:space="preserve">CONCLUSION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analysis confirms that the company has established a strong and scalable global revenue base. With $5.57 million in total revenue, a $993K profit contribution, and a Marketing ROI exceeding 8×, the operational fundamentals are sound.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primary opportunity lies not in revenue acceleration, but in margin protection and improvement. Three structural factors — aggressive discounting, channel cost inefficiencies, and regional operational variance — are collectively constraining profitability below its achievable potential.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By executing the six strategic recommendations outlined in this report, the business is well-positioned to improve its profit margin meaningfully, strengthen its most profitable categories and channels, and build a more resilient, performance-driven global operation.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2A4A"/>
                <w:sz w:val="20"/>
                <w:szCs w:val="20"/>
              </w:rPr>
              <w:t xml:space="preserve">This report is intended for general use. All data is derived from the 5,000-order operational dataset. Recommendations should be validated against current operational context prior to execution.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1B2A4A" w:sz="6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pacing w:val="40"/>
          <w:sz w:val="16"/>
          <w:szCs w:val="16"/>
        </w:rPr>
        <w:t xml:space="preserve">BUSINESS INTELLIGENCE DIVISION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Business Intelligence Report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24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GLOBAL E-COMMERCE PROFITABILITY &amp; SALES PERFORMANCE ANALYSIS</w:t>
          </w:r>
        </w:p>
      </w:tc>
      <w:tc>
        <w:tcPr>
          <w:tcW w:type="dxa" w:w="324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2026-04-25T22:17:12.553Z</dcterms:created>
  <dcterms:modified xsi:type="dcterms:W3CDTF">2026-04-25T22:17:12.554Z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