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2E04" w14:textId="6D629A19" w:rsidR="005C6B47" w:rsidRDefault="0024780D">
      <w:pPr>
        <w:spacing w:after="160"/>
        <w:jc w:val="center"/>
        <w:rPr>
          <w:b/>
          <w:bCs/>
          <w:color w:val="1F3864"/>
          <w:sz w:val="32"/>
          <w:szCs w:val="32"/>
        </w:rPr>
      </w:pPr>
      <w:r>
        <w:rPr>
          <w:b/>
          <w:bCs/>
          <w:color w:val="1F3864"/>
          <w:sz w:val="32"/>
          <w:szCs w:val="32"/>
        </w:rPr>
        <w:t>Data Storytelling for Interactive Decision Analytics: A Web-Based Multi-Dataset Sales Dashboard</w:t>
      </w:r>
    </w:p>
    <w:p w14:paraId="2865DFC6" w14:textId="77777777" w:rsidR="009D5B17" w:rsidRPr="009D5B17" w:rsidRDefault="009D5B17">
      <w:pPr>
        <w:spacing w:after="160"/>
        <w:jc w:val="center"/>
        <w:rPr>
          <w:lang w:val="en-US"/>
        </w:rPr>
      </w:pPr>
    </w:p>
    <w:p w14:paraId="5F052B1E" w14:textId="7D220125" w:rsidR="007520CA" w:rsidRDefault="007520CA" w:rsidP="007520CA">
      <w:pPr>
        <w:spacing w:after="20"/>
        <w:jc w:val="center"/>
        <w:rPr>
          <w:sz w:val="24"/>
          <w:szCs w:val="24"/>
          <w:lang w:val="en-US"/>
        </w:rPr>
      </w:pPr>
      <w:proofErr w:type="spellStart"/>
      <w:r w:rsidRPr="00847ABB">
        <w:rPr>
          <w:sz w:val="24"/>
          <w:szCs w:val="24"/>
          <w:lang w:val="en-US"/>
        </w:rPr>
        <w:t>R</w:t>
      </w:r>
      <w:r w:rsidR="00AC35AF">
        <w:rPr>
          <w:sz w:val="24"/>
          <w:szCs w:val="24"/>
          <w:lang w:val="en-US"/>
        </w:rPr>
        <w:t>athanala</w:t>
      </w:r>
      <w:proofErr w:type="spellEnd"/>
      <w:r w:rsidR="00AF13DC">
        <w:rPr>
          <w:sz w:val="24"/>
          <w:szCs w:val="24"/>
          <w:lang w:val="en-US"/>
        </w:rPr>
        <w:t xml:space="preserve"> </w:t>
      </w:r>
      <w:r w:rsidRPr="00847ABB">
        <w:rPr>
          <w:sz w:val="24"/>
          <w:szCs w:val="24"/>
          <w:lang w:val="en-US"/>
        </w:rPr>
        <w:t>Sai Charan,</w:t>
      </w:r>
      <w:r w:rsidR="00F5673B">
        <w:rPr>
          <w:sz w:val="24"/>
          <w:szCs w:val="24"/>
          <w:lang w:val="en-US"/>
        </w:rPr>
        <w:t xml:space="preserve"> </w:t>
      </w:r>
      <w:r w:rsidR="001B75D7" w:rsidRPr="00847ABB">
        <w:rPr>
          <w:sz w:val="24"/>
          <w:szCs w:val="24"/>
          <w:lang w:val="en-US"/>
        </w:rPr>
        <w:t>S</w:t>
      </w:r>
      <w:r w:rsidR="00AC35AF">
        <w:rPr>
          <w:sz w:val="24"/>
          <w:szCs w:val="24"/>
          <w:lang w:val="en-US"/>
        </w:rPr>
        <w:t>ambu</w:t>
      </w:r>
      <w:r w:rsidR="001B75D7" w:rsidRPr="00847ABB">
        <w:rPr>
          <w:sz w:val="24"/>
          <w:szCs w:val="24"/>
          <w:lang w:val="en-US"/>
        </w:rPr>
        <w:t>.</w:t>
      </w:r>
      <w:r w:rsidR="00182708" w:rsidRPr="00847ABB">
        <w:rPr>
          <w:sz w:val="24"/>
          <w:szCs w:val="24"/>
          <w:lang w:val="en-US"/>
        </w:rPr>
        <w:t xml:space="preserve"> </w:t>
      </w:r>
      <w:r w:rsidR="001B75D7" w:rsidRPr="00847ABB">
        <w:rPr>
          <w:sz w:val="24"/>
          <w:szCs w:val="24"/>
          <w:lang w:val="en-US"/>
        </w:rPr>
        <w:t>Sai Rishik,</w:t>
      </w:r>
      <w:r w:rsidR="004618BE" w:rsidRPr="00847ABB">
        <w:rPr>
          <w:sz w:val="24"/>
          <w:szCs w:val="24"/>
          <w:lang w:val="en-US"/>
        </w:rPr>
        <w:t xml:space="preserve"> </w:t>
      </w:r>
      <w:r w:rsidR="00182708" w:rsidRPr="00847ABB">
        <w:rPr>
          <w:sz w:val="24"/>
          <w:szCs w:val="24"/>
          <w:lang w:val="en-US"/>
        </w:rPr>
        <w:t>D</w:t>
      </w:r>
      <w:r w:rsidR="00F5673B">
        <w:rPr>
          <w:sz w:val="24"/>
          <w:szCs w:val="24"/>
          <w:lang w:val="en-US"/>
        </w:rPr>
        <w:t>asari</w:t>
      </w:r>
      <w:r w:rsidR="00182708" w:rsidRPr="00847ABB">
        <w:rPr>
          <w:sz w:val="24"/>
          <w:szCs w:val="24"/>
          <w:lang w:val="en-US"/>
        </w:rPr>
        <w:t xml:space="preserve"> Sujay, K Sai Teja</w:t>
      </w:r>
    </w:p>
    <w:p w14:paraId="1DB46219" w14:textId="77777777" w:rsidR="00847ABB" w:rsidRPr="00847ABB" w:rsidRDefault="00847ABB" w:rsidP="007520CA">
      <w:pPr>
        <w:spacing w:after="20"/>
        <w:jc w:val="center"/>
        <w:rPr>
          <w:sz w:val="24"/>
          <w:szCs w:val="24"/>
          <w:lang w:val="en-US"/>
        </w:rPr>
      </w:pPr>
    </w:p>
    <w:p w14:paraId="3820E127" w14:textId="5C1309F5" w:rsidR="00D63F50" w:rsidRPr="00847ABB" w:rsidRDefault="00D63F50" w:rsidP="00D63F50">
      <w:pPr>
        <w:spacing w:after="20"/>
        <w:jc w:val="center"/>
        <w:rPr>
          <w:sz w:val="24"/>
          <w:szCs w:val="24"/>
          <w:lang w:val="en-US"/>
        </w:rPr>
      </w:pPr>
      <w:r w:rsidRPr="00847ABB">
        <w:rPr>
          <w:sz w:val="24"/>
          <w:szCs w:val="24"/>
          <w:vertAlign w:val="superscript"/>
          <w:lang w:val="en-US"/>
        </w:rPr>
        <w:t xml:space="preserve"> </w:t>
      </w:r>
      <w:r w:rsidRPr="00847ABB">
        <w:rPr>
          <w:sz w:val="24"/>
          <w:szCs w:val="24"/>
          <w:lang w:val="en-US"/>
        </w:rPr>
        <w:t xml:space="preserve">Department Of Computer Science and Engineering. Koneru Lakshmaiah Education </w:t>
      </w:r>
      <w:proofErr w:type="gramStart"/>
      <w:r w:rsidRPr="00847ABB">
        <w:rPr>
          <w:sz w:val="24"/>
          <w:szCs w:val="24"/>
          <w:lang w:val="en-US"/>
        </w:rPr>
        <w:t xml:space="preserve">Foundation,  </w:t>
      </w:r>
      <w:proofErr w:type="spellStart"/>
      <w:r w:rsidRPr="00847ABB">
        <w:rPr>
          <w:sz w:val="24"/>
          <w:szCs w:val="24"/>
          <w:lang w:val="en-US"/>
        </w:rPr>
        <w:t>Bowrampet</w:t>
      </w:r>
      <w:proofErr w:type="spellEnd"/>
      <w:proofErr w:type="gramEnd"/>
      <w:r w:rsidR="00AC35AF">
        <w:rPr>
          <w:sz w:val="24"/>
          <w:szCs w:val="24"/>
          <w:lang w:val="en-US"/>
        </w:rPr>
        <w:t xml:space="preserve"> </w:t>
      </w:r>
      <w:r w:rsidRPr="00847ABB">
        <w:rPr>
          <w:sz w:val="24"/>
          <w:szCs w:val="24"/>
          <w:lang w:val="en-US"/>
        </w:rPr>
        <w:t>, Hyderabad- 500043, Telangana, India.</w:t>
      </w:r>
    </w:p>
    <w:p w14:paraId="7B94E975" w14:textId="080F6682" w:rsidR="005C6B47" w:rsidRPr="00182708" w:rsidRDefault="005C6B47" w:rsidP="00B21F51">
      <w:pPr>
        <w:spacing w:after="20"/>
      </w:pPr>
    </w:p>
    <w:p w14:paraId="1ACD1907" w14:textId="2D965DDB" w:rsidR="005C6B47" w:rsidRDefault="001B2BA7">
      <w:pPr>
        <w:pBdr>
          <w:bottom w:val="single" w:sz="8" w:space="8" w:color="1F3864"/>
        </w:pBdr>
        <w:spacing w:after="200"/>
        <w:jc w:val="center"/>
      </w:pPr>
      <w:r>
        <w:rPr>
          <w:i/>
          <w:iCs/>
          <w:sz w:val="19"/>
          <w:szCs w:val="19"/>
        </w:rPr>
        <w:t>Data</w:t>
      </w:r>
      <w:r w:rsidR="00C168E9">
        <w:rPr>
          <w:i/>
          <w:iCs/>
          <w:sz w:val="19"/>
          <w:szCs w:val="19"/>
        </w:rPr>
        <w:t xml:space="preserve"> Analy</w:t>
      </w:r>
      <w:r w:rsidR="006510FE">
        <w:rPr>
          <w:i/>
          <w:iCs/>
          <w:sz w:val="19"/>
          <w:szCs w:val="19"/>
        </w:rPr>
        <w:t xml:space="preserve">tic </w:t>
      </w:r>
      <w:r w:rsidR="006423B7">
        <w:rPr>
          <w:i/>
          <w:iCs/>
          <w:sz w:val="19"/>
          <w:szCs w:val="19"/>
        </w:rPr>
        <w:t xml:space="preserve">and </w:t>
      </w:r>
      <w:proofErr w:type="gramStart"/>
      <w:r w:rsidR="006423B7">
        <w:rPr>
          <w:i/>
          <w:iCs/>
          <w:sz w:val="19"/>
          <w:szCs w:val="19"/>
        </w:rPr>
        <w:t>V</w:t>
      </w:r>
      <w:r w:rsidR="002A4813">
        <w:rPr>
          <w:i/>
          <w:iCs/>
          <w:sz w:val="19"/>
          <w:szCs w:val="19"/>
        </w:rPr>
        <w:t>isua</w:t>
      </w:r>
      <w:r w:rsidR="006E7303">
        <w:rPr>
          <w:i/>
          <w:iCs/>
          <w:sz w:val="19"/>
          <w:szCs w:val="19"/>
        </w:rPr>
        <w:t xml:space="preserve">lization </w:t>
      </w:r>
      <w:r w:rsidR="00B31150">
        <w:rPr>
          <w:i/>
          <w:iCs/>
          <w:sz w:val="19"/>
          <w:szCs w:val="19"/>
        </w:rPr>
        <w:t xml:space="preserve"> Project</w:t>
      </w:r>
      <w:proofErr w:type="gramEnd"/>
      <w:r w:rsidR="00B31150">
        <w:rPr>
          <w:i/>
          <w:iCs/>
          <w:sz w:val="19"/>
          <w:szCs w:val="19"/>
        </w:rPr>
        <w:t xml:space="preserve"> R</w:t>
      </w:r>
      <w:r>
        <w:rPr>
          <w:i/>
          <w:iCs/>
          <w:sz w:val="19"/>
          <w:szCs w:val="19"/>
        </w:rPr>
        <w:t>esearch Paper</w:t>
      </w:r>
    </w:p>
    <w:p w14:paraId="4945EE32" w14:textId="77777777" w:rsidR="005C6B47" w:rsidRDefault="00B31150">
      <w:pPr>
        <w:keepNext/>
        <w:spacing w:before="260" w:after="100"/>
      </w:pPr>
      <w:r>
        <w:rPr>
          <w:b/>
          <w:bCs/>
          <w:color w:val="1F3864"/>
        </w:rPr>
        <w:t>ABSTRACT</w:t>
      </w:r>
    </w:p>
    <w:p w14:paraId="1ACFC70A" w14:textId="589D6A71" w:rsidR="005C6B47" w:rsidRPr="009014AE" w:rsidRDefault="00B31150">
      <w:pPr>
        <w:spacing w:after="140" w:line="252" w:lineRule="auto"/>
        <w:jc w:val="both"/>
        <w:rPr>
          <w:sz w:val="19"/>
          <w:szCs w:val="19"/>
        </w:rPr>
      </w:pPr>
      <w:r>
        <w:rPr>
          <w:sz w:val="19"/>
          <w:szCs w:val="19"/>
        </w:rPr>
        <w:t xml:space="preserve">Organisations that operate across multiple sales channels frequently accumulate transactional data in disconnected spreadsheets and point-of-sale extracts, which makes it difficult for non-technical stakeholders to move from raw numbers to a decision. This project addresses that gap by designing and implementing an interactive, web-based dashboard, “Data Storytelling for Interactive Decision Analytics,” that integrates four publicly available retail sales datasets — Superstore, Global Superstore, Online Sales, and a Supermarket dataset — into a single decision-support environment. The system applies a structured pipeline consisting of data loading, preprocessing, feature engineering, key performance indicator (KPI) computation, interactive filtering, visualization, data storytelling, and decision analytics. It is implemented using Python, Pandas, Flask, Plotly, HTML, CSS, and JavaScript, with each dataset treated as an independently selectable, dataset-aware analytical context rather than being force-merged into a single uniform schema. The dashboard reports descriptive KPIs — total sales, total profit, total orders, total quantity, total customers, and profit margin — alongside category-, region-, segment-, and product-level visual breakdowns, and translates these into structured narratives using a Finding → Meaning → Decision → Recommendation format. A parallel Decision Analytics section applies the same structure to recurring business questions such as discounting and category performance. Verified results from the project's four datasets (for example, total sales of approximately 7.42 million for Superstore and 12.64 million for Global Superstore) demonstrate that the descriptive pipeline functions correctly across datasets of different scale and structure. Building on this descriptive foundation, the project has been extended with a comparative sales-prediction component: four literature-based regression models — Linear Regression, Decision Tree Regressor, Random Forest Regressor, and Gradient Boosting Regressor — are trained and evaluated under consistent preprocessing and evaluation conditions, and their base-model predictions are combined through a meta-learning stage in a proposed Hybrid Stacked Regression Ensemble (HSRE) that is compared against each individual baseline model. </w:t>
      </w:r>
      <w:r w:rsidR="009014AE" w:rsidRPr="009014AE">
        <w:rPr>
          <w:sz w:val="19"/>
          <w:szCs w:val="19"/>
        </w:rPr>
        <w:t>Across the four evaluated datasets, predictive performance varied by dataset and evaluation metric. Linear Regression achieved the highest R² and lowest RMSE on the Superstore dataset, while Random Forest achieved the lowest MAE. Gradient Boosting performed best across all three reported metrics on the Global Superstore dataset. The proposed Hybrid Stacked Regression Ensemble (HSRE) achieved the highest R² and lowest RMSE on the Online Sales and Supermarket datasets, although other models achieved lower MAE on these datasets. These results demonstrate the importance of evaluating multiple regression models across different datasets rather than assuming that one model will consistently perform best.</w:t>
      </w:r>
    </w:p>
    <w:p w14:paraId="30137A10" w14:textId="77777777" w:rsidR="005C6B47" w:rsidRDefault="00B31150">
      <w:pPr>
        <w:spacing w:after="220"/>
        <w:jc w:val="both"/>
      </w:pPr>
      <w:r>
        <w:rPr>
          <w:b/>
          <w:bCs/>
          <w:i/>
          <w:iCs/>
          <w:sz w:val="18"/>
          <w:szCs w:val="18"/>
        </w:rPr>
        <w:t xml:space="preserve">Keywords: </w:t>
      </w:r>
      <w:r>
        <w:rPr>
          <w:i/>
          <w:iCs/>
          <w:color w:val="808080"/>
          <w:sz w:val="18"/>
          <w:szCs w:val="18"/>
        </w:rPr>
        <w:t>data storytelling; decision analytics; interactive dashboard; business analytics; data visualization; key performance indicators; exploratory data analysis; visual analytics; sales prediction; regression; ensemble learning; stacked generalization; hybrid machine learning; Flask; Plotly; Scikit-learn.</w:t>
      </w:r>
    </w:p>
    <w:p w14:paraId="763E90D3" w14:textId="77777777" w:rsidR="005C6B47" w:rsidRDefault="00B31150">
      <w:pPr>
        <w:keepNext/>
        <w:spacing w:before="260" w:after="120"/>
      </w:pPr>
      <w:r>
        <w:rPr>
          <w:b/>
          <w:bCs/>
          <w:color w:val="1F3864"/>
          <w:sz w:val="21"/>
          <w:szCs w:val="21"/>
        </w:rPr>
        <w:t>1. INTRODUCTION</w:t>
      </w:r>
    </w:p>
    <w:p w14:paraId="5946E6C3" w14:textId="77777777" w:rsidR="005C6B47" w:rsidRDefault="00B31150">
      <w:pPr>
        <w:keepNext/>
        <w:spacing w:before="180" w:after="100"/>
      </w:pPr>
      <w:r>
        <w:rPr>
          <w:b/>
          <w:bCs/>
          <w:i/>
          <w:iCs/>
        </w:rPr>
        <w:t>1.1 Background</w:t>
      </w:r>
    </w:p>
    <w:p w14:paraId="100FA747" w14:textId="77777777" w:rsidR="005C6B47" w:rsidRDefault="00B31150">
      <w:pPr>
        <w:spacing w:after="140" w:line="252" w:lineRule="auto"/>
        <w:jc w:val="both"/>
      </w:pPr>
      <w:r>
        <w:rPr>
          <w:sz w:val="19"/>
          <w:szCs w:val="19"/>
        </w:rPr>
        <w:t>Retail and e-commerce businesses generate continuous streams of transactional data — orders, quantities, discounts, shipping records, and customer identifiers — that are individually simple but collectively difficult to interpret. Traditional reporting practice in small and mid-sized organisations still relies heavily on static spreadsheets or periodically generated summary reports, which present numbers but rarely connect those numbers to a specific business action. Over the past decade, the fields of visual analytics and data storytelling have argued that visualization becomes genuinely useful only when it is coupled with interpretation: a chart shows what happened, but a decision-maker also needs to know why it matters and what to do about it [1], [2]. This project sits at the intersection of these two concerns. It builds an interactive dashboard that consolidates several independent retail sales datasets and layers a structured storytelling and decision-analytics process on top of conventional descriptive visualization, so that the same interface that shows “what the data says” also guides the viewer toward “what should be done.”</w:t>
      </w:r>
    </w:p>
    <w:p w14:paraId="4390F981" w14:textId="77777777" w:rsidR="005C6B47" w:rsidRDefault="00B31150">
      <w:pPr>
        <w:keepNext/>
        <w:spacing w:before="180" w:after="100"/>
      </w:pPr>
      <w:r>
        <w:rPr>
          <w:b/>
          <w:bCs/>
          <w:i/>
          <w:iCs/>
        </w:rPr>
        <w:lastRenderedPageBreak/>
        <w:t>1.2 Problem Statement</w:t>
      </w:r>
    </w:p>
    <w:p w14:paraId="2BC091DF" w14:textId="77777777" w:rsidR="005C6B47" w:rsidRDefault="00B31150">
      <w:pPr>
        <w:spacing w:after="140" w:line="252" w:lineRule="auto"/>
        <w:jc w:val="both"/>
      </w:pPr>
      <w:r>
        <w:rPr>
          <w:sz w:val="19"/>
          <w:szCs w:val="19"/>
        </w:rPr>
        <w:t>Business users are frequently presented with dashboards that display key performance indicators (KPIs) and charts but leave the interpretation of those numbers entirely to the viewer. When multiple datasets with different schemas, fields, and levels of granularity must be examined side by side, this problem is compounded: analysts either force the datasets into an artificial common structure that hides genuine differences between them, or they maintain separate, disconnected reports that are difficult to compare. There is a practical need for a single interactive tool that (a) can load and reason about structurally different sales datasets without fabricating data that does not exist in a given source, and (b) converts the resulting KPIs and visual patterns into an explicit, repeatable narrative that supports a business decision. This leads to the core research problem addressed in this paper: how can an interactive, multi-dataset dashboard be designed so that it supports both exploratory visual analysis and structured, decision-oriented storytelling, while remaining faithful to what each underlying dataset actually contains?</w:t>
      </w:r>
    </w:p>
    <w:p w14:paraId="5F3992E6" w14:textId="77777777" w:rsidR="0001756B" w:rsidRDefault="009F3A69">
      <w:pPr>
        <w:keepNext/>
        <w:spacing w:before="180" w:after="100"/>
      </w:pPr>
      <w:r>
        <w:rPr>
          <w:b/>
          <w:bCs/>
          <w:i/>
          <w:iCs/>
        </w:rPr>
        <w:t>1.3 Research Gap</w:t>
      </w:r>
    </w:p>
    <w:p w14:paraId="3EC56489" w14:textId="77777777" w:rsidR="0001756B" w:rsidRDefault="009F3A69">
      <w:pPr>
        <w:keepNext/>
        <w:spacing w:before="180" w:after="100"/>
      </w:pPr>
      <w:r>
        <w:rPr>
          <w:b/>
          <w:bCs/>
          <w:i/>
          <w:iCs/>
        </w:rPr>
        <w:t>Gap 1 — Interactive Analytics and Storytelling</w:t>
      </w:r>
    </w:p>
    <w:p w14:paraId="35AEB396" w14:textId="77777777" w:rsidR="0001756B" w:rsidRDefault="009F3A69">
      <w:pPr>
        <w:spacing w:after="140" w:line="252" w:lineRule="auto"/>
        <w:jc w:val="both"/>
      </w:pPr>
      <w:r>
        <w:rPr>
          <w:sz w:val="19"/>
          <w:szCs w:val="19"/>
        </w:rPr>
        <w:t>Existing research provides strong approaches for visualization, dashboards, visual analytics, data storytelling, and business intelligence-based decision support (Section 2). However, a review of this literature and of existing tools suggests several recurring, implementation-level limitations. First, many commercial and academic dashboards focus on visualization and exploration but stop short of an explicit storytelling layer that connects findings to recommendations [3]. Second, narrative visualization research has largely concentrated on journalism and one-off, author-driven data stories rather than on reusable, dataset-driven decision-support dashboards [1], [2]. Third, systems that do integrate multiple datasets often assume a single unified schema, which is unrealistic when source datasets differ in the fields they contain — for example, a dataset that has no date field cannot support year-wise trend analysis, and this constraint is rarely made explicit to the end user. Fourth, few practical, project-level implementations document how filters, KPIs, and visualizations should behave differently depending on which dataset is active, or combine this with a dynamic Finding → Meaning → Decision → Recommendation storytelling layer and a decision-analytics module within one practical dashboard.</w:t>
      </w:r>
    </w:p>
    <w:p w14:paraId="0A2C56D7" w14:textId="77777777" w:rsidR="0001756B" w:rsidRDefault="009F3A69">
      <w:pPr>
        <w:keepNext/>
        <w:spacing w:before="180" w:after="100"/>
      </w:pPr>
      <w:r>
        <w:rPr>
          <w:b/>
          <w:bCs/>
          <w:i/>
          <w:iCs/>
        </w:rPr>
        <w:t>Gap 2 — Predictive Comparative Analysis</w:t>
      </w:r>
    </w:p>
    <w:p w14:paraId="620C254F" w14:textId="77777777" w:rsidR="0001756B" w:rsidRDefault="009F3A69">
      <w:pPr>
        <w:spacing w:after="140" w:line="252" w:lineRule="auto"/>
        <w:jc w:val="both"/>
      </w:pPr>
      <w:r>
        <w:rPr>
          <w:sz w:val="19"/>
          <w:szCs w:val="19"/>
        </w:rPr>
        <w:t>A second, connected gap concerns prediction. Existing sales-prediction research (Section 2.8) commonly evaluates individual regression or ensemble models — Linear Regression, Decision Trees, Random Forest, or Gradient Boosting — in isolation, on a single dataset and under study-specific preprocessing and evaluation choices that make results difficult to compare directly. There is an opportunity to compare multiple literature-based regression models under the same preprocessing and evaluation conditions on the project's sales data, and to introduce a proposed hybrid stacked ensemble that combines these baseline learners through a meta-learning stage and is evaluated against each of them under identical conditions. This project addresses both gaps directly: Gap 1 is addressed by the dataset-aware interactive system with its explicit Finding → Meaning → Decision → Recommendation storytelling structure and parallel decision-analytics module (Sections 3.1–3.10), and Gap 2 is addressed by the comparative baseline-versus-HSRE regression framework described in Section 3.11.</w:t>
      </w:r>
    </w:p>
    <w:p w14:paraId="7D3E7DDB" w14:textId="77777777" w:rsidR="005C6B47" w:rsidRDefault="00B31150">
      <w:pPr>
        <w:keepNext/>
        <w:spacing w:before="180" w:after="100"/>
      </w:pPr>
      <w:r>
        <w:rPr>
          <w:b/>
          <w:bCs/>
          <w:i/>
          <w:iCs/>
        </w:rPr>
        <w:t>1.4 Research Objectives</w:t>
      </w:r>
    </w:p>
    <w:p w14:paraId="616F26D4" w14:textId="77777777" w:rsidR="005C6B47" w:rsidRDefault="00B31150">
      <w:pPr>
        <w:pStyle w:val="ListParagraph"/>
        <w:numPr>
          <w:ilvl w:val="0"/>
          <w:numId w:val="2"/>
        </w:numPr>
        <w:spacing w:after="110" w:line="250" w:lineRule="auto"/>
        <w:jc w:val="both"/>
      </w:pPr>
      <w:r>
        <w:rPr>
          <w:sz w:val="19"/>
          <w:szCs w:val="19"/>
        </w:rPr>
        <w:t>To design and implement an interactive web-based dashboard that integrates four structurally different retail sales datasets (Superstore, Global Superstore, Online Sales, and Supermarket) without fabricating missing fields.</w:t>
      </w:r>
    </w:p>
    <w:p w14:paraId="00317EFE" w14:textId="77777777" w:rsidR="005C6B47" w:rsidRDefault="00B31150">
      <w:pPr>
        <w:pStyle w:val="ListParagraph"/>
        <w:numPr>
          <w:ilvl w:val="0"/>
          <w:numId w:val="2"/>
        </w:numPr>
        <w:spacing w:after="110" w:line="250" w:lineRule="auto"/>
        <w:jc w:val="both"/>
      </w:pPr>
      <w:r>
        <w:rPr>
          <w:sz w:val="19"/>
          <w:szCs w:val="19"/>
        </w:rPr>
        <w:t>To build a reproducible data preprocessing and feature-engineering pipeline (cleaning, deduplication, missing-value handling, date parsing, and derived fields such as Year, Month, Quarter, and Profit Margin) that can be applied consistently across the datasets.</w:t>
      </w:r>
    </w:p>
    <w:p w14:paraId="05E17FF0" w14:textId="77777777" w:rsidR="005C6B47" w:rsidRDefault="00B31150">
      <w:pPr>
        <w:pStyle w:val="ListParagraph"/>
        <w:numPr>
          <w:ilvl w:val="0"/>
          <w:numId w:val="2"/>
        </w:numPr>
        <w:spacing w:after="110" w:line="250" w:lineRule="auto"/>
        <w:jc w:val="both"/>
      </w:pPr>
      <w:r>
        <w:rPr>
          <w:sz w:val="19"/>
          <w:szCs w:val="19"/>
        </w:rPr>
        <w:t>To compute and present a consistent set of descriptive KPIs — Total Sales, Total Profit, Total Orders, Total Quantity, Total Customers, and Profit Margin — for each dataset, while clearly marking KPIs that are not available for a given source.</w:t>
      </w:r>
    </w:p>
    <w:p w14:paraId="36F5CD5E" w14:textId="77777777" w:rsidR="005C6B47" w:rsidRDefault="00B31150">
      <w:pPr>
        <w:pStyle w:val="ListParagraph"/>
        <w:numPr>
          <w:ilvl w:val="0"/>
          <w:numId w:val="2"/>
        </w:numPr>
        <w:spacing w:after="110" w:line="250" w:lineRule="auto"/>
        <w:jc w:val="both"/>
      </w:pPr>
      <w:r>
        <w:rPr>
          <w:sz w:val="19"/>
          <w:szCs w:val="19"/>
        </w:rPr>
        <w:t>To implement dataset-aware interactive filtering (by dataset, year, category, region, and segment) so that the filter options and available views change automatically depending on which dataset is selected.</w:t>
      </w:r>
    </w:p>
    <w:p w14:paraId="0ED45353" w14:textId="77777777" w:rsidR="005C6B47" w:rsidRDefault="00B31150">
      <w:pPr>
        <w:pStyle w:val="ListParagraph"/>
        <w:numPr>
          <w:ilvl w:val="0"/>
          <w:numId w:val="2"/>
        </w:numPr>
        <w:spacing w:after="110" w:line="250" w:lineRule="auto"/>
        <w:jc w:val="both"/>
      </w:pPr>
      <w:r>
        <w:rPr>
          <w:sz w:val="19"/>
          <w:szCs w:val="19"/>
        </w:rPr>
        <w:t>To translate visual and KPI-level findings into a structured Data Storytelling and Decision Analytics output using a Finding → Meaning → Decision → Recommendation format, so that the dashboard supports decision-making rather than description alone.</w:t>
      </w:r>
    </w:p>
    <w:p w14:paraId="0700322D" w14:textId="77777777" w:rsidR="0001756B" w:rsidRDefault="009F3A69">
      <w:pPr>
        <w:pStyle w:val="ListParagraph"/>
        <w:numPr>
          <w:ilvl w:val="0"/>
          <w:numId w:val="2"/>
        </w:numPr>
        <w:spacing w:after="110" w:line="250" w:lineRule="auto"/>
        <w:jc w:val="both"/>
      </w:pPr>
      <w:r>
        <w:rPr>
          <w:sz w:val="19"/>
          <w:szCs w:val="19"/>
        </w:rPr>
        <w:t>To implement and compare four literature-based regression models (Linear Regression, Decision Tree Regressor, Random Forest Regressor, and Gradient Boosting Regressor) for sales prediction under the same preprocessing and evaluation conditions, and to propose and evaluate a Hybrid Stacked Regression Ensemble (HSRE) that combines these baseline models through a meta-learning stage.</w:t>
      </w:r>
    </w:p>
    <w:p w14:paraId="028D3F05" w14:textId="77777777" w:rsidR="005C6B47" w:rsidRDefault="00B31150">
      <w:pPr>
        <w:keepNext/>
        <w:spacing w:before="180" w:after="100"/>
      </w:pPr>
      <w:r>
        <w:rPr>
          <w:b/>
          <w:bCs/>
          <w:i/>
          <w:iCs/>
        </w:rPr>
        <w:t>1.5 Research Questions</w:t>
      </w:r>
    </w:p>
    <w:p w14:paraId="7FB74834" w14:textId="77777777" w:rsidR="005C6B47" w:rsidRDefault="00B31150">
      <w:pPr>
        <w:pStyle w:val="ListParagraph"/>
        <w:numPr>
          <w:ilvl w:val="0"/>
          <w:numId w:val="3"/>
        </w:numPr>
        <w:spacing w:after="110" w:line="250" w:lineRule="auto"/>
        <w:jc w:val="both"/>
      </w:pPr>
      <w:r>
        <w:rPr>
          <w:sz w:val="19"/>
          <w:szCs w:val="19"/>
        </w:rPr>
        <w:t>RQ1: How can multiple sales datasets with different schemas and available fields be integrated into a single interactive dashboard without misrepresenting the data each source actually contains?</w:t>
      </w:r>
    </w:p>
    <w:p w14:paraId="3559E53C" w14:textId="77777777" w:rsidR="005C6B47" w:rsidRDefault="00B31150">
      <w:pPr>
        <w:pStyle w:val="ListParagraph"/>
        <w:numPr>
          <w:ilvl w:val="0"/>
          <w:numId w:val="3"/>
        </w:numPr>
        <w:spacing w:after="110" w:line="250" w:lineRule="auto"/>
        <w:jc w:val="both"/>
      </w:pPr>
      <w:r>
        <w:rPr>
          <w:sz w:val="19"/>
          <w:szCs w:val="19"/>
        </w:rPr>
        <w:lastRenderedPageBreak/>
        <w:t>RQ2: Which combination of KPIs and visualizations (trend, category, regional, product, segment, and discount-profit views) most effectively supports descriptive understanding of retail sales performance across heterogeneous datasets?</w:t>
      </w:r>
    </w:p>
    <w:p w14:paraId="54BC0065" w14:textId="77777777" w:rsidR="005C6B47" w:rsidRDefault="00B31150">
      <w:pPr>
        <w:pStyle w:val="ListParagraph"/>
        <w:numPr>
          <w:ilvl w:val="0"/>
          <w:numId w:val="3"/>
        </w:numPr>
        <w:spacing w:after="110" w:line="250" w:lineRule="auto"/>
        <w:jc w:val="both"/>
      </w:pPr>
      <w:r>
        <w:rPr>
          <w:sz w:val="19"/>
          <w:szCs w:val="19"/>
        </w:rPr>
        <w:t>RQ3: How does dataset-aware interactive filtering affect the consistency and usability of the dashboard when the underlying datasets differ in the dimensions they support (for example, the absence of a date field in the Online Sales dataset)?</w:t>
      </w:r>
    </w:p>
    <w:p w14:paraId="4B67F51D" w14:textId="77777777" w:rsidR="005C6B47" w:rsidRDefault="00B31150">
      <w:pPr>
        <w:pStyle w:val="ListParagraph"/>
        <w:numPr>
          <w:ilvl w:val="0"/>
          <w:numId w:val="3"/>
        </w:numPr>
        <w:spacing w:after="110" w:line="250" w:lineRule="auto"/>
        <w:jc w:val="both"/>
      </w:pPr>
      <w:r>
        <w:rPr>
          <w:sz w:val="19"/>
          <w:szCs w:val="19"/>
        </w:rPr>
        <w:t>RQ4: To what extent does a structured Finding → Meaning → Decision → Recommendation storytelling layer improve the practical, decision-oriented usefulness of a descriptive analytics dashboard compared with charts and KPIs alone?</w:t>
      </w:r>
    </w:p>
    <w:p w14:paraId="2D91A019" w14:textId="77777777" w:rsidR="0001756B" w:rsidRDefault="009F3A69">
      <w:pPr>
        <w:pStyle w:val="ListParagraph"/>
        <w:numPr>
          <w:ilvl w:val="0"/>
          <w:numId w:val="3"/>
        </w:numPr>
        <w:spacing w:after="110" w:line="250" w:lineRule="auto"/>
        <w:jc w:val="both"/>
      </w:pPr>
      <w:r>
        <w:rPr>
          <w:sz w:val="19"/>
          <w:szCs w:val="19"/>
        </w:rPr>
        <w:t>RQ5: How does a proposed Hybrid Stacked Regression Ensemble (HSRE), which combines literature-based baseline regressors (Linear Regression, Decision Tree, Random Forest, Gradient Boosting) through a meta-learning stage, compare with the individual baseline models when predicting sales under the same preprocessing and evaluation conditions?</w:t>
      </w:r>
    </w:p>
    <w:p w14:paraId="6E332BE1" w14:textId="77777777" w:rsidR="005C6B47" w:rsidRDefault="00B31150">
      <w:pPr>
        <w:keepNext/>
        <w:spacing w:before="180" w:after="100"/>
      </w:pPr>
      <w:r>
        <w:rPr>
          <w:b/>
          <w:bCs/>
          <w:i/>
          <w:iCs/>
        </w:rPr>
        <w:t>1.6 Contributions</w:t>
      </w:r>
    </w:p>
    <w:p w14:paraId="3C27487B" w14:textId="77777777" w:rsidR="005C6B47" w:rsidRDefault="00B31150">
      <w:pPr>
        <w:pStyle w:val="ListParagraph"/>
        <w:numPr>
          <w:ilvl w:val="0"/>
          <w:numId w:val="3"/>
        </w:numPr>
        <w:spacing w:after="110" w:line="250" w:lineRule="auto"/>
        <w:jc w:val="both"/>
      </w:pPr>
      <w:r>
        <w:rPr>
          <w:sz w:val="19"/>
          <w:szCs w:val="19"/>
        </w:rPr>
        <w:t>A practical, dataset-aware integration framework that combines four independent retail sales datasets in a single dashboard while preserving each dataset's own fields, categories, and limitations rather than forcing a uniform schema.</w:t>
      </w:r>
    </w:p>
    <w:p w14:paraId="4A146655" w14:textId="77777777" w:rsidR="005C6B47" w:rsidRDefault="00B31150">
      <w:pPr>
        <w:pStyle w:val="ListParagraph"/>
        <w:numPr>
          <w:ilvl w:val="0"/>
          <w:numId w:val="3"/>
        </w:numPr>
        <w:spacing w:after="110" w:line="250" w:lineRule="auto"/>
        <w:jc w:val="both"/>
      </w:pPr>
      <w:r>
        <w:rPr>
          <w:sz w:val="19"/>
          <w:szCs w:val="19"/>
        </w:rPr>
        <w:t>A reusable preprocessing and feature-engineering pipeline (cleaning, deduplication, type conversion, and derived time and profitability features) documented clearly enough to be applied to additional datasets in future work.</w:t>
      </w:r>
    </w:p>
    <w:p w14:paraId="0BA6A7F2" w14:textId="77777777" w:rsidR="005C6B47" w:rsidRDefault="00B31150">
      <w:pPr>
        <w:pStyle w:val="ListParagraph"/>
        <w:numPr>
          <w:ilvl w:val="0"/>
          <w:numId w:val="3"/>
        </w:numPr>
        <w:spacing w:after="110" w:line="250" w:lineRule="auto"/>
        <w:jc w:val="both"/>
      </w:pPr>
      <w:r>
        <w:rPr>
          <w:sz w:val="19"/>
          <w:szCs w:val="19"/>
        </w:rPr>
        <w:t>An explicit two-part narrative framework — a Data Storytelling section and a parallel Decision Analytics section — both structured as Finding → Meaning → Decision → Recommendation, applied consistently across KPIs, category, regional, product, segment, and discount-profit analyses.</w:t>
      </w:r>
    </w:p>
    <w:p w14:paraId="138592F5" w14:textId="77777777" w:rsidR="005C6B47" w:rsidRDefault="00B31150">
      <w:pPr>
        <w:pStyle w:val="ListParagraph"/>
        <w:numPr>
          <w:ilvl w:val="0"/>
          <w:numId w:val="3"/>
        </w:numPr>
        <w:spacing w:after="110" w:line="250" w:lineRule="auto"/>
        <w:jc w:val="both"/>
      </w:pPr>
      <w:r>
        <w:rPr>
          <w:sz w:val="19"/>
          <w:szCs w:val="19"/>
        </w:rPr>
        <w:t>A working, end-to-end implementation (Python, Pandas, Flask, Plotly, HTML/CSS/JavaScript) that demonstrates the framework using verified, non-fabricated KPI results from real dataset processing.</w:t>
      </w:r>
    </w:p>
    <w:p w14:paraId="46B797F4" w14:textId="77777777" w:rsidR="0001756B" w:rsidRDefault="009F3A69">
      <w:pPr>
        <w:pStyle w:val="ListParagraph"/>
        <w:numPr>
          <w:ilvl w:val="0"/>
          <w:numId w:val="3"/>
        </w:numPr>
        <w:spacing w:after="110" w:line="250" w:lineRule="auto"/>
        <w:jc w:val="both"/>
      </w:pPr>
      <w:r>
        <w:rPr>
          <w:sz w:val="19"/>
          <w:szCs w:val="19"/>
        </w:rPr>
        <w:t>A comparative, regression-based sales-prediction component that evaluates four literature-based baseline models (Linear Regression, Decision Tree, Random Forest, Gradient Boosting) under identical preprocessing and evaluation conditions, together with a proposed Hybrid Stacked Regression Ensemble (HSRE) that combines these baseline models through a meta-learning stage and is evaluated against each of them.</w:t>
      </w:r>
    </w:p>
    <w:p w14:paraId="066382A5" w14:textId="77777777" w:rsidR="005C6B47" w:rsidRDefault="00B31150">
      <w:pPr>
        <w:keepNext/>
        <w:spacing w:before="180" w:after="100"/>
      </w:pPr>
      <w:r>
        <w:rPr>
          <w:b/>
          <w:bCs/>
          <w:i/>
          <w:iCs/>
        </w:rPr>
        <w:t>1.7 Organization of the Paper</w:t>
      </w:r>
    </w:p>
    <w:p w14:paraId="3297ABEA" w14:textId="77777777" w:rsidR="005C6B47" w:rsidRDefault="00B31150">
      <w:pPr>
        <w:spacing w:after="140" w:line="252" w:lineRule="auto"/>
        <w:jc w:val="both"/>
      </w:pPr>
      <w:r>
        <w:rPr>
          <w:sz w:val="19"/>
          <w:szCs w:val="19"/>
        </w:rPr>
        <w:t>The remainder of this paper is organized as follows. Section 2 reviews related work in data visualization, visual analytics, narrative visualization, and interactive dashboards, and situates this project relative to that literature. Section 3 describes the proposed methodology, including the datasets, preprocessing pipeline, feature engineering, KPI design, and the storytelling and decision-analytics methods. Section 4 describes the experimental and implementation setup, covering the technology stack, system architecture, dataset integration, dashboard components, and the validation strategy used to check the dashboard's outputs. Section 5 presents the results obtained from processing the four datasets, organized by KPI, category, region, product, segment, and discount-profit analysis, together with representative data stories and decision-analytics narratives. Section 6 discusses the interpretation of these findings, relates them to the reviewed literature, and considers practical implications and unexpected observations. Section 7 states the limitations of the current implementation, and Section 8 concludes the paper and outlines directions for future work.</w:t>
      </w:r>
    </w:p>
    <w:p w14:paraId="7FAAFDC8" w14:textId="77777777" w:rsidR="005C6B47" w:rsidRDefault="00B31150">
      <w:pPr>
        <w:keepNext/>
        <w:spacing w:before="260" w:after="120"/>
      </w:pPr>
      <w:r>
        <w:rPr>
          <w:b/>
          <w:bCs/>
          <w:color w:val="1F3864"/>
          <w:sz w:val="21"/>
          <w:szCs w:val="21"/>
        </w:rPr>
        <w:t>2. RELATED WORK</w:t>
      </w:r>
    </w:p>
    <w:p w14:paraId="5DD6D053" w14:textId="77777777" w:rsidR="005C6B47" w:rsidRDefault="00B31150">
      <w:pPr>
        <w:spacing w:after="140" w:line="252" w:lineRule="auto"/>
        <w:jc w:val="both"/>
      </w:pPr>
      <w:r>
        <w:rPr>
          <w:sz w:val="19"/>
          <w:szCs w:val="19"/>
        </w:rPr>
        <w:t>This section reviews the literature underpinning the project across six overlapping strands: (i) the evolution of business intelligence and decision support, (ii) the foundational principles of information visualization and visual analytics, (iii) data storytelling and narrative visualization, (iv) interactive dashboard design, (v) the specific open-source tooling and libraries that make browser-based, dataset-driven dashboards practical, and (vi) sales prediction, regression-based forecasting, and ensemble/hybrid machine learning, which underpins the comparative prediction component added to the project (Section 3.11). Together these strands cover the works discussed below, drawn from the paper's reference list.</w:t>
      </w:r>
    </w:p>
    <w:p w14:paraId="1502E4EF" w14:textId="77777777" w:rsidR="005C6B47" w:rsidRDefault="00B31150">
      <w:pPr>
        <w:keepNext/>
        <w:spacing w:before="180" w:after="100"/>
      </w:pPr>
      <w:r>
        <w:rPr>
          <w:b/>
          <w:bCs/>
          <w:i/>
          <w:iCs/>
        </w:rPr>
        <w:t>2.1 Existing Approaches to Business Reporting and Decision Support</w:t>
      </w:r>
    </w:p>
    <w:p w14:paraId="2B156411" w14:textId="77777777" w:rsidR="005C6B47" w:rsidRDefault="00B31150">
      <w:pPr>
        <w:spacing w:after="140" w:line="252" w:lineRule="auto"/>
        <w:jc w:val="both"/>
      </w:pPr>
      <w:r>
        <w:rPr>
          <w:sz w:val="19"/>
          <w:szCs w:val="19"/>
        </w:rPr>
        <w:t xml:space="preserve">Before the widespread adoption of interactive dashboards, organisational reporting relied primarily on static spreadsheets and periodically generated summary documents. Power's history of decision support systems traces this evolution from model-driven and data-driven systems of the 1970s and 1980s toward more interactive, end-user-facing tools [10]. Negash's widely cited tutorial defines business intelligence (BI) as the combination of operational data with analytical tools to support planners and decision makers, and identifies data warehousing and OLAP as the technical backbone of first-generation BI systems [22]. Watson's retrospective on BI's past, present, and future documents the field's shift from purely technical reporting infrastructure toward broader analytics capability embedded in day-to-day management [23]. At the strategic level, Davenport argues that organisations which build analytics into core decision processes gain a durable competitive advantage over those that treat reporting as a back-office function [24], while the widely used Turban, Sharda, and Delen textbook frames BI and analytics as a layered stack running from data acquisition through OLAP and </w:t>
      </w:r>
      <w:r>
        <w:rPr>
          <w:sz w:val="19"/>
          <w:szCs w:val="19"/>
        </w:rPr>
        <w:lastRenderedPageBreak/>
        <w:t>dashboards to advanced analytics [25]. Lim, Chen, and Chen's research-agenda paper extends this stack toward “BI&amp;A 3.0,” characterised by mobile, sensor-driven, and real-time analytics, and explicitly calls for more research on how analytics outputs are communicated to decision makers rather than only how they are computed [26]. These works establish that BI has always been decision-oriented in principle, but, as discussed in Section 2.7, the actual mechanisms for connecting a computed KPI to a stated decision have historically been left implicit — a gap this project addresses directly.</w:t>
      </w:r>
    </w:p>
    <w:p w14:paraId="6EAC9F56" w14:textId="77777777" w:rsidR="005C6B47" w:rsidRDefault="00B31150">
      <w:pPr>
        <w:keepNext/>
        <w:spacing w:before="180" w:after="100"/>
      </w:pPr>
      <w:r>
        <w:rPr>
          <w:b/>
          <w:bCs/>
          <w:i/>
          <w:iCs/>
        </w:rPr>
        <w:t>2.2 Data Visualization / Visual Analytics Approaches</w:t>
      </w:r>
    </w:p>
    <w:p w14:paraId="6F69AB2A" w14:textId="77777777" w:rsidR="005C6B47" w:rsidRDefault="00B31150">
      <w:pPr>
        <w:spacing w:after="140" w:line="252" w:lineRule="auto"/>
        <w:jc w:val="both"/>
      </w:pPr>
      <w:r>
        <w:rPr>
          <w:sz w:val="19"/>
          <w:szCs w:val="19"/>
        </w:rPr>
        <w:t>The broader field of information visualization provides the vocabulary and design principles used throughout this project. Tufte's foundational work on the visual display of quantitative information established core principles such as maximising the data-ink ratio and avoiding chart junk, principles reflected in the dashboard's plain bar, line, and scatter charts [12]. Cleveland's empirical studies of graphical perception showed that position and length encodings (as used in the dashboard's bar and trend charts) are judged more accurately by viewers than area or colour-intensity encodings, which informed the choice of chart types for the KPI and category views [13]. Card, Mackinlay, and Shneiderman's edited volume on information visualization formalised the now-standard reference model of data transformation, visual mapping, and view transformation that any interactive visualization tool, including this dashboard, implicitly follows [14]. Ware's text on visual perception explains why colour-coded, multi-segment charts such as the regional donut chart in this dashboard remain readable even with a dozen categories, provided hue and ordering are used consistently [15], while Munzner's design-and-validation framework for visualization provides the task-abstraction vocabulary (discover, compare, summarise) used to justify the choice of chart type for each KPI in Section 3.8 [16]. Shneiderman's task-by-data-type taxonomy and the associated “overview first, zoom and filter, then details-on-demand” mantra remain a foundational reference for designing interactive views that let a user move from an aggregate KPI to a specific data point [6]. Keim et al. formalised the closely related discipline of visual analytics as the combination of automated analysis and interactive visual interfaces to support analytical reasoning on large, heterogeneous datasets [5], and Sacha et al.'s knowledge-generation model further describes visual analytics as an iterative loop between human reasoning and computational processing — a loop this dashboard implements at a lightweight, rule-based level through its filter-recompute-narrate cycle [33]. These principles directly motivate the dashboard's overview-KPI cards, drill-down charts, and dataset-aware filter panel.</w:t>
      </w:r>
    </w:p>
    <w:p w14:paraId="43D84D17" w14:textId="77777777" w:rsidR="005C6B47" w:rsidRDefault="00B31150">
      <w:pPr>
        <w:keepNext/>
        <w:spacing w:before="180" w:after="100"/>
      </w:pPr>
      <w:r>
        <w:rPr>
          <w:b/>
          <w:bCs/>
          <w:i/>
          <w:iCs/>
        </w:rPr>
        <w:t>2.3 Data Storytelling / Narrative Visualization</w:t>
      </w:r>
    </w:p>
    <w:p w14:paraId="5C12354F" w14:textId="77777777" w:rsidR="005C6B47" w:rsidRDefault="00B31150">
      <w:pPr>
        <w:spacing w:after="140" w:line="252" w:lineRule="auto"/>
        <w:jc w:val="both"/>
      </w:pPr>
      <w:r>
        <w:rPr>
          <w:sz w:val="19"/>
          <w:szCs w:val="19"/>
        </w:rPr>
        <w:t>Segel and Heer's systematic review of narrative visualization in news media identified recurring genres and design patterns — such as author-driven versus reader-driven narratives and the use of annotation, ordering, and messaging — that distinguish a “data story” from a plain chart [1]. Kosara and Mackinlay subsequently argued that presentation and storytelling deserve equal research attention alongside exploration and analysis, since stories package information in a way that is more memorable and easier to communicate to non-analyst decision-makers [2]. In the business context, Knaflic's widely used practitioner text on storytelling with data emphasises decluttering visuals and explicitly stating the “so what” of a chart for a business audience [8], and Eppler and Platts' study of visual strategizing in corporate planning similarly finds that visual formats improve strategic decision quality only when they are paired with an explicit interpretive narrative rather than presented as raw charts [31]. This project operationalises these ideas directly through its Finding → Meaning → Decision → Recommendation structure, which is a lightweight, dashboard-native adaptation of the narrative and “so what” principles described in this literature.</w:t>
      </w:r>
    </w:p>
    <w:p w14:paraId="4193FC41" w14:textId="77777777" w:rsidR="005C6B47" w:rsidRDefault="00B31150">
      <w:pPr>
        <w:keepNext/>
        <w:spacing w:before="180" w:after="100"/>
      </w:pPr>
      <w:r>
        <w:rPr>
          <w:b/>
          <w:bCs/>
          <w:i/>
          <w:iCs/>
        </w:rPr>
        <w:t>2.4 Interactive Dashboards / Decision Analytics</w:t>
      </w:r>
    </w:p>
    <w:p w14:paraId="65411A4F" w14:textId="77777777" w:rsidR="005C6B47" w:rsidRDefault="00B31150">
      <w:pPr>
        <w:spacing w:after="140" w:line="252" w:lineRule="auto"/>
        <w:jc w:val="both"/>
      </w:pPr>
      <w:r>
        <w:rPr>
          <w:sz w:val="19"/>
          <w:szCs w:val="19"/>
        </w:rPr>
        <w:t>Few's practitioner-oriented framework for dashboard design emphasises high data-ink ratios, at-a-glance monitoring, and careful layout of KPIs so that a viewer can assess performance within seconds [7]. Sarikaya et al. conducted a broader survey of how dashboards are actually used in practice, distinguishing strategic, analytical, operational, and informational dashboard types and noting that most real-world dashboards prioritise monitoring over deep exploration [3]. Bach et al. extended this line of work with a catalogue of recurring dashboard design patterns spanning layout, interaction, and content organisation [9]. At the organisational level, Chen, Chiang, and Storey's influential review of business intelligence and analytics (BI&amp;A) describes the progression from BI&amp;A 1.0 (structured, relational-database-driven reporting) toward more interactive, user-facing analytics, which frames the type of descriptive, multi-source dashboard built in this project as a contemporary instance of that BI&amp;A evolution [4]. Wexler et al.'s practitioner handbook on dashboard construction further documents common visual patterns — KPI cards, trend lines, and comparison charts — that this project's dashboard also adopts [11].</w:t>
      </w:r>
    </w:p>
    <w:p w14:paraId="0D9B3A98" w14:textId="77777777" w:rsidR="005C6B47" w:rsidRDefault="00B31150">
      <w:pPr>
        <w:keepNext/>
        <w:spacing w:before="180" w:after="100"/>
      </w:pPr>
      <w:r>
        <w:rPr>
          <w:b/>
          <w:bCs/>
          <w:i/>
          <w:iCs/>
        </w:rPr>
        <w:t>2.5 Visualization Tooling, Libraries, and Time/Spatial Analysis</w:t>
      </w:r>
    </w:p>
    <w:p w14:paraId="1723904B" w14:textId="77777777" w:rsidR="005C6B47" w:rsidRDefault="00B31150">
      <w:pPr>
        <w:spacing w:after="140" w:line="252" w:lineRule="auto"/>
        <w:jc w:val="both"/>
      </w:pPr>
      <w:r>
        <w:rPr>
          <w:sz w:val="19"/>
          <w:szCs w:val="19"/>
        </w:rPr>
        <w:t xml:space="preserve">The technical feasibility of a browser-based, dataset-aware dashboard rests on a specific lineage of open-source visualization and data-processing tooling. Bostock, Ogievetsky, and Heer's D3.js paper introduced the data-driven-documents model that underlies most modern JavaScript charting libraries, including the Plotly library used in this project [17], and Heer, Bostock, and Ogievetsky's accompanying “tour through the visualization zoo” catalogues the chart types (trend lines, category bars, proportional donuts, scatter plots) that this dashboard reuses for its KPI views [18]. Wickham's layered grammar of graphics formalised the mapping between data variables and visual channels that Plotly's charting API also follows [19], while Satyanarayan et al.'s Vega-Lite paper demonstrates how a declarative grammar can generate this class of interactive statistical chart directly from a data specification, an </w:t>
      </w:r>
      <w:r>
        <w:rPr>
          <w:sz w:val="19"/>
          <w:szCs w:val="19"/>
        </w:rPr>
        <w:lastRenderedPageBreak/>
        <w:t>approach conceptually close to how this dashboard's backend generates each chart from the currently filtered Pandas DataFrame [20]. On the data-processing side, McKinney's original pandas paper describes the DataFrame abstraction used throughout this project's preprocessing, feature-engineering, and KPI-computation pipeline [21], and Grinberg's practitioner guide to Flask documents the request-routing and templating patterns used to expose that pipeline as a web application [32]. Finally, because two of the dashboard's views are explicitly time- and location-oriented, Aigner et al.'s survey of time-oriented data visualization [29] and Andrienko and Andrienko's text on exploratory spatio-temporal analysis [30] inform the design of the Sales Trend line chart and the Sales by Region donut chart respectively; Yau's and Kirk's practitioner handbooks on data visualization design were consulted for general layout and colour-usage guidance across all dashboard panels [27], [28].</w:t>
      </w:r>
    </w:p>
    <w:p w14:paraId="4A635421" w14:textId="77777777" w:rsidR="005C6B47" w:rsidRDefault="00B31150">
      <w:pPr>
        <w:keepNext/>
        <w:spacing w:before="180" w:after="100"/>
      </w:pPr>
      <w:r>
        <w:rPr>
          <w:b/>
          <w:bCs/>
          <w:i/>
          <w:iCs/>
        </w:rPr>
        <w:t>2.6 Critical Comparison</w:t>
      </w:r>
    </w:p>
    <w:p w14:paraId="5F9F4962" w14:textId="77777777" w:rsidR="005C6B47" w:rsidRDefault="00B31150">
      <w:pPr>
        <w:spacing w:after="80" w:line="252" w:lineRule="auto"/>
        <w:jc w:val="both"/>
      </w:pPr>
      <w:r>
        <w:rPr>
          <w:i/>
          <w:iCs/>
          <w:color w:val="808080"/>
          <w:sz w:val="19"/>
          <w:szCs w:val="19"/>
        </w:rPr>
        <w:t>Table 1 summarizes representative studies from the reviewed literature, highlighting their key contribution and the limitation that this project's dashboard specifically attempts to address.</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2350"/>
        <w:gridCol w:w="3450"/>
        <w:gridCol w:w="2880"/>
      </w:tblGrid>
      <w:tr w:rsidR="005C6B47" w14:paraId="147C7C36" w14:textId="77777777">
        <w:trPr>
          <w:tblHeader/>
        </w:trPr>
        <w:tc>
          <w:tcPr>
            <w:tcW w:w="420" w:type="dxa"/>
            <w:shd w:val="clear" w:color="auto" w:fill="1F3864"/>
            <w:tcMar>
              <w:top w:w="60" w:type="dxa"/>
              <w:left w:w="80" w:type="dxa"/>
              <w:bottom w:w="60" w:type="dxa"/>
              <w:right w:w="80" w:type="dxa"/>
            </w:tcMar>
            <w:vAlign w:val="center"/>
          </w:tcPr>
          <w:p w14:paraId="7CCF14CE" w14:textId="77777777" w:rsidR="005C6B47" w:rsidRDefault="00B31150">
            <w:pPr>
              <w:jc w:val="center"/>
            </w:pPr>
            <w:r>
              <w:rPr>
                <w:b/>
                <w:bCs/>
                <w:color w:val="FFFFFF"/>
                <w:sz w:val="17"/>
                <w:szCs w:val="17"/>
              </w:rPr>
              <w:t>#</w:t>
            </w:r>
          </w:p>
        </w:tc>
        <w:tc>
          <w:tcPr>
            <w:tcW w:w="2350" w:type="dxa"/>
            <w:shd w:val="clear" w:color="auto" w:fill="1F3864"/>
            <w:tcMar>
              <w:top w:w="60" w:type="dxa"/>
              <w:left w:w="80" w:type="dxa"/>
              <w:bottom w:w="60" w:type="dxa"/>
              <w:right w:w="80" w:type="dxa"/>
            </w:tcMar>
            <w:vAlign w:val="center"/>
          </w:tcPr>
          <w:p w14:paraId="2F5E2BBB" w14:textId="77777777" w:rsidR="005C6B47" w:rsidRDefault="00B31150">
            <w:pPr>
              <w:jc w:val="center"/>
            </w:pPr>
            <w:r>
              <w:rPr>
                <w:b/>
                <w:bCs/>
                <w:color w:val="FFFFFF"/>
                <w:sz w:val="17"/>
                <w:szCs w:val="17"/>
              </w:rPr>
              <w:t>Study / Reference</w:t>
            </w:r>
          </w:p>
        </w:tc>
        <w:tc>
          <w:tcPr>
            <w:tcW w:w="3450" w:type="dxa"/>
            <w:shd w:val="clear" w:color="auto" w:fill="1F3864"/>
            <w:tcMar>
              <w:top w:w="60" w:type="dxa"/>
              <w:left w:w="80" w:type="dxa"/>
              <w:bottom w:w="60" w:type="dxa"/>
              <w:right w:w="80" w:type="dxa"/>
            </w:tcMar>
            <w:vAlign w:val="center"/>
          </w:tcPr>
          <w:p w14:paraId="4AC07961" w14:textId="77777777" w:rsidR="005C6B47" w:rsidRDefault="00B31150">
            <w:pPr>
              <w:jc w:val="center"/>
            </w:pPr>
            <w:r>
              <w:rPr>
                <w:b/>
                <w:bCs/>
                <w:color w:val="FFFFFF"/>
                <w:sz w:val="17"/>
                <w:szCs w:val="17"/>
              </w:rPr>
              <w:t>Key Contribution</w:t>
            </w:r>
          </w:p>
        </w:tc>
        <w:tc>
          <w:tcPr>
            <w:tcW w:w="2880" w:type="dxa"/>
            <w:shd w:val="clear" w:color="auto" w:fill="1F3864"/>
            <w:tcMar>
              <w:top w:w="60" w:type="dxa"/>
              <w:left w:w="80" w:type="dxa"/>
              <w:bottom w:w="60" w:type="dxa"/>
              <w:right w:w="80" w:type="dxa"/>
            </w:tcMar>
            <w:vAlign w:val="center"/>
          </w:tcPr>
          <w:p w14:paraId="54FD4CE9" w14:textId="77777777" w:rsidR="005C6B47" w:rsidRDefault="00B31150">
            <w:pPr>
              <w:jc w:val="center"/>
            </w:pPr>
            <w:r>
              <w:rPr>
                <w:b/>
                <w:bCs/>
                <w:color w:val="FFFFFF"/>
                <w:sz w:val="17"/>
                <w:szCs w:val="17"/>
              </w:rPr>
              <w:t>Limitation Addressed by This Project</w:t>
            </w:r>
          </w:p>
        </w:tc>
      </w:tr>
      <w:tr w:rsidR="005C6B47" w14:paraId="5F710B2F" w14:textId="77777777">
        <w:tc>
          <w:tcPr>
            <w:tcW w:w="420" w:type="dxa"/>
            <w:shd w:val="clear" w:color="auto" w:fill="FFFFFF"/>
            <w:tcMar>
              <w:top w:w="60" w:type="dxa"/>
              <w:left w:w="80" w:type="dxa"/>
              <w:bottom w:w="60" w:type="dxa"/>
              <w:right w:w="80" w:type="dxa"/>
            </w:tcMar>
            <w:vAlign w:val="center"/>
          </w:tcPr>
          <w:p w14:paraId="06B5D6DF" w14:textId="77777777" w:rsidR="005C6B47" w:rsidRDefault="00B31150">
            <w:r>
              <w:rPr>
                <w:sz w:val="17"/>
                <w:szCs w:val="17"/>
              </w:rPr>
              <w:t>1</w:t>
            </w:r>
          </w:p>
        </w:tc>
        <w:tc>
          <w:tcPr>
            <w:tcW w:w="2350" w:type="dxa"/>
            <w:shd w:val="clear" w:color="auto" w:fill="FFFFFF"/>
            <w:tcMar>
              <w:top w:w="60" w:type="dxa"/>
              <w:left w:w="80" w:type="dxa"/>
              <w:bottom w:w="60" w:type="dxa"/>
              <w:right w:w="80" w:type="dxa"/>
            </w:tcMar>
            <w:vAlign w:val="center"/>
          </w:tcPr>
          <w:p w14:paraId="0900E5C8" w14:textId="77777777" w:rsidR="005C6B47" w:rsidRDefault="00B31150">
            <w:r>
              <w:rPr>
                <w:sz w:val="17"/>
                <w:szCs w:val="17"/>
              </w:rPr>
              <w:t>Segel &amp; Heer, IEEE TVCG, 2010 [1]</w:t>
            </w:r>
          </w:p>
        </w:tc>
        <w:tc>
          <w:tcPr>
            <w:tcW w:w="3450" w:type="dxa"/>
            <w:shd w:val="clear" w:color="auto" w:fill="FFFFFF"/>
            <w:tcMar>
              <w:top w:w="60" w:type="dxa"/>
              <w:left w:w="80" w:type="dxa"/>
              <w:bottom w:w="60" w:type="dxa"/>
              <w:right w:w="80" w:type="dxa"/>
            </w:tcMar>
            <w:vAlign w:val="center"/>
          </w:tcPr>
          <w:p w14:paraId="027BE90D" w14:textId="77777777" w:rsidR="005C6B47" w:rsidRDefault="00B31150">
            <w:r>
              <w:rPr>
                <w:sz w:val="17"/>
                <w:szCs w:val="17"/>
              </w:rPr>
              <w:t>Design-space taxonomy of narrative visualizations used in journalism.</w:t>
            </w:r>
          </w:p>
        </w:tc>
        <w:tc>
          <w:tcPr>
            <w:tcW w:w="2880" w:type="dxa"/>
            <w:shd w:val="clear" w:color="auto" w:fill="FFFFFF"/>
            <w:tcMar>
              <w:top w:w="60" w:type="dxa"/>
              <w:left w:w="80" w:type="dxa"/>
              <w:bottom w:w="60" w:type="dxa"/>
              <w:right w:w="80" w:type="dxa"/>
            </w:tcMar>
            <w:vAlign w:val="center"/>
          </w:tcPr>
          <w:p w14:paraId="66A83E75" w14:textId="77777777" w:rsidR="005C6B47" w:rsidRDefault="00B31150">
            <w:r>
              <w:rPr>
                <w:sz w:val="17"/>
                <w:szCs w:val="17"/>
              </w:rPr>
              <w:t>Focused on one-off, author-driven media stories rather than a reusable, data-driven dashboard narrative.</w:t>
            </w:r>
          </w:p>
        </w:tc>
      </w:tr>
      <w:tr w:rsidR="005C6B47" w14:paraId="5BF57C40" w14:textId="77777777">
        <w:tc>
          <w:tcPr>
            <w:tcW w:w="420" w:type="dxa"/>
            <w:shd w:val="clear" w:color="auto" w:fill="FFFFFF"/>
            <w:tcMar>
              <w:top w:w="60" w:type="dxa"/>
              <w:left w:w="80" w:type="dxa"/>
              <w:bottom w:w="60" w:type="dxa"/>
              <w:right w:w="80" w:type="dxa"/>
            </w:tcMar>
            <w:vAlign w:val="center"/>
          </w:tcPr>
          <w:p w14:paraId="0EC70483" w14:textId="77777777" w:rsidR="005C6B47" w:rsidRDefault="00B31150">
            <w:r>
              <w:rPr>
                <w:sz w:val="17"/>
                <w:szCs w:val="17"/>
              </w:rPr>
              <w:t>2</w:t>
            </w:r>
          </w:p>
        </w:tc>
        <w:tc>
          <w:tcPr>
            <w:tcW w:w="2350" w:type="dxa"/>
            <w:shd w:val="clear" w:color="auto" w:fill="FFFFFF"/>
            <w:tcMar>
              <w:top w:w="60" w:type="dxa"/>
              <w:left w:w="80" w:type="dxa"/>
              <w:bottom w:w="60" w:type="dxa"/>
              <w:right w:w="80" w:type="dxa"/>
            </w:tcMar>
            <w:vAlign w:val="center"/>
          </w:tcPr>
          <w:p w14:paraId="0404C16D" w14:textId="77777777" w:rsidR="005C6B47" w:rsidRDefault="00B31150">
            <w:r>
              <w:rPr>
                <w:sz w:val="17"/>
                <w:szCs w:val="17"/>
              </w:rPr>
              <w:t>Kosara &amp; Mackinlay, IEEE Computer, 2013 [2]</w:t>
            </w:r>
          </w:p>
        </w:tc>
        <w:tc>
          <w:tcPr>
            <w:tcW w:w="3450" w:type="dxa"/>
            <w:shd w:val="clear" w:color="auto" w:fill="FFFFFF"/>
            <w:tcMar>
              <w:top w:w="60" w:type="dxa"/>
              <w:left w:w="80" w:type="dxa"/>
              <w:bottom w:w="60" w:type="dxa"/>
              <w:right w:w="80" w:type="dxa"/>
            </w:tcMar>
            <w:vAlign w:val="center"/>
          </w:tcPr>
          <w:p w14:paraId="457D300A" w14:textId="77777777" w:rsidR="005C6B47" w:rsidRDefault="00B31150">
            <w:r>
              <w:rPr>
                <w:sz w:val="17"/>
                <w:szCs w:val="17"/>
              </w:rPr>
              <w:t>Argues presentation/storytelling deserves equal research focus to exploration and analysis.</w:t>
            </w:r>
          </w:p>
        </w:tc>
        <w:tc>
          <w:tcPr>
            <w:tcW w:w="2880" w:type="dxa"/>
            <w:shd w:val="clear" w:color="auto" w:fill="FFFFFF"/>
            <w:tcMar>
              <w:top w:w="60" w:type="dxa"/>
              <w:left w:w="80" w:type="dxa"/>
              <w:bottom w:w="60" w:type="dxa"/>
              <w:right w:w="80" w:type="dxa"/>
            </w:tcMar>
            <w:vAlign w:val="center"/>
          </w:tcPr>
          <w:p w14:paraId="6EA8C75F" w14:textId="77777777" w:rsidR="005C6B47" w:rsidRDefault="00B31150">
            <w:r>
              <w:rPr>
                <w:sz w:val="17"/>
                <w:szCs w:val="17"/>
              </w:rPr>
              <w:t>Conceptual proposal; does not specify a concrete, repeatable dashboard-level narrative structure.</w:t>
            </w:r>
          </w:p>
        </w:tc>
      </w:tr>
      <w:tr w:rsidR="005C6B47" w14:paraId="29678342" w14:textId="77777777">
        <w:tc>
          <w:tcPr>
            <w:tcW w:w="420" w:type="dxa"/>
            <w:shd w:val="clear" w:color="auto" w:fill="FFFFFF"/>
            <w:tcMar>
              <w:top w:w="60" w:type="dxa"/>
              <w:left w:w="80" w:type="dxa"/>
              <w:bottom w:w="60" w:type="dxa"/>
              <w:right w:w="80" w:type="dxa"/>
            </w:tcMar>
            <w:vAlign w:val="center"/>
          </w:tcPr>
          <w:p w14:paraId="73AC7D16" w14:textId="77777777" w:rsidR="005C6B47" w:rsidRDefault="00B31150">
            <w:r>
              <w:rPr>
                <w:sz w:val="17"/>
                <w:szCs w:val="17"/>
              </w:rPr>
              <w:t>3</w:t>
            </w:r>
          </w:p>
        </w:tc>
        <w:tc>
          <w:tcPr>
            <w:tcW w:w="2350" w:type="dxa"/>
            <w:shd w:val="clear" w:color="auto" w:fill="FFFFFF"/>
            <w:tcMar>
              <w:top w:w="60" w:type="dxa"/>
              <w:left w:w="80" w:type="dxa"/>
              <w:bottom w:w="60" w:type="dxa"/>
              <w:right w:w="80" w:type="dxa"/>
            </w:tcMar>
            <w:vAlign w:val="center"/>
          </w:tcPr>
          <w:p w14:paraId="3B47AD07" w14:textId="77777777" w:rsidR="005C6B47" w:rsidRPr="004A2AD3" w:rsidRDefault="00B31150">
            <w:pPr>
              <w:rPr>
                <w:lang w:val="it-IT"/>
              </w:rPr>
            </w:pPr>
            <w:r>
              <w:rPr>
                <w:sz w:val="17"/>
                <w:szCs w:val="17"/>
                <w:lang w:val="it-IT"/>
              </w:rPr>
              <w:t>Sarikaya et al., IEEE TVCG, 2019 [3]</w:t>
            </w:r>
          </w:p>
        </w:tc>
        <w:tc>
          <w:tcPr>
            <w:tcW w:w="3450" w:type="dxa"/>
            <w:shd w:val="clear" w:color="auto" w:fill="FFFFFF"/>
            <w:tcMar>
              <w:top w:w="60" w:type="dxa"/>
              <w:left w:w="80" w:type="dxa"/>
              <w:bottom w:w="60" w:type="dxa"/>
              <w:right w:w="80" w:type="dxa"/>
            </w:tcMar>
            <w:vAlign w:val="center"/>
          </w:tcPr>
          <w:p w14:paraId="47C5BF15" w14:textId="77777777" w:rsidR="005C6B47" w:rsidRDefault="00B31150">
            <w:r>
              <w:rPr>
                <w:sz w:val="17"/>
                <w:szCs w:val="17"/>
              </w:rPr>
              <w:t>Empirical taxonomy of dashboard types, goals, and interaction levels.</w:t>
            </w:r>
          </w:p>
        </w:tc>
        <w:tc>
          <w:tcPr>
            <w:tcW w:w="2880" w:type="dxa"/>
            <w:shd w:val="clear" w:color="auto" w:fill="FFFFFF"/>
            <w:tcMar>
              <w:top w:w="60" w:type="dxa"/>
              <w:left w:w="80" w:type="dxa"/>
              <w:bottom w:w="60" w:type="dxa"/>
              <w:right w:w="80" w:type="dxa"/>
            </w:tcMar>
            <w:vAlign w:val="center"/>
          </w:tcPr>
          <w:p w14:paraId="084064CB" w14:textId="77777777" w:rsidR="005C6B47" w:rsidRDefault="00B31150">
            <w:r>
              <w:rPr>
                <w:sz w:val="17"/>
                <w:szCs w:val="17"/>
              </w:rPr>
              <w:t>Describes dashboard use broadly but not a specific storytelling or decision-analytics layer.</w:t>
            </w:r>
          </w:p>
        </w:tc>
      </w:tr>
      <w:tr w:rsidR="005C6B47" w14:paraId="7D6EC2EB" w14:textId="77777777">
        <w:tc>
          <w:tcPr>
            <w:tcW w:w="420" w:type="dxa"/>
            <w:shd w:val="clear" w:color="auto" w:fill="FFFFFF"/>
            <w:tcMar>
              <w:top w:w="60" w:type="dxa"/>
              <w:left w:w="80" w:type="dxa"/>
              <w:bottom w:w="60" w:type="dxa"/>
              <w:right w:w="80" w:type="dxa"/>
            </w:tcMar>
            <w:vAlign w:val="center"/>
          </w:tcPr>
          <w:p w14:paraId="032347B5" w14:textId="77777777" w:rsidR="005C6B47" w:rsidRDefault="00B31150">
            <w:r>
              <w:rPr>
                <w:sz w:val="17"/>
                <w:szCs w:val="17"/>
              </w:rPr>
              <w:t>4</w:t>
            </w:r>
          </w:p>
        </w:tc>
        <w:tc>
          <w:tcPr>
            <w:tcW w:w="2350" w:type="dxa"/>
            <w:shd w:val="clear" w:color="auto" w:fill="FFFFFF"/>
            <w:tcMar>
              <w:top w:w="60" w:type="dxa"/>
              <w:left w:w="80" w:type="dxa"/>
              <w:bottom w:w="60" w:type="dxa"/>
              <w:right w:w="80" w:type="dxa"/>
            </w:tcMar>
            <w:vAlign w:val="center"/>
          </w:tcPr>
          <w:p w14:paraId="7B829E3A" w14:textId="77777777" w:rsidR="005C6B47" w:rsidRDefault="00B31150">
            <w:r>
              <w:rPr>
                <w:sz w:val="17"/>
                <w:szCs w:val="17"/>
              </w:rPr>
              <w:t>Few, Information Dashboard Design, 2013 [7]</w:t>
            </w:r>
          </w:p>
        </w:tc>
        <w:tc>
          <w:tcPr>
            <w:tcW w:w="3450" w:type="dxa"/>
            <w:shd w:val="clear" w:color="auto" w:fill="FFFFFF"/>
            <w:tcMar>
              <w:top w:w="60" w:type="dxa"/>
              <w:left w:w="80" w:type="dxa"/>
              <w:bottom w:w="60" w:type="dxa"/>
              <w:right w:w="80" w:type="dxa"/>
            </w:tcMar>
            <w:vAlign w:val="center"/>
          </w:tcPr>
          <w:p w14:paraId="5CFD0F1B" w14:textId="77777777" w:rsidR="005C6B47" w:rsidRDefault="00B31150">
            <w:r>
              <w:rPr>
                <w:sz w:val="17"/>
                <w:szCs w:val="17"/>
              </w:rPr>
              <w:t>Practical visual design principles for at-a-glance KPI dashboards.</w:t>
            </w:r>
          </w:p>
        </w:tc>
        <w:tc>
          <w:tcPr>
            <w:tcW w:w="2880" w:type="dxa"/>
            <w:shd w:val="clear" w:color="auto" w:fill="FFFFFF"/>
            <w:tcMar>
              <w:top w:w="60" w:type="dxa"/>
              <w:left w:w="80" w:type="dxa"/>
              <w:bottom w:w="60" w:type="dxa"/>
              <w:right w:w="80" w:type="dxa"/>
            </w:tcMar>
            <w:vAlign w:val="center"/>
          </w:tcPr>
          <w:p w14:paraId="73396F46" w14:textId="77777777" w:rsidR="005C6B47" w:rsidRDefault="00B31150">
            <w:r>
              <w:rPr>
                <w:sz w:val="17"/>
                <w:szCs w:val="17"/>
              </w:rPr>
              <w:t>Concentrates on layout/perception; does not address multi-dataset schema differences.</w:t>
            </w:r>
          </w:p>
        </w:tc>
      </w:tr>
      <w:tr w:rsidR="005C6B47" w14:paraId="10788F4F" w14:textId="77777777">
        <w:tc>
          <w:tcPr>
            <w:tcW w:w="420" w:type="dxa"/>
            <w:shd w:val="clear" w:color="auto" w:fill="FFFFFF"/>
            <w:tcMar>
              <w:top w:w="60" w:type="dxa"/>
              <w:left w:w="80" w:type="dxa"/>
              <w:bottom w:w="60" w:type="dxa"/>
              <w:right w:w="80" w:type="dxa"/>
            </w:tcMar>
            <w:vAlign w:val="center"/>
          </w:tcPr>
          <w:p w14:paraId="1D38A031" w14:textId="77777777" w:rsidR="005C6B47" w:rsidRDefault="00B31150">
            <w:r>
              <w:rPr>
                <w:sz w:val="17"/>
                <w:szCs w:val="17"/>
              </w:rPr>
              <w:t>5</w:t>
            </w:r>
          </w:p>
        </w:tc>
        <w:tc>
          <w:tcPr>
            <w:tcW w:w="2350" w:type="dxa"/>
            <w:shd w:val="clear" w:color="auto" w:fill="FFFFFF"/>
            <w:tcMar>
              <w:top w:w="60" w:type="dxa"/>
              <w:left w:w="80" w:type="dxa"/>
              <w:bottom w:w="60" w:type="dxa"/>
              <w:right w:w="80" w:type="dxa"/>
            </w:tcMar>
            <w:vAlign w:val="center"/>
          </w:tcPr>
          <w:p w14:paraId="20664428" w14:textId="77777777" w:rsidR="005C6B47" w:rsidRDefault="00B31150">
            <w:r>
              <w:rPr>
                <w:sz w:val="17"/>
                <w:szCs w:val="17"/>
              </w:rPr>
              <w:t>Chen, Chiang &amp; Storey, MIS Quarterly, 2012 [4]</w:t>
            </w:r>
          </w:p>
        </w:tc>
        <w:tc>
          <w:tcPr>
            <w:tcW w:w="3450" w:type="dxa"/>
            <w:shd w:val="clear" w:color="auto" w:fill="FFFFFF"/>
            <w:tcMar>
              <w:top w:w="60" w:type="dxa"/>
              <w:left w:w="80" w:type="dxa"/>
              <w:bottom w:w="60" w:type="dxa"/>
              <w:right w:w="80" w:type="dxa"/>
            </w:tcMar>
            <w:vAlign w:val="center"/>
          </w:tcPr>
          <w:p w14:paraId="0E516988" w14:textId="77777777" w:rsidR="005C6B47" w:rsidRDefault="00B31150">
            <w:r>
              <w:rPr>
                <w:sz w:val="17"/>
                <w:szCs w:val="17"/>
              </w:rPr>
              <w:t>Framework describing the evolution of business intelligence and analytics (BI&amp;A 1.0–3.0).</w:t>
            </w:r>
          </w:p>
        </w:tc>
        <w:tc>
          <w:tcPr>
            <w:tcW w:w="2880" w:type="dxa"/>
            <w:shd w:val="clear" w:color="auto" w:fill="FFFFFF"/>
            <w:tcMar>
              <w:top w:w="60" w:type="dxa"/>
              <w:left w:w="80" w:type="dxa"/>
              <w:bottom w:w="60" w:type="dxa"/>
              <w:right w:w="80" w:type="dxa"/>
            </w:tcMar>
            <w:vAlign w:val="center"/>
          </w:tcPr>
          <w:p w14:paraId="644A4651" w14:textId="77777777" w:rsidR="005C6B47" w:rsidRDefault="00B31150">
            <w:r>
              <w:rPr>
                <w:sz w:val="17"/>
                <w:szCs w:val="17"/>
              </w:rPr>
              <w:t>High-level organisational framework; does not provide an implementation-level dashboard design.</w:t>
            </w:r>
          </w:p>
        </w:tc>
      </w:tr>
      <w:tr w:rsidR="005C6B47" w14:paraId="1C85BCBD" w14:textId="77777777">
        <w:tc>
          <w:tcPr>
            <w:tcW w:w="420" w:type="dxa"/>
            <w:shd w:val="clear" w:color="auto" w:fill="FFFFFF"/>
            <w:tcMar>
              <w:top w:w="60" w:type="dxa"/>
              <w:left w:w="80" w:type="dxa"/>
              <w:bottom w:w="60" w:type="dxa"/>
              <w:right w:w="80" w:type="dxa"/>
            </w:tcMar>
            <w:vAlign w:val="center"/>
          </w:tcPr>
          <w:p w14:paraId="7C1E832A" w14:textId="77777777" w:rsidR="005C6B47" w:rsidRDefault="00B31150">
            <w:r>
              <w:rPr>
                <w:sz w:val="17"/>
                <w:szCs w:val="17"/>
              </w:rPr>
              <w:t>6</w:t>
            </w:r>
          </w:p>
        </w:tc>
        <w:tc>
          <w:tcPr>
            <w:tcW w:w="2350" w:type="dxa"/>
            <w:shd w:val="clear" w:color="auto" w:fill="FFFFFF"/>
            <w:tcMar>
              <w:top w:w="60" w:type="dxa"/>
              <w:left w:w="80" w:type="dxa"/>
              <w:bottom w:w="60" w:type="dxa"/>
              <w:right w:w="80" w:type="dxa"/>
            </w:tcMar>
            <w:vAlign w:val="center"/>
          </w:tcPr>
          <w:p w14:paraId="399AEEAD" w14:textId="77777777" w:rsidR="005C6B47" w:rsidRDefault="00B31150">
            <w:r>
              <w:rPr>
                <w:sz w:val="17"/>
                <w:szCs w:val="17"/>
              </w:rPr>
              <w:t>Negash, CAIS, 2004 [22]</w:t>
            </w:r>
          </w:p>
        </w:tc>
        <w:tc>
          <w:tcPr>
            <w:tcW w:w="3450" w:type="dxa"/>
            <w:shd w:val="clear" w:color="auto" w:fill="FFFFFF"/>
            <w:tcMar>
              <w:top w:w="60" w:type="dxa"/>
              <w:left w:w="80" w:type="dxa"/>
              <w:bottom w:w="60" w:type="dxa"/>
              <w:right w:w="80" w:type="dxa"/>
            </w:tcMar>
            <w:vAlign w:val="center"/>
          </w:tcPr>
          <w:p w14:paraId="07C3259D" w14:textId="77777777" w:rsidR="005C6B47" w:rsidRDefault="00B31150">
            <w:r>
              <w:rPr>
                <w:sz w:val="17"/>
                <w:szCs w:val="17"/>
              </w:rPr>
              <w:t>Tutorial framework describing data-warehouse-centric BI architecture.</w:t>
            </w:r>
          </w:p>
        </w:tc>
        <w:tc>
          <w:tcPr>
            <w:tcW w:w="2880" w:type="dxa"/>
            <w:shd w:val="clear" w:color="auto" w:fill="FFFFFF"/>
            <w:tcMar>
              <w:top w:w="60" w:type="dxa"/>
              <w:left w:w="80" w:type="dxa"/>
              <w:bottom w:w="60" w:type="dxa"/>
              <w:right w:w="80" w:type="dxa"/>
            </w:tcMar>
            <w:vAlign w:val="center"/>
          </w:tcPr>
          <w:p w14:paraId="6486A571" w14:textId="77777777" w:rsidR="005C6B47" w:rsidRDefault="00B31150">
            <w:r>
              <w:rPr>
                <w:sz w:val="17"/>
                <w:szCs w:val="17"/>
              </w:rPr>
              <w:t>Assumes a single unified warehouse schema; does not address heterogeneous, schema-differing source files.</w:t>
            </w:r>
          </w:p>
        </w:tc>
      </w:tr>
      <w:tr w:rsidR="005C6B47" w14:paraId="75D82B44" w14:textId="77777777">
        <w:tc>
          <w:tcPr>
            <w:tcW w:w="420" w:type="dxa"/>
            <w:shd w:val="clear" w:color="auto" w:fill="FFFFFF"/>
            <w:tcMar>
              <w:top w:w="60" w:type="dxa"/>
              <w:left w:w="80" w:type="dxa"/>
              <w:bottom w:w="60" w:type="dxa"/>
              <w:right w:w="80" w:type="dxa"/>
            </w:tcMar>
            <w:vAlign w:val="center"/>
          </w:tcPr>
          <w:p w14:paraId="51A66C96" w14:textId="77777777" w:rsidR="005C6B47" w:rsidRDefault="00B31150">
            <w:r>
              <w:rPr>
                <w:sz w:val="17"/>
                <w:szCs w:val="17"/>
              </w:rPr>
              <w:t>7</w:t>
            </w:r>
          </w:p>
        </w:tc>
        <w:tc>
          <w:tcPr>
            <w:tcW w:w="2350" w:type="dxa"/>
            <w:shd w:val="clear" w:color="auto" w:fill="FFFFFF"/>
            <w:tcMar>
              <w:top w:w="60" w:type="dxa"/>
              <w:left w:w="80" w:type="dxa"/>
              <w:bottom w:w="60" w:type="dxa"/>
              <w:right w:w="80" w:type="dxa"/>
            </w:tcMar>
            <w:vAlign w:val="center"/>
          </w:tcPr>
          <w:p w14:paraId="78A08CBB" w14:textId="77777777" w:rsidR="005C6B47" w:rsidRDefault="00B31150">
            <w:r>
              <w:rPr>
                <w:sz w:val="17"/>
                <w:szCs w:val="17"/>
              </w:rPr>
              <w:t>Knaflic, Storytelling with Data, 2015 [8]</w:t>
            </w:r>
          </w:p>
        </w:tc>
        <w:tc>
          <w:tcPr>
            <w:tcW w:w="3450" w:type="dxa"/>
            <w:shd w:val="clear" w:color="auto" w:fill="FFFFFF"/>
            <w:tcMar>
              <w:top w:w="60" w:type="dxa"/>
              <w:left w:w="80" w:type="dxa"/>
              <w:bottom w:w="60" w:type="dxa"/>
              <w:right w:w="80" w:type="dxa"/>
            </w:tcMar>
            <w:vAlign w:val="center"/>
          </w:tcPr>
          <w:p w14:paraId="4243E4C2" w14:textId="77777777" w:rsidR="005C6B47" w:rsidRDefault="00B31150">
            <w:r>
              <w:rPr>
                <w:sz w:val="17"/>
                <w:szCs w:val="17"/>
              </w:rPr>
              <w:t>Practitioner principles for decluttering charts and stating the “so what” for a business audience.</w:t>
            </w:r>
          </w:p>
        </w:tc>
        <w:tc>
          <w:tcPr>
            <w:tcW w:w="2880" w:type="dxa"/>
            <w:shd w:val="clear" w:color="auto" w:fill="FFFFFF"/>
            <w:tcMar>
              <w:top w:w="60" w:type="dxa"/>
              <w:left w:w="80" w:type="dxa"/>
              <w:bottom w:w="60" w:type="dxa"/>
              <w:right w:w="80" w:type="dxa"/>
            </w:tcMar>
            <w:vAlign w:val="center"/>
          </w:tcPr>
          <w:p w14:paraId="41ABC603" w14:textId="77777777" w:rsidR="005C6B47" w:rsidRDefault="00B31150">
            <w:r>
              <w:rPr>
                <w:sz w:val="17"/>
                <w:szCs w:val="17"/>
              </w:rPr>
              <w:t>Manually authored, per-chart guidance; not embedded as a generated, filter-responsive dashboard feature.</w:t>
            </w:r>
          </w:p>
        </w:tc>
      </w:tr>
      <w:tr w:rsidR="005C6B47" w14:paraId="271E383F" w14:textId="77777777">
        <w:tc>
          <w:tcPr>
            <w:tcW w:w="420" w:type="dxa"/>
            <w:shd w:val="clear" w:color="auto" w:fill="FFFFFF"/>
            <w:tcMar>
              <w:top w:w="60" w:type="dxa"/>
              <w:left w:w="80" w:type="dxa"/>
              <w:bottom w:w="60" w:type="dxa"/>
              <w:right w:w="80" w:type="dxa"/>
            </w:tcMar>
            <w:vAlign w:val="center"/>
          </w:tcPr>
          <w:p w14:paraId="0100C92B" w14:textId="77777777" w:rsidR="005C6B47" w:rsidRDefault="00B31150">
            <w:r>
              <w:rPr>
                <w:sz w:val="17"/>
                <w:szCs w:val="17"/>
              </w:rPr>
              <w:t>8</w:t>
            </w:r>
          </w:p>
        </w:tc>
        <w:tc>
          <w:tcPr>
            <w:tcW w:w="2350" w:type="dxa"/>
            <w:shd w:val="clear" w:color="auto" w:fill="FFFFFF"/>
            <w:tcMar>
              <w:top w:w="60" w:type="dxa"/>
              <w:left w:w="80" w:type="dxa"/>
              <w:bottom w:w="60" w:type="dxa"/>
              <w:right w:w="80" w:type="dxa"/>
            </w:tcMar>
            <w:vAlign w:val="center"/>
          </w:tcPr>
          <w:p w14:paraId="163214AC" w14:textId="77777777" w:rsidR="005C6B47" w:rsidRDefault="00B31150">
            <w:r>
              <w:rPr>
                <w:sz w:val="17"/>
                <w:szCs w:val="17"/>
              </w:rPr>
              <w:t>Bach et al., IEEE TVCG, 2022 [9]</w:t>
            </w:r>
          </w:p>
        </w:tc>
        <w:tc>
          <w:tcPr>
            <w:tcW w:w="3450" w:type="dxa"/>
            <w:shd w:val="clear" w:color="auto" w:fill="FFFFFF"/>
            <w:tcMar>
              <w:top w:w="60" w:type="dxa"/>
              <w:left w:w="80" w:type="dxa"/>
              <w:bottom w:w="60" w:type="dxa"/>
              <w:right w:w="80" w:type="dxa"/>
            </w:tcMar>
            <w:vAlign w:val="center"/>
          </w:tcPr>
          <w:p w14:paraId="1A4FB7BF" w14:textId="77777777" w:rsidR="005C6B47" w:rsidRDefault="00B31150">
            <w:r>
              <w:rPr>
                <w:sz w:val="17"/>
                <w:szCs w:val="17"/>
              </w:rPr>
              <w:t>Catalogue of recurring dashboard layout and interaction design patterns.</w:t>
            </w:r>
          </w:p>
        </w:tc>
        <w:tc>
          <w:tcPr>
            <w:tcW w:w="2880" w:type="dxa"/>
            <w:shd w:val="clear" w:color="auto" w:fill="FFFFFF"/>
            <w:tcMar>
              <w:top w:w="60" w:type="dxa"/>
              <w:left w:w="80" w:type="dxa"/>
              <w:bottom w:w="60" w:type="dxa"/>
              <w:right w:w="80" w:type="dxa"/>
            </w:tcMar>
            <w:vAlign w:val="center"/>
          </w:tcPr>
          <w:p w14:paraId="7F48CE45" w14:textId="77777777" w:rsidR="005C6B47" w:rsidRDefault="00B31150">
            <w:r>
              <w:rPr>
                <w:sz w:val="17"/>
                <w:szCs w:val="17"/>
              </w:rPr>
              <w:t>Documents patterns descriptively; does not couple them to a decision-narrative generation mechanism.</w:t>
            </w:r>
          </w:p>
        </w:tc>
      </w:tr>
    </w:tbl>
    <w:p w14:paraId="4D609ED4" w14:textId="77777777" w:rsidR="005C6B47" w:rsidRDefault="00B31150">
      <w:pPr>
        <w:spacing w:before="80" w:after="200"/>
        <w:jc w:val="center"/>
      </w:pPr>
      <w:r>
        <w:rPr>
          <w:i/>
          <w:iCs/>
          <w:sz w:val="18"/>
          <w:szCs w:val="18"/>
        </w:rPr>
        <w:t>Table 1. Comparison of representative related work and the specific limitation this project addresses.</w:t>
      </w:r>
    </w:p>
    <w:p w14:paraId="0EBA11F8" w14:textId="77777777" w:rsidR="005C6B47" w:rsidRDefault="00B31150">
      <w:pPr>
        <w:keepNext/>
        <w:spacing w:before="180" w:after="100"/>
      </w:pPr>
      <w:r>
        <w:rPr>
          <w:b/>
          <w:bCs/>
          <w:i/>
          <w:iCs/>
        </w:rPr>
        <w:t>2.7 Research Gap Summary</w:t>
      </w:r>
    </w:p>
    <w:p w14:paraId="1350209A" w14:textId="77777777" w:rsidR="005C6B47" w:rsidRDefault="00B31150">
      <w:pPr>
        <w:spacing w:after="140" w:line="252" w:lineRule="auto"/>
        <w:jc w:val="both"/>
      </w:pPr>
      <w:r>
        <w:rPr>
          <w:sz w:val="19"/>
          <w:szCs w:val="19"/>
        </w:rPr>
        <w:t>Taken together, the reviewed literature establishes strong principles for visual design, interaction, and narrative structure, but leaves a practical gap at the point where these three concerns meet: a dataset-aware dashboard that (i) integrates multiple, structurally different sales sources honestly, (ii) applies consistent KPI and filtering logic across them, and (iii) attaches an explicit, repeatable Finding → Meaning → Decision → Recommendation narrative to both descriptive visual analytics and decision-oriented analysis. This project's proposed methodology, described next, is designed specifically to close this gap at an implementation level appropriate for an undergraduate business analytics project.</w:t>
      </w:r>
    </w:p>
    <w:p w14:paraId="0C4D4050" w14:textId="77777777" w:rsidR="0001756B" w:rsidRDefault="009F3A69">
      <w:pPr>
        <w:keepNext/>
        <w:spacing w:before="180" w:after="100"/>
      </w:pPr>
      <w:r>
        <w:rPr>
          <w:b/>
          <w:bCs/>
          <w:i/>
          <w:iCs/>
        </w:rPr>
        <w:t>2.8 Sales Prediction, Regression-Based Forecasting, and Ensemble/Hybrid Machine Learning</w:t>
      </w:r>
    </w:p>
    <w:p w14:paraId="0AA8FA48" w14:textId="77777777" w:rsidR="0001756B" w:rsidRDefault="009F3A69">
      <w:pPr>
        <w:spacing w:after="140" w:line="252" w:lineRule="auto"/>
        <w:jc w:val="both"/>
      </w:pPr>
      <w:r>
        <w:rPr>
          <w:sz w:val="19"/>
          <w:szCs w:val="19"/>
        </w:rPr>
        <w:t>Because this project's scope now extends to comparative sales prediction (Section 3.11), this subsection reviews literature on regression-based forecasting and ensemble learning that was not part of the project's original data-storytelling literature survey; it is presented here as an additional, separately sourced body of literature rather than as part of the original survey.</w:t>
      </w:r>
    </w:p>
    <w:p w14:paraId="0F965EFF" w14:textId="77777777" w:rsidR="0001756B" w:rsidRDefault="009F3A69">
      <w:pPr>
        <w:spacing w:after="140" w:line="252" w:lineRule="auto"/>
        <w:jc w:val="both"/>
      </w:pPr>
      <w:r>
        <w:rPr>
          <w:sz w:val="19"/>
          <w:szCs w:val="19"/>
        </w:rPr>
        <w:t xml:space="preserve">Linear regression remains the standard baseline for structured, tabular prediction problems such as sales forecasting, and its assumptions and diagnostics are documented in classic regression texts such as Draper and Smith [34]. Decision-tree regressors, used as a second baseline in this project, trace back to the Classification and Regression Trees (CART) framework of Breiman, Friedman, </w:t>
      </w:r>
      <w:r>
        <w:rPr>
          <w:sz w:val="19"/>
          <w:szCs w:val="19"/>
        </w:rPr>
        <w:lastRenderedPageBreak/>
        <w:t>Olshen, and Stone [35], which recursively partitions the feature space to fit piecewise-constant predictions and remains the basis for most modern tree-based regressors, including the implementations used in this project.</w:t>
      </w:r>
    </w:p>
    <w:p w14:paraId="16C71104" w14:textId="77777777" w:rsidR="0001756B" w:rsidRDefault="009F3A69">
      <w:pPr>
        <w:spacing w:after="140" w:line="252" w:lineRule="auto"/>
        <w:jc w:val="both"/>
      </w:pPr>
      <w:r>
        <w:rPr>
          <w:sz w:val="19"/>
          <w:szCs w:val="19"/>
        </w:rPr>
        <w:t>Random Forest, the project's third baseline, was introduced by Breiman as an ensemble of decorrelated decision trees trained on bootstrap samples with random feature selection at each split, which reduces variance relative to a single tree while retaining its ability to model non-linear relationships [36]. Gradient Boosting, the fourth baseline, was formalised by Friedman as a stage-wise additive procedure that fits each new weak learner to the residual error of the current ensemble via gradient descent in function space, and remains, in its modern variants, one of the strongest performing approaches for structured, tabular prediction problems [37].</w:t>
      </w:r>
    </w:p>
    <w:p w14:paraId="6DE478A7" w14:textId="77777777" w:rsidR="0001756B" w:rsidRDefault="009F3A69">
      <w:pPr>
        <w:spacing w:after="140" w:line="252" w:lineRule="auto"/>
        <w:jc w:val="both"/>
      </w:pPr>
      <w:r>
        <w:rPr>
          <w:sz w:val="19"/>
          <w:szCs w:val="19"/>
        </w:rPr>
        <w:t>The project's proposed HSRE architecture (Section 3.11) is a stacking-based hybrid rather than a new base learning algorithm. Stacked generalization was introduced by Wolpert as a scheme in which the predictions of a set of base models are combined by a second-stage meta-learner trained on those predictions, rather than by a fixed voting or averaging rule [38], and Breiman's related stacked-regressions formulation specifically combines regression predictors using cross-validated, non-negatively constrained linear combinations to improve on the best single predictor [39]. These two papers are the direct methodological basis for treating the four baseline regressors' outputs as inputs to a meta-learner in the proposed HSRE.</w:t>
      </w:r>
    </w:p>
    <w:p w14:paraId="70F59354" w14:textId="77777777" w:rsidR="0001756B" w:rsidRDefault="009F3A69">
      <w:pPr>
        <w:spacing w:after="140" w:line="252" w:lineRule="auto"/>
        <w:jc w:val="both"/>
      </w:pPr>
      <w:r>
        <w:rPr>
          <w:sz w:val="19"/>
          <w:szCs w:val="19"/>
        </w:rPr>
        <w:t>Hybrid combinations of these specific baseline models have also been applied directly to retail sales and demand forecasting. Mitra et al. compared Random Forest, XGBoost, Gradient Boosting, AdaBoost, and an artificial neural network against a proposed hybrid RF-XGBoost-Linear Regression model for multi-channel retail demand forecasting, and found that the hybrid model outperformed each individual baseline across several accuracy metrics [40], a result structurally analogous to the baseline-versus-HSRE comparison this project reports in Section 5.13. Yüzbaşıoğlu's applied study similarly compared bagging-tree, random forest, and gradient-boosted regression trees against linear regression for short-term fashion-retail sales forecasting, finding that the random forest regressor performed best among the individual models considered [41]. Together, these two studies confirm both that the four baseline model families selected for this project are an established, literature-grounded choice for retail sales prediction, and that combining them in a hybrid or stacked architecture is a reasonable, precedented direction rather than an arbitrary design choice.</w:t>
      </w:r>
    </w:p>
    <w:p w14:paraId="1821F6AD" w14:textId="77777777" w:rsidR="0001756B" w:rsidRDefault="009F3A69">
      <w:pPr>
        <w:spacing w:after="140" w:line="252" w:lineRule="auto"/>
        <w:jc w:val="both"/>
      </w:pPr>
      <w:r>
        <w:rPr>
          <w:sz w:val="19"/>
          <w:szCs w:val="19"/>
        </w:rPr>
        <w:t>On the implementation side, the project's baseline and HSRE models are built using Scikit-learn, the general-purpose Python machine-learning library documented by Pedregosa et al. [42], which provides the regression estimators, train/test splitting utilities, and evaluation metrics used in Sections 3.11 and 4.8.</w:t>
      </w:r>
    </w:p>
    <w:p w14:paraId="03FF6EB1" w14:textId="77777777" w:rsidR="005C6B47" w:rsidRDefault="00B31150">
      <w:pPr>
        <w:keepNext/>
        <w:spacing w:before="260" w:after="120"/>
      </w:pPr>
      <w:r>
        <w:rPr>
          <w:b/>
          <w:bCs/>
          <w:color w:val="1F3864"/>
          <w:sz w:val="21"/>
          <w:szCs w:val="21"/>
        </w:rPr>
        <w:t>3. PROPOSED METHODOLOGY</w:t>
      </w:r>
    </w:p>
    <w:p w14:paraId="79463F5C" w14:textId="77777777" w:rsidR="005C6B47" w:rsidRDefault="00B31150">
      <w:pPr>
        <w:keepNext/>
        <w:spacing w:before="180" w:after="100"/>
      </w:pPr>
      <w:r>
        <w:rPr>
          <w:b/>
          <w:bCs/>
          <w:i/>
          <w:iCs/>
        </w:rPr>
        <w:t>3.1 Overall Framework</w:t>
      </w:r>
    </w:p>
    <w:p w14:paraId="16F99C11" w14:textId="77777777" w:rsidR="005C6B47" w:rsidRDefault="00B31150">
      <w:pPr>
        <w:spacing w:after="140" w:line="252" w:lineRule="auto"/>
        <w:jc w:val="both"/>
      </w:pPr>
      <w:r>
        <w:rPr>
          <w:sz w:val="19"/>
          <w:szCs w:val="19"/>
        </w:rPr>
        <w:t>The proposed system follows an eight-stage pipeline: Data Loading → Data Preprocessing → Feature Engineering → KPI Analysis → Interactive Filtering → Data Visualization → Data Storytelling → Decision Analytics. Each dataset flows through the same pipeline independently; the dashboard does not merge the four datasets into a single combined table, since doing so would either discard dataset-specific fields (such as customer identifiers, which are not present in the Online Sales dataset) or require inventing values that do not exist in the source data. Instead, the dataset selector at the top of the dashboard determines which dataset's cleaned, feature-engineered table is used to drive the KPI cards, charts, filters, and narrative sections shown below it. Figure 1 illustrates this overall framework.</w:t>
      </w: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5C6B47" w14:paraId="6CEB8C67" w14:textId="77777777">
        <w:trPr>
          <w:jc w:val="center"/>
        </w:trPr>
        <w:tc>
          <w:tcPr>
            <w:tcW w:w="0" w:type="auto"/>
          </w:tcPr>
          <w:p w14:paraId="00E50488" w14:textId="77777777" w:rsidR="005C6B47" w:rsidRDefault="005C6B47">
            <w:pPr>
              <w:jc w:val="center"/>
            </w:pPr>
          </w:p>
        </w:tc>
      </w:tr>
      <w:tr w:rsidR="005C6B47" w14:paraId="085D5CCC" w14:textId="77777777">
        <w:trPr>
          <w:jc w:val="center"/>
        </w:trPr>
        <w:tc>
          <w:tcPr>
            <w:tcW w:w="0" w:type="auto"/>
          </w:tcPr>
          <w:p w14:paraId="237631B3" w14:textId="77777777" w:rsidR="005C6B47" w:rsidRDefault="005C6B47">
            <w:pPr>
              <w:jc w:val="center"/>
            </w:pPr>
          </w:p>
        </w:tc>
      </w:tr>
      <w:tr w:rsidR="005C6B47" w14:paraId="0A1BA49B" w14:textId="77777777">
        <w:trPr>
          <w:jc w:val="center"/>
        </w:trPr>
        <w:tc>
          <w:tcPr>
            <w:tcW w:w="0" w:type="auto"/>
            <w:tcMar>
              <w:top w:w="200" w:type="dxa"/>
              <w:left w:w="150" w:type="dxa"/>
              <w:bottom w:w="200" w:type="dxa"/>
              <w:right w:w="150" w:type="dxa"/>
            </w:tcMar>
          </w:tcPr>
          <w:p w14:paraId="00BDBD81" w14:textId="013DA714" w:rsidR="005C6B47" w:rsidRDefault="003910A7">
            <w:pPr>
              <w:jc w:val="center"/>
            </w:pPr>
            <w:r w:rsidRPr="003910A7">
              <w:rPr>
                <w:noProof/>
              </w:rPr>
              <w:lastRenderedPageBreak/>
              <w:drawing>
                <wp:inline distT="0" distB="0" distL="0" distR="0" wp14:anchorId="353F5161" wp14:editId="5921C909">
                  <wp:extent cx="6400800" cy="4267200"/>
                  <wp:effectExtent l="0" t="0" r="0" b="0"/>
                  <wp:docPr id="5" name="Content Placeholder 10">
                    <a:extLst xmlns:a="http://schemas.openxmlformats.org/drawingml/2006/main">
                      <a:ext uri="{FF2B5EF4-FFF2-40B4-BE49-F238E27FC236}">
                        <a16:creationId xmlns:a16="http://schemas.microsoft.com/office/drawing/2014/main" id="{CC9E4246-F2E7-8465-1342-4C3AA60E4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10">
                            <a:extLst>
                              <a:ext uri="{FF2B5EF4-FFF2-40B4-BE49-F238E27FC236}">
                                <a16:creationId xmlns:a16="http://schemas.microsoft.com/office/drawing/2014/main" id="{CC9E4246-F2E7-8465-1342-4C3AA60E494B}"/>
                              </a:ext>
                            </a:extLst>
                          </pic:cNvPr>
                          <pic:cNvPicPr>
                            <a:picLocks noChangeAspect="1"/>
                          </pic:cNvPicPr>
                        </pic:nvPicPr>
                        <pic:blipFill>
                          <a:blip r:embed="rId8"/>
                          <a:stretch>
                            <a:fillRect/>
                          </a:stretch>
                        </pic:blipFill>
                        <pic:spPr>
                          <a:xfrm>
                            <a:off x="0" y="0"/>
                            <a:ext cx="6400800" cy="4267200"/>
                          </a:xfrm>
                          <a:prstGeom prst="rect">
                            <a:avLst/>
                          </a:prstGeom>
                        </pic:spPr>
                      </pic:pic>
                    </a:graphicData>
                  </a:graphic>
                </wp:inline>
              </w:drawing>
            </w:r>
          </w:p>
        </w:tc>
      </w:tr>
    </w:tbl>
    <w:p w14:paraId="61867E43" w14:textId="77777777" w:rsidR="005C6B47" w:rsidRDefault="00B31150">
      <w:pPr>
        <w:spacing w:before="80" w:after="200"/>
        <w:jc w:val="center"/>
      </w:pPr>
      <w:r>
        <w:rPr>
          <w:i/>
          <w:iCs/>
          <w:sz w:val="18"/>
          <w:szCs w:val="18"/>
        </w:rPr>
        <w:t>Fig. 1. Overall system framework, showing the eight-stage pipeline from data loading to decision analytics.</w:t>
      </w:r>
    </w:p>
    <w:p w14:paraId="7FA6BF45" w14:textId="77777777" w:rsidR="005C6B47" w:rsidRDefault="00B31150">
      <w:pPr>
        <w:keepNext/>
        <w:spacing w:before="180" w:after="100"/>
      </w:pPr>
      <w:r>
        <w:rPr>
          <w:b/>
          <w:bCs/>
          <w:i/>
          <w:iCs/>
        </w:rPr>
        <w:t>3.2 Novelty of the Proposed Framework</w:t>
      </w:r>
    </w:p>
    <w:p w14:paraId="3B04A404" w14:textId="77777777" w:rsidR="005C6B47" w:rsidRDefault="00B31150">
      <w:pPr>
        <w:spacing w:after="140" w:line="252" w:lineRule="auto"/>
        <w:jc w:val="both"/>
      </w:pPr>
      <w:r>
        <w:rPr>
          <w:sz w:val="19"/>
          <w:szCs w:val="19"/>
        </w:rPr>
        <w:t>Relative to the literature reviewed in Section 2, the novel step in this pipeline is not any single stage in isolation — preprocessing, KPI computation, and charting are individually standard practice — but the combination of two design choices that the reviewed dashboard and BI&amp;A literature does not combine. First, filters, derived features, and available KPIs are computed as a function of which dataset is active (dataset-aware filtering), so a structurally different source such as Online Sales never displays a fabricated or empty year filter; existing dashboard frameworks [3], [7], [9] generally assume a single, fixed schema and do not describe this behaviour. Second, the dashboard couples every filtered view to a live, rule-based Finding → Meaning → Decision → Recommendation narrative that regenerates automatically whenever the dataset, year, category, region, or segment filter changes, rather than the manually authored, static narrative typical of narrative-visualization research [1], [2] or the purely visual dashboards described by Few and Sarikaya et al. [3], [7]. This “live storytelling” mechanism, implemented as a small rule-based narrative-generation module inside the Flask backend (Section 4.2), is the specific innovation step of the system architecture, and it is what allows Section 5.9–5.10 to show a Finding → Meaning → Decision → Recommendation narrative that changes correctly when the underlying filter selection changes.</w:t>
      </w:r>
    </w:p>
    <w:p w14:paraId="3C15014C" w14:textId="77777777" w:rsidR="005C6B47" w:rsidRDefault="00B31150">
      <w:pPr>
        <w:keepNext/>
        <w:spacing w:before="180" w:after="100"/>
      </w:pPr>
      <w:r>
        <w:rPr>
          <w:b/>
          <w:bCs/>
          <w:i/>
          <w:iCs/>
        </w:rPr>
        <w:t>3.3 Dataset Description</w:t>
      </w:r>
    </w:p>
    <w:p w14:paraId="0CDFA444" w14:textId="77777777" w:rsidR="005C6B47" w:rsidRDefault="00B31150">
      <w:pPr>
        <w:spacing w:after="140" w:line="252" w:lineRule="auto"/>
        <w:jc w:val="both"/>
      </w:pPr>
      <w:r>
        <w:rPr>
          <w:sz w:val="19"/>
          <w:szCs w:val="19"/>
        </w:rPr>
        <w:t>Four retail/e-commerce sales datasets were used. Table 2 summarises their scope and known constraints. All four datasets contain order-level or transaction-level sales records; however, they differ in the categories, geographic fields, customer identifiers, and date information they provide, and these differences are preserved rather than normalised away.</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1500"/>
        <w:gridCol w:w="1700"/>
        <w:gridCol w:w="1400"/>
      </w:tblGrid>
      <w:tr w:rsidR="005C6B47" w14:paraId="66CA4B99" w14:textId="77777777">
        <w:trPr>
          <w:tblHeader/>
        </w:trPr>
        <w:tc>
          <w:tcPr>
            <w:tcW w:w="1900" w:type="dxa"/>
            <w:shd w:val="clear" w:color="auto" w:fill="1F3864"/>
            <w:tcMar>
              <w:top w:w="60" w:type="dxa"/>
              <w:left w:w="80" w:type="dxa"/>
              <w:bottom w:w="60" w:type="dxa"/>
              <w:right w:w="80" w:type="dxa"/>
            </w:tcMar>
            <w:vAlign w:val="center"/>
          </w:tcPr>
          <w:p w14:paraId="7AAD8E81" w14:textId="77777777" w:rsidR="005C6B47" w:rsidRDefault="00B31150">
            <w:pPr>
              <w:jc w:val="center"/>
            </w:pPr>
            <w:r>
              <w:rPr>
                <w:b/>
                <w:bCs/>
                <w:color w:val="FFFFFF"/>
                <w:sz w:val="17"/>
                <w:szCs w:val="17"/>
              </w:rPr>
              <w:t>Dataset</w:t>
            </w:r>
          </w:p>
        </w:tc>
        <w:tc>
          <w:tcPr>
            <w:tcW w:w="2600" w:type="dxa"/>
            <w:shd w:val="clear" w:color="auto" w:fill="1F3864"/>
            <w:tcMar>
              <w:top w:w="60" w:type="dxa"/>
              <w:left w:w="80" w:type="dxa"/>
              <w:bottom w:w="60" w:type="dxa"/>
              <w:right w:w="80" w:type="dxa"/>
            </w:tcMar>
            <w:vAlign w:val="center"/>
          </w:tcPr>
          <w:p w14:paraId="6F40E7D7" w14:textId="77777777" w:rsidR="005C6B47" w:rsidRDefault="00B31150">
            <w:pPr>
              <w:jc w:val="center"/>
            </w:pPr>
            <w:r>
              <w:rPr>
                <w:b/>
                <w:bCs/>
                <w:color w:val="FFFFFF"/>
                <w:sz w:val="17"/>
                <w:szCs w:val="17"/>
              </w:rPr>
              <w:t>Typical Category Fields</w:t>
            </w:r>
          </w:p>
        </w:tc>
        <w:tc>
          <w:tcPr>
            <w:tcW w:w="1500" w:type="dxa"/>
            <w:shd w:val="clear" w:color="auto" w:fill="1F3864"/>
            <w:tcMar>
              <w:top w:w="60" w:type="dxa"/>
              <w:left w:w="80" w:type="dxa"/>
              <w:bottom w:w="60" w:type="dxa"/>
              <w:right w:w="80" w:type="dxa"/>
            </w:tcMar>
            <w:vAlign w:val="center"/>
          </w:tcPr>
          <w:p w14:paraId="280B2269" w14:textId="77777777" w:rsidR="005C6B47" w:rsidRDefault="00B31150">
            <w:pPr>
              <w:jc w:val="center"/>
            </w:pPr>
            <w:r>
              <w:rPr>
                <w:b/>
                <w:bCs/>
                <w:color w:val="FFFFFF"/>
                <w:sz w:val="17"/>
                <w:szCs w:val="17"/>
              </w:rPr>
              <w:t>Date Field</w:t>
            </w:r>
          </w:p>
        </w:tc>
        <w:tc>
          <w:tcPr>
            <w:tcW w:w="1700" w:type="dxa"/>
            <w:shd w:val="clear" w:color="auto" w:fill="1F3864"/>
            <w:tcMar>
              <w:top w:w="60" w:type="dxa"/>
              <w:left w:w="80" w:type="dxa"/>
              <w:bottom w:w="60" w:type="dxa"/>
              <w:right w:w="80" w:type="dxa"/>
            </w:tcMar>
            <w:vAlign w:val="center"/>
          </w:tcPr>
          <w:p w14:paraId="4E33E0FF" w14:textId="77777777" w:rsidR="005C6B47" w:rsidRDefault="00B31150">
            <w:pPr>
              <w:jc w:val="center"/>
            </w:pPr>
            <w:r>
              <w:rPr>
                <w:b/>
                <w:bCs/>
                <w:color w:val="FFFFFF"/>
                <w:sz w:val="17"/>
                <w:szCs w:val="17"/>
              </w:rPr>
              <w:t>Customer Identifier</w:t>
            </w:r>
          </w:p>
        </w:tc>
        <w:tc>
          <w:tcPr>
            <w:tcW w:w="1400" w:type="dxa"/>
            <w:shd w:val="clear" w:color="auto" w:fill="1F3864"/>
            <w:tcMar>
              <w:top w:w="60" w:type="dxa"/>
              <w:left w:w="80" w:type="dxa"/>
              <w:bottom w:w="60" w:type="dxa"/>
              <w:right w:w="80" w:type="dxa"/>
            </w:tcMar>
            <w:vAlign w:val="center"/>
          </w:tcPr>
          <w:p w14:paraId="374B8216" w14:textId="77777777" w:rsidR="005C6B47" w:rsidRDefault="00B31150">
            <w:pPr>
              <w:jc w:val="center"/>
            </w:pPr>
            <w:r>
              <w:rPr>
                <w:b/>
                <w:bCs/>
                <w:color w:val="FFFFFF"/>
                <w:sz w:val="17"/>
                <w:szCs w:val="17"/>
              </w:rPr>
              <w:t>Notes</w:t>
            </w:r>
          </w:p>
        </w:tc>
      </w:tr>
      <w:tr w:rsidR="005C6B47" w14:paraId="5C8BDA49" w14:textId="77777777">
        <w:tc>
          <w:tcPr>
            <w:tcW w:w="1900" w:type="dxa"/>
            <w:shd w:val="clear" w:color="auto" w:fill="FFFFFF"/>
            <w:tcMar>
              <w:top w:w="60" w:type="dxa"/>
              <w:left w:w="80" w:type="dxa"/>
              <w:bottom w:w="60" w:type="dxa"/>
              <w:right w:w="80" w:type="dxa"/>
            </w:tcMar>
            <w:vAlign w:val="center"/>
          </w:tcPr>
          <w:p w14:paraId="79C322F7" w14:textId="77777777" w:rsidR="005C6B47" w:rsidRDefault="00B31150">
            <w:r>
              <w:rPr>
                <w:sz w:val="17"/>
                <w:szCs w:val="17"/>
              </w:rPr>
              <w:t>Superstore</w:t>
            </w:r>
          </w:p>
        </w:tc>
        <w:tc>
          <w:tcPr>
            <w:tcW w:w="2600" w:type="dxa"/>
            <w:shd w:val="clear" w:color="auto" w:fill="FFFFFF"/>
            <w:tcMar>
              <w:top w:w="60" w:type="dxa"/>
              <w:left w:w="80" w:type="dxa"/>
              <w:bottom w:w="60" w:type="dxa"/>
              <w:right w:w="80" w:type="dxa"/>
            </w:tcMar>
            <w:vAlign w:val="center"/>
          </w:tcPr>
          <w:p w14:paraId="4E215DA2" w14:textId="77777777" w:rsidR="005C6B47" w:rsidRDefault="00B31150">
            <w:r>
              <w:rPr>
                <w:sz w:val="17"/>
                <w:szCs w:val="17"/>
              </w:rPr>
              <w:t>Furniture, Office Supplies, Technology</w:t>
            </w:r>
          </w:p>
        </w:tc>
        <w:tc>
          <w:tcPr>
            <w:tcW w:w="1500" w:type="dxa"/>
            <w:shd w:val="clear" w:color="auto" w:fill="FFFFFF"/>
            <w:tcMar>
              <w:top w:w="60" w:type="dxa"/>
              <w:left w:w="80" w:type="dxa"/>
              <w:bottom w:w="60" w:type="dxa"/>
              <w:right w:w="80" w:type="dxa"/>
            </w:tcMar>
            <w:vAlign w:val="center"/>
          </w:tcPr>
          <w:p w14:paraId="7111EC16" w14:textId="77777777" w:rsidR="005C6B47" w:rsidRDefault="00B31150">
            <w:r>
              <w:rPr>
                <w:sz w:val="17"/>
                <w:szCs w:val="17"/>
              </w:rPr>
              <w:t>Available</w:t>
            </w:r>
          </w:p>
        </w:tc>
        <w:tc>
          <w:tcPr>
            <w:tcW w:w="1700" w:type="dxa"/>
            <w:shd w:val="clear" w:color="auto" w:fill="FFFFFF"/>
            <w:tcMar>
              <w:top w:w="60" w:type="dxa"/>
              <w:left w:w="80" w:type="dxa"/>
              <w:bottom w:w="60" w:type="dxa"/>
              <w:right w:w="80" w:type="dxa"/>
            </w:tcMar>
            <w:vAlign w:val="center"/>
          </w:tcPr>
          <w:p w14:paraId="579AF8D5" w14:textId="77777777" w:rsidR="005C6B47" w:rsidRDefault="00B31150">
            <w:r>
              <w:rPr>
                <w:sz w:val="17"/>
                <w:szCs w:val="17"/>
              </w:rPr>
              <w:t>Available</w:t>
            </w:r>
          </w:p>
        </w:tc>
        <w:tc>
          <w:tcPr>
            <w:tcW w:w="1400" w:type="dxa"/>
            <w:shd w:val="clear" w:color="auto" w:fill="FFFFFF"/>
            <w:tcMar>
              <w:top w:w="60" w:type="dxa"/>
              <w:left w:w="80" w:type="dxa"/>
              <w:bottom w:w="60" w:type="dxa"/>
              <w:right w:w="80" w:type="dxa"/>
            </w:tcMar>
            <w:vAlign w:val="center"/>
          </w:tcPr>
          <w:p w14:paraId="6F48F27F" w14:textId="77777777" w:rsidR="005C6B47" w:rsidRDefault="00B31150">
            <w:r>
              <w:rPr>
                <w:sz w:val="17"/>
                <w:szCs w:val="17"/>
              </w:rPr>
              <w:t>Standard US retail order-level dataset used for order/regional analysis.</w:t>
            </w:r>
          </w:p>
        </w:tc>
      </w:tr>
      <w:tr w:rsidR="005C6B47" w14:paraId="67F79761" w14:textId="77777777">
        <w:tc>
          <w:tcPr>
            <w:tcW w:w="1900" w:type="dxa"/>
            <w:shd w:val="clear" w:color="auto" w:fill="FFFFFF"/>
            <w:tcMar>
              <w:top w:w="60" w:type="dxa"/>
              <w:left w:w="80" w:type="dxa"/>
              <w:bottom w:w="60" w:type="dxa"/>
              <w:right w:w="80" w:type="dxa"/>
            </w:tcMar>
            <w:vAlign w:val="center"/>
          </w:tcPr>
          <w:p w14:paraId="7C420EF0" w14:textId="77777777" w:rsidR="005C6B47" w:rsidRDefault="00B31150">
            <w:r>
              <w:rPr>
                <w:sz w:val="17"/>
                <w:szCs w:val="17"/>
              </w:rPr>
              <w:lastRenderedPageBreak/>
              <w:t>Global Superstore</w:t>
            </w:r>
          </w:p>
        </w:tc>
        <w:tc>
          <w:tcPr>
            <w:tcW w:w="2600" w:type="dxa"/>
            <w:shd w:val="clear" w:color="auto" w:fill="FFFFFF"/>
            <w:tcMar>
              <w:top w:w="60" w:type="dxa"/>
              <w:left w:w="80" w:type="dxa"/>
              <w:bottom w:w="60" w:type="dxa"/>
              <w:right w:w="80" w:type="dxa"/>
            </w:tcMar>
            <w:vAlign w:val="center"/>
          </w:tcPr>
          <w:p w14:paraId="0D440706" w14:textId="77777777" w:rsidR="005C6B47" w:rsidRDefault="00B31150">
            <w:r>
              <w:rPr>
                <w:sz w:val="17"/>
                <w:szCs w:val="17"/>
              </w:rPr>
              <w:t>Furniture, Office Supplies, Technology</w:t>
            </w:r>
          </w:p>
        </w:tc>
        <w:tc>
          <w:tcPr>
            <w:tcW w:w="1500" w:type="dxa"/>
            <w:shd w:val="clear" w:color="auto" w:fill="FFFFFF"/>
            <w:tcMar>
              <w:top w:w="60" w:type="dxa"/>
              <w:left w:w="80" w:type="dxa"/>
              <w:bottom w:w="60" w:type="dxa"/>
              <w:right w:w="80" w:type="dxa"/>
            </w:tcMar>
            <w:vAlign w:val="center"/>
          </w:tcPr>
          <w:p w14:paraId="05CE3225" w14:textId="77777777" w:rsidR="005C6B47" w:rsidRDefault="00B31150">
            <w:r>
              <w:rPr>
                <w:sz w:val="17"/>
                <w:szCs w:val="17"/>
              </w:rPr>
              <w:t>Available</w:t>
            </w:r>
          </w:p>
        </w:tc>
        <w:tc>
          <w:tcPr>
            <w:tcW w:w="1700" w:type="dxa"/>
            <w:shd w:val="clear" w:color="auto" w:fill="FFFFFF"/>
            <w:tcMar>
              <w:top w:w="60" w:type="dxa"/>
              <w:left w:w="80" w:type="dxa"/>
              <w:bottom w:w="60" w:type="dxa"/>
              <w:right w:w="80" w:type="dxa"/>
            </w:tcMar>
            <w:vAlign w:val="center"/>
          </w:tcPr>
          <w:p w14:paraId="52667B6C" w14:textId="77777777" w:rsidR="005C6B47" w:rsidRDefault="00B31150">
            <w:r>
              <w:rPr>
                <w:sz w:val="17"/>
                <w:szCs w:val="17"/>
              </w:rPr>
              <w:t>Available</w:t>
            </w:r>
          </w:p>
        </w:tc>
        <w:tc>
          <w:tcPr>
            <w:tcW w:w="1400" w:type="dxa"/>
            <w:shd w:val="clear" w:color="auto" w:fill="FFFFFF"/>
            <w:tcMar>
              <w:top w:w="60" w:type="dxa"/>
              <w:left w:w="80" w:type="dxa"/>
              <w:bottom w:w="60" w:type="dxa"/>
              <w:right w:w="80" w:type="dxa"/>
            </w:tcMar>
            <w:vAlign w:val="center"/>
          </w:tcPr>
          <w:p w14:paraId="4099D11A" w14:textId="77777777" w:rsidR="005C6B47" w:rsidRDefault="00B31150">
            <w:r>
              <w:rPr>
                <w:sz w:val="17"/>
                <w:szCs w:val="17"/>
              </w:rPr>
              <w:t>Global extension of the Superstore schema with a larger customer base.</w:t>
            </w:r>
          </w:p>
        </w:tc>
      </w:tr>
      <w:tr w:rsidR="005C6B47" w14:paraId="194DC05C" w14:textId="77777777">
        <w:tc>
          <w:tcPr>
            <w:tcW w:w="1900" w:type="dxa"/>
            <w:shd w:val="clear" w:color="auto" w:fill="FFFFFF"/>
            <w:tcMar>
              <w:top w:w="60" w:type="dxa"/>
              <w:left w:w="80" w:type="dxa"/>
              <w:bottom w:w="60" w:type="dxa"/>
              <w:right w:w="80" w:type="dxa"/>
            </w:tcMar>
            <w:vAlign w:val="center"/>
          </w:tcPr>
          <w:p w14:paraId="20774247" w14:textId="77777777" w:rsidR="005C6B47" w:rsidRDefault="00B31150">
            <w:r>
              <w:rPr>
                <w:sz w:val="17"/>
                <w:szCs w:val="17"/>
              </w:rPr>
              <w:t>Online Sales</w:t>
            </w:r>
          </w:p>
        </w:tc>
        <w:tc>
          <w:tcPr>
            <w:tcW w:w="2600" w:type="dxa"/>
            <w:shd w:val="clear" w:color="auto" w:fill="FFFFFF"/>
            <w:tcMar>
              <w:top w:w="60" w:type="dxa"/>
              <w:left w:w="80" w:type="dxa"/>
              <w:bottom w:w="60" w:type="dxa"/>
              <w:right w:w="80" w:type="dxa"/>
            </w:tcMar>
            <w:vAlign w:val="center"/>
          </w:tcPr>
          <w:p w14:paraId="1A364FB3" w14:textId="77777777" w:rsidR="005C6B47" w:rsidRDefault="00B31150">
            <w:r>
              <w:rPr>
                <w:sz w:val="17"/>
                <w:szCs w:val="17"/>
              </w:rPr>
              <w:t>Electronics, Furniture, Clothing</w:t>
            </w:r>
          </w:p>
        </w:tc>
        <w:tc>
          <w:tcPr>
            <w:tcW w:w="1500" w:type="dxa"/>
            <w:shd w:val="clear" w:color="auto" w:fill="FFFFFF"/>
            <w:tcMar>
              <w:top w:w="60" w:type="dxa"/>
              <w:left w:w="80" w:type="dxa"/>
              <w:bottom w:w="60" w:type="dxa"/>
              <w:right w:w="80" w:type="dxa"/>
            </w:tcMar>
            <w:vAlign w:val="center"/>
          </w:tcPr>
          <w:p w14:paraId="309C3875" w14:textId="77777777" w:rsidR="005C6B47" w:rsidRDefault="00B31150">
            <w:r>
              <w:rPr>
                <w:sz w:val="17"/>
                <w:szCs w:val="17"/>
              </w:rPr>
              <w:t>Not available</w:t>
            </w:r>
          </w:p>
        </w:tc>
        <w:tc>
          <w:tcPr>
            <w:tcW w:w="1700" w:type="dxa"/>
            <w:shd w:val="clear" w:color="auto" w:fill="FFFFFF"/>
            <w:tcMar>
              <w:top w:w="60" w:type="dxa"/>
              <w:left w:w="80" w:type="dxa"/>
              <w:bottom w:w="60" w:type="dxa"/>
              <w:right w:w="80" w:type="dxa"/>
            </w:tcMar>
            <w:vAlign w:val="center"/>
          </w:tcPr>
          <w:p w14:paraId="742E9D58" w14:textId="77777777" w:rsidR="005C6B47" w:rsidRDefault="00B31150">
            <w:r>
              <w:rPr>
                <w:sz w:val="17"/>
                <w:szCs w:val="17"/>
              </w:rPr>
              <w:t>Not available</w:t>
            </w:r>
          </w:p>
        </w:tc>
        <w:tc>
          <w:tcPr>
            <w:tcW w:w="1400" w:type="dxa"/>
            <w:shd w:val="clear" w:color="auto" w:fill="FFFFFF"/>
            <w:tcMar>
              <w:top w:w="60" w:type="dxa"/>
              <w:left w:w="80" w:type="dxa"/>
              <w:bottom w:w="60" w:type="dxa"/>
              <w:right w:w="80" w:type="dxa"/>
            </w:tcMar>
            <w:vAlign w:val="center"/>
          </w:tcPr>
          <w:p w14:paraId="3B5725B1" w14:textId="77777777" w:rsidR="005C6B47" w:rsidRDefault="00B31150">
            <w:r>
              <w:rPr>
                <w:sz w:val="17"/>
                <w:szCs w:val="17"/>
              </w:rPr>
              <w:t>Uses ‘Amount’ for sales value, normalised to the dashboard ‘Sales’ field; no year-wise trend view.</w:t>
            </w:r>
          </w:p>
        </w:tc>
      </w:tr>
      <w:tr w:rsidR="005C6B47" w14:paraId="03E5922B" w14:textId="77777777">
        <w:tc>
          <w:tcPr>
            <w:tcW w:w="1900" w:type="dxa"/>
            <w:shd w:val="clear" w:color="auto" w:fill="FFFFFF"/>
            <w:tcMar>
              <w:top w:w="60" w:type="dxa"/>
              <w:left w:w="80" w:type="dxa"/>
              <w:bottom w:w="60" w:type="dxa"/>
              <w:right w:w="80" w:type="dxa"/>
            </w:tcMar>
            <w:vAlign w:val="center"/>
          </w:tcPr>
          <w:p w14:paraId="56D940B8" w14:textId="77777777" w:rsidR="005C6B47" w:rsidRDefault="00B31150">
            <w:r>
              <w:rPr>
                <w:sz w:val="17"/>
                <w:szCs w:val="17"/>
              </w:rPr>
              <w:t>Supermarket Dataset</w:t>
            </w:r>
          </w:p>
        </w:tc>
        <w:tc>
          <w:tcPr>
            <w:tcW w:w="2600" w:type="dxa"/>
            <w:shd w:val="clear" w:color="auto" w:fill="FFFFFF"/>
            <w:tcMar>
              <w:top w:w="60" w:type="dxa"/>
              <w:left w:w="80" w:type="dxa"/>
              <w:bottom w:w="60" w:type="dxa"/>
              <w:right w:w="80" w:type="dxa"/>
            </w:tcMar>
            <w:vAlign w:val="center"/>
          </w:tcPr>
          <w:p w14:paraId="6794AEA1" w14:textId="77777777" w:rsidR="005C6B47" w:rsidRDefault="00B31150">
            <w:r>
              <w:rPr>
                <w:sz w:val="17"/>
                <w:szCs w:val="17"/>
              </w:rPr>
              <w:t>Furniture, Office Supplies, Technology</w:t>
            </w:r>
          </w:p>
        </w:tc>
        <w:tc>
          <w:tcPr>
            <w:tcW w:w="1500" w:type="dxa"/>
            <w:shd w:val="clear" w:color="auto" w:fill="FFFFFF"/>
            <w:tcMar>
              <w:top w:w="60" w:type="dxa"/>
              <w:left w:w="80" w:type="dxa"/>
              <w:bottom w:w="60" w:type="dxa"/>
              <w:right w:w="80" w:type="dxa"/>
            </w:tcMar>
            <w:vAlign w:val="center"/>
          </w:tcPr>
          <w:p w14:paraId="4DFC43E2" w14:textId="77777777" w:rsidR="005C6B47" w:rsidRDefault="00B31150">
            <w:r>
              <w:rPr>
                <w:sz w:val="17"/>
                <w:szCs w:val="17"/>
              </w:rPr>
              <w:t>Available (dataset-dependent)</w:t>
            </w:r>
          </w:p>
        </w:tc>
        <w:tc>
          <w:tcPr>
            <w:tcW w:w="1700" w:type="dxa"/>
            <w:shd w:val="clear" w:color="auto" w:fill="FFFFFF"/>
            <w:tcMar>
              <w:top w:w="60" w:type="dxa"/>
              <w:left w:w="80" w:type="dxa"/>
              <w:bottom w:w="60" w:type="dxa"/>
              <w:right w:w="80" w:type="dxa"/>
            </w:tcMar>
            <w:vAlign w:val="center"/>
          </w:tcPr>
          <w:p w14:paraId="61C5166F" w14:textId="77777777" w:rsidR="005C6B47" w:rsidRDefault="00B31150">
            <w:r>
              <w:rPr>
                <w:sz w:val="17"/>
                <w:szCs w:val="17"/>
              </w:rPr>
              <w:t>Partially available</w:t>
            </w:r>
          </w:p>
        </w:tc>
        <w:tc>
          <w:tcPr>
            <w:tcW w:w="1400" w:type="dxa"/>
            <w:shd w:val="clear" w:color="auto" w:fill="FFFFFF"/>
            <w:tcMar>
              <w:top w:w="60" w:type="dxa"/>
              <w:left w:w="80" w:type="dxa"/>
              <w:bottom w:w="60" w:type="dxa"/>
              <w:right w:w="80" w:type="dxa"/>
            </w:tcMar>
            <w:vAlign w:val="center"/>
          </w:tcPr>
          <w:p w14:paraId="60FA784A" w14:textId="77777777" w:rsidR="005C6B47" w:rsidRDefault="00B31150">
            <w:r>
              <w:rPr>
                <w:sz w:val="17"/>
                <w:szCs w:val="17"/>
              </w:rPr>
              <w:t>Grocery/retail-style dataset used primarily for category and profitability analysis.</w:t>
            </w:r>
          </w:p>
        </w:tc>
      </w:tr>
    </w:tbl>
    <w:p w14:paraId="19252296" w14:textId="77777777" w:rsidR="005C6B47" w:rsidRDefault="00B31150">
      <w:pPr>
        <w:spacing w:before="80" w:after="200"/>
        <w:jc w:val="center"/>
      </w:pPr>
      <w:r>
        <w:rPr>
          <w:i/>
          <w:iCs/>
          <w:sz w:val="18"/>
          <w:szCs w:val="18"/>
        </w:rPr>
        <w:t>Table 2. Summary of the four datasets integrated into the dashboard.</w:t>
      </w:r>
    </w:p>
    <w:p w14:paraId="40AC995A" w14:textId="77777777" w:rsidR="005C6B47" w:rsidRDefault="00B31150">
      <w:pPr>
        <w:spacing w:after="140" w:line="252" w:lineRule="auto"/>
        <w:jc w:val="both"/>
      </w:pPr>
      <w:r>
        <w:rPr>
          <w:sz w:val="19"/>
          <w:szCs w:val="19"/>
        </w:rPr>
        <w:t>As a concrete illustration of dataset scale, Table 3 reports the exact figures returned by the dashboard for the Superstore dataset when filtered to the Furniture category (all years, all regions, all segments), captured directly from the running application and shown in Fig. 3.</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100"/>
      </w:tblGrid>
      <w:tr w:rsidR="005C6B47" w14:paraId="1256527D" w14:textId="77777777">
        <w:trPr>
          <w:tblHeader/>
        </w:trPr>
        <w:tc>
          <w:tcPr>
            <w:tcW w:w="4000" w:type="dxa"/>
            <w:shd w:val="clear" w:color="auto" w:fill="1F3864"/>
            <w:tcMar>
              <w:top w:w="60" w:type="dxa"/>
              <w:left w:w="80" w:type="dxa"/>
              <w:bottom w:w="60" w:type="dxa"/>
              <w:right w:w="80" w:type="dxa"/>
            </w:tcMar>
            <w:vAlign w:val="center"/>
          </w:tcPr>
          <w:p w14:paraId="3883E8C3" w14:textId="77777777" w:rsidR="005C6B47" w:rsidRDefault="00B31150">
            <w:pPr>
              <w:jc w:val="center"/>
            </w:pPr>
            <w:r>
              <w:rPr>
                <w:b/>
                <w:bCs/>
                <w:color w:val="FFFFFF"/>
                <w:sz w:val="17"/>
                <w:szCs w:val="17"/>
              </w:rPr>
              <w:t>Metric</w:t>
            </w:r>
          </w:p>
        </w:tc>
        <w:tc>
          <w:tcPr>
            <w:tcW w:w="5100" w:type="dxa"/>
            <w:shd w:val="clear" w:color="auto" w:fill="1F3864"/>
            <w:tcMar>
              <w:top w:w="60" w:type="dxa"/>
              <w:left w:w="80" w:type="dxa"/>
              <w:bottom w:w="60" w:type="dxa"/>
              <w:right w:w="80" w:type="dxa"/>
            </w:tcMar>
            <w:vAlign w:val="center"/>
          </w:tcPr>
          <w:p w14:paraId="37855D3A" w14:textId="77777777" w:rsidR="005C6B47" w:rsidRDefault="00B31150">
            <w:pPr>
              <w:jc w:val="center"/>
            </w:pPr>
            <w:r>
              <w:rPr>
                <w:b/>
                <w:bCs/>
                <w:color w:val="FFFFFF"/>
                <w:sz w:val="17"/>
                <w:szCs w:val="17"/>
              </w:rPr>
              <w:t>Value (Superstore → Furniture filter)</w:t>
            </w:r>
          </w:p>
        </w:tc>
      </w:tr>
      <w:tr w:rsidR="005C6B47" w14:paraId="79CBF34C" w14:textId="77777777">
        <w:tc>
          <w:tcPr>
            <w:tcW w:w="4000" w:type="dxa"/>
            <w:shd w:val="clear" w:color="auto" w:fill="FFFFFF"/>
            <w:tcMar>
              <w:top w:w="60" w:type="dxa"/>
              <w:left w:w="80" w:type="dxa"/>
              <w:bottom w:w="60" w:type="dxa"/>
              <w:right w:w="80" w:type="dxa"/>
            </w:tcMar>
            <w:vAlign w:val="center"/>
          </w:tcPr>
          <w:p w14:paraId="14A745C7" w14:textId="77777777" w:rsidR="005C6B47" w:rsidRDefault="00B31150">
            <w:r>
              <w:rPr>
                <w:sz w:val="17"/>
                <w:szCs w:val="17"/>
              </w:rPr>
              <w:t>Records in filtered view</w:t>
            </w:r>
          </w:p>
        </w:tc>
        <w:tc>
          <w:tcPr>
            <w:tcW w:w="5100" w:type="dxa"/>
            <w:shd w:val="clear" w:color="auto" w:fill="FFFFFF"/>
            <w:tcMar>
              <w:top w:w="60" w:type="dxa"/>
              <w:left w:w="80" w:type="dxa"/>
              <w:bottom w:w="60" w:type="dxa"/>
              <w:right w:w="80" w:type="dxa"/>
            </w:tcMar>
            <w:vAlign w:val="center"/>
          </w:tcPr>
          <w:p w14:paraId="702C97E4" w14:textId="77777777" w:rsidR="005C6B47" w:rsidRDefault="00B31150">
            <w:r>
              <w:rPr>
                <w:sz w:val="17"/>
                <w:szCs w:val="17"/>
              </w:rPr>
              <w:t>9,876</w:t>
            </w:r>
          </w:p>
        </w:tc>
      </w:tr>
      <w:tr w:rsidR="005C6B47" w14:paraId="2A3A90D4" w14:textId="77777777">
        <w:tc>
          <w:tcPr>
            <w:tcW w:w="4000" w:type="dxa"/>
            <w:shd w:val="clear" w:color="auto" w:fill="FFFFFF"/>
            <w:tcMar>
              <w:top w:w="60" w:type="dxa"/>
              <w:left w:w="80" w:type="dxa"/>
              <w:bottom w:w="60" w:type="dxa"/>
              <w:right w:w="80" w:type="dxa"/>
            </w:tcMar>
            <w:vAlign w:val="center"/>
          </w:tcPr>
          <w:p w14:paraId="204192FD" w14:textId="77777777" w:rsidR="005C6B47" w:rsidRDefault="00B31150">
            <w:r>
              <w:rPr>
                <w:sz w:val="17"/>
                <w:szCs w:val="17"/>
              </w:rPr>
              <w:t>Total Sales</w:t>
            </w:r>
          </w:p>
        </w:tc>
        <w:tc>
          <w:tcPr>
            <w:tcW w:w="5100" w:type="dxa"/>
            <w:shd w:val="clear" w:color="auto" w:fill="FFFFFF"/>
            <w:tcMar>
              <w:top w:w="60" w:type="dxa"/>
              <w:left w:w="80" w:type="dxa"/>
              <w:bottom w:w="60" w:type="dxa"/>
              <w:right w:w="80" w:type="dxa"/>
            </w:tcMar>
            <w:vAlign w:val="center"/>
          </w:tcPr>
          <w:p w14:paraId="0EB0A870" w14:textId="77777777" w:rsidR="005C6B47" w:rsidRDefault="00B31150">
            <w:r>
              <w:rPr>
                <w:sz w:val="17"/>
                <w:szCs w:val="17"/>
              </w:rPr>
              <w:t>4,110,884</w:t>
            </w:r>
          </w:p>
        </w:tc>
      </w:tr>
      <w:tr w:rsidR="005C6B47" w14:paraId="749192AF" w14:textId="77777777">
        <w:tc>
          <w:tcPr>
            <w:tcW w:w="4000" w:type="dxa"/>
            <w:shd w:val="clear" w:color="auto" w:fill="FFFFFF"/>
            <w:tcMar>
              <w:top w:w="60" w:type="dxa"/>
              <w:left w:w="80" w:type="dxa"/>
              <w:bottom w:w="60" w:type="dxa"/>
              <w:right w:w="80" w:type="dxa"/>
            </w:tcMar>
            <w:vAlign w:val="center"/>
          </w:tcPr>
          <w:p w14:paraId="23D2DB13" w14:textId="77777777" w:rsidR="005C6B47" w:rsidRDefault="00B31150">
            <w:r>
              <w:rPr>
                <w:sz w:val="17"/>
                <w:szCs w:val="17"/>
              </w:rPr>
              <w:t>Total Profit</w:t>
            </w:r>
          </w:p>
        </w:tc>
        <w:tc>
          <w:tcPr>
            <w:tcW w:w="5100" w:type="dxa"/>
            <w:shd w:val="clear" w:color="auto" w:fill="FFFFFF"/>
            <w:tcMar>
              <w:top w:w="60" w:type="dxa"/>
              <w:left w:w="80" w:type="dxa"/>
              <w:bottom w:w="60" w:type="dxa"/>
              <w:right w:w="80" w:type="dxa"/>
            </w:tcMar>
            <w:vAlign w:val="center"/>
          </w:tcPr>
          <w:p w14:paraId="6B2B3B5F" w14:textId="77777777" w:rsidR="005C6B47" w:rsidRDefault="00B31150">
            <w:r>
              <w:rPr>
                <w:sz w:val="17"/>
                <w:szCs w:val="17"/>
              </w:rPr>
              <w:t>285,205</w:t>
            </w:r>
          </w:p>
        </w:tc>
      </w:tr>
      <w:tr w:rsidR="005C6B47" w14:paraId="27BA3437" w14:textId="77777777">
        <w:tc>
          <w:tcPr>
            <w:tcW w:w="4000" w:type="dxa"/>
            <w:shd w:val="clear" w:color="auto" w:fill="FFFFFF"/>
            <w:tcMar>
              <w:top w:w="60" w:type="dxa"/>
              <w:left w:w="80" w:type="dxa"/>
              <w:bottom w:w="60" w:type="dxa"/>
              <w:right w:w="80" w:type="dxa"/>
            </w:tcMar>
            <w:vAlign w:val="center"/>
          </w:tcPr>
          <w:p w14:paraId="0FB5486D" w14:textId="77777777" w:rsidR="005C6B47" w:rsidRDefault="00B31150">
            <w:r>
              <w:rPr>
                <w:sz w:val="17"/>
                <w:szCs w:val="17"/>
              </w:rPr>
              <w:t>Total Orders</w:t>
            </w:r>
          </w:p>
        </w:tc>
        <w:tc>
          <w:tcPr>
            <w:tcW w:w="5100" w:type="dxa"/>
            <w:shd w:val="clear" w:color="auto" w:fill="FFFFFF"/>
            <w:tcMar>
              <w:top w:w="60" w:type="dxa"/>
              <w:left w:w="80" w:type="dxa"/>
              <w:bottom w:w="60" w:type="dxa"/>
              <w:right w:w="80" w:type="dxa"/>
            </w:tcMar>
            <w:vAlign w:val="center"/>
          </w:tcPr>
          <w:p w14:paraId="38A83306" w14:textId="77777777" w:rsidR="005C6B47" w:rsidRDefault="00B31150">
            <w:r>
              <w:rPr>
                <w:sz w:val="17"/>
                <w:szCs w:val="17"/>
              </w:rPr>
              <w:t>8,195</w:t>
            </w:r>
          </w:p>
        </w:tc>
      </w:tr>
      <w:tr w:rsidR="005C6B47" w14:paraId="2D98E3CE" w14:textId="77777777">
        <w:tc>
          <w:tcPr>
            <w:tcW w:w="4000" w:type="dxa"/>
            <w:shd w:val="clear" w:color="auto" w:fill="FFFFFF"/>
            <w:tcMar>
              <w:top w:w="60" w:type="dxa"/>
              <w:left w:w="80" w:type="dxa"/>
              <w:bottom w:w="60" w:type="dxa"/>
              <w:right w:w="80" w:type="dxa"/>
            </w:tcMar>
            <w:vAlign w:val="center"/>
          </w:tcPr>
          <w:p w14:paraId="2D71DCF3" w14:textId="77777777" w:rsidR="005C6B47" w:rsidRDefault="00B31150">
            <w:r>
              <w:rPr>
                <w:sz w:val="17"/>
                <w:szCs w:val="17"/>
              </w:rPr>
              <w:t>Total Quantity</w:t>
            </w:r>
          </w:p>
        </w:tc>
        <w:tc>
          <w:tcPr>
            <w:tcW w:w="5100" w:type="dxa"/>
            <w:shd w:val="clear" w:color="auto" w:fill="FFFFFF"/>
            <w:tcMar>
              <w:top w:w="60" w:type="dxa"/>
              <w:left w:w="80" w:type="dxa"/>
              <w:bottom w:w="60" w:type="dxa"/>
              <w:right w:w="80" w:type="dxa"/>
            </w:tcMar>
            <w:vAlign w:val="center"/>
          </w:tcPr>
          <w:p w14:paraId="04362E3F" w14:textId="77777777" w:rsidR="005C6B47" w:rsidRDefault="00B31150">
            <w:r>
              <w:rPr>
                <w:sz w:val="17"/>
                <w:szCs w:val="17"/>
              </w:rPr>
              <w:t>34,954</w:t>
            </w:r>
          </w:p>
        </w:tc>
      </w:tr>
      <w:tr w:rsidR="005C6B47" w14:paraId="1AF8A0F8" w14:textId="77777777">
        <w:tc>
          <w:tcPr>
            <w:tcW w:w="4000" w:type="dxa"/>
            <w:shd w:val="clear" w:color="auto" w:fill="FFFFFF"/>
            <w:tcMar>
              <w:top w:w="60" w:type="dxa"/>
              <w:left w:w="80" w:type="dxa"/>
              <w:bottom w:w="60" w:type="dxa"/>
              <w:right w:w="80" w:type="dxa"/>
            </w:tcMar>
            <w:vAlign w:val="center"/>
          </w:tcPr>
          <w:p w14:paraId="5D682329" w14:textId="77777777" w:rsidR="005C6B47" w:rsidRDefault="00B31150">
            <w:r>
              <w:rPr>
                <w:sz w:val="17"/>
                <w:szCs w:val="17"/>
              </w:rPr>
              <w:t>Total Customers</w:t>
            </w:r>
          </w:p>
        </w:tc>
        <w:tc>
          <w:tcPr>
            <w:tcW w:w="5100" w:type="dxa"/>
            <w:shd w:val="clear" w:color="auto" w:fill="FFFFFF"/>
            <w:tcMar>
              <w:top w:w="60" w:type="dxa"/>
              <w:left w:w="80" w:type="dxa"/>
              <w:bottom w:w="60" w:type="dxa"/>
              <w:right w:w="80" w:type="dxa"/>
            </w:tcMar>
            <w:vAlign w:val="center"/>
          </w:tcPr>
          <w:p w14:paraId="7F19C71D" w14:textId="77777777" w:rsidR="005C6B47" w:rsidRDefault="00B31150">
            <w:r>
              <w:rPr>
                <w:sz w:val="17"/>
                <w:szCs w:val="17"/>
              </w:rPr>
              <w:t>3,691</w:t>
            </w:r>
          </w:p>
        </w:tc>
      </w:tr>
      <w:tr w:rsidR="005C6B47" w14:paraId="50405292" w14:textId="77777777">
        <w:tc>
          <w:tcPr>
            <w:tcW w:w="4000" w:type="dxa"/>
            <w:shd w:val="clear" w:color="auto" w:fill="FFFFFF"/>
            <w:tcMar>
              <w:top w:w="60" w:type="dxa"/>
              <w:left w:w="80" w:type="dxa"/>
              <w:bottom w:w="60" w:type="dxa"/>
              <w:right w:w="80" w:type="dxa"/>
            </w:tcMar>
            <w:vAlign w:val="center"/>
          </w:tcPr>
          <w:p w14:paraId="4F440044" w14:textId="77777777" w:rsidR="005C6B47" w:rsidRDefault="00B31150">
            <w:r>
              <w:rPr>
                <w:sz w:val="17"/>
                <w:szCs w:val="17"/>
              </w:rPr>
              <w:t>Profit Margin</w:t>
            </w:r>
          </w:p>
        </w:tc>
        <w:tc>
          <w:tcPr>
            <w:tcW w:w="5100" w:type="dxa"/>
            <w:shd w:val="clear" w:color="auto" w:fill="FFFFFF"/>
            <w:tcMar>
              <w:top w:w="60" w:type="dxa"/>
              <w:left w:w="80" w:type="dxa"/>
              <w:bottom w:w="60" w:type="dxa"/>
              <w:right w:w="80" w:type="dxa"/>
            </w:tcMar>
            <w:vAlign w:val="center"/>
          </w:tcPr>
          <w:p w14:paraId="7ECB170D" w14:textId="77777777" w:rsidR="005C6B47" w:rsidRDefault="00B31150">
            <w:r>
              <w:rPr>
                <w:sz w:val="17"/>
                <w:szCs w:val="17"/>
              </w:rPr>
              <w:t>6.94%</w:t>
            </w:r>
          </w:p>
        </w:tc>
      </w:tr>
    </w:tbl>
    <w:p w14:paraId="4EAC86D3" w14:textId="77777777" w:rsidR="005C6B47" w:rsidRDefault="00B31150">
      <w:pPr>
        <w:spacing w:before="80" w:after="200"/>
        <w:jc w:val="center"/>
      </w:pPr>
      <w:r>
        <w:rPr>
          <w:i/>
          <w:iCs/>
          <w:sz w:val="18"/>
          <w:szCs w:val="18"/>
        </w:rPr>
        <w:t>Table 3. Representative filtered-view output for Superstore → Furniture, read directly from the dashboard (Fig. 3).</w:t>
      </w:r>
    </w:p>
    <w:p w14:paraId="4BBD3A0C" w14:textId="77777777" w:rsidR="005C6B47" w:rsidRDefault="00B31150">
      <w:pPr>
        <w:keepNext/>
        <w:spacing w:before="180" w:after="100"/>
      </w:pPr>
      <w:r>
        <w:rPr>
          <w:b/>
          <w:bCs/>
          <w:i/>
          <w:iCs/>
        </w:rPr>
        <w:t>3.4 Data Preprocessing</w:t>
      </w:r>
    </w:p>
    <w:p w14:paraId="3568BFB1" w14:textId="77777777" w:rsidR="005C6B47" w:rsidRDefault="00B31150">
      <w:pPr>
        <w:spacing w:after="140" w:line="252" w:lineRule="auto"/>
        <w:jc w:val="both"/>
      </w:pPr>
      <w:r>
        <w:rPr>
          <w:sz w:val="19"/>
          <w:szCs w:val="19"/>
        </w:rPr>
        <w:t>A consistent preprocessing routine is applied to each dataset before any KPI or chart is computed:</w:t>
      </w:r>
    </w:p>
    <w:p w14:paraId="0E8EC145" w14:textId="77777777" w:rsidR="005C6B47" w:rsidRDefault="00B31150">
      <w:pPr>
        <w:pStyle w:val="ListParagraph"/>
        <w:numPr>
          <w:ilvl w:val="0"/>
          <w:numId w:val="3"/>
        </w:numPr>
        <w:spacing w:after="110" w:line="250" w:lineRule="auto"/>
        <w:jc w:val="both"/>
      </w:pPr>
      <w:r>
        <w:rPr>
          <w:sz w:val="19"/>
          <w:szCs w:val="19"/>
        </w:rPr>
        <w:t>Load each dataset's CSV file independently using Pandas.</w:t>
      </w:r>
    </w:p>
    <w:p w14:paraId="159930FC" w14:textId="77777777" w:rsidR="005C6B47" w:rsidRDefault="00B31150">
      <w:pPr>
        <w:pStyle w:val="ListParagraph"/>
        <w:numPr>
          <w:ilvl w:val="0"/>
          <w:numId w:val="3"/>
        </w:numPr>
        <w:spacing w:after="110" w:line="250" w:lineRule="auto"/>
        <w:jc w:val="both"/>
      </w:pPr>
      <w:r>
        <w:rPr>
          <w:sz w:val="19"/>
          <w:szCs w:val="19"/>
        </w:rPr>
        <w:t>Clean and standardise column names (trimming whitespace, consistent casing) without altering the underlying values.</w:t>
      </w:r>
    </w:p>
    <w:p w14:paraId="30F900E0" w14:textId="77777777" w:rsidR="005C6B47" w:rsidRDefault="00B31150">
      <w:pPr>
        <w:pStyle w:val="ListParagraph"/>
        <w:numPr>
          <w:ilvl w:val="0"/>
          <w:numId w:val="3"/>
        </w:numPr>
        <w:spacing w:after="110" w:line="250" w:lineRule="auto"/>
        <w:jc w:val="both"/>
      </w:pPr>
      <w:r>
        <w:rPr>
          <w:sz w:val="19"/>
          <w:szCs w:val="19"/>
        </w:rPr>
        <w:t>Remove duplicate records to avoid double-counting in the KPI totals.</w:t>
      </w:r>
    </w:p>
    <w:p w14:paraId="5BA3563C" w14:textId="77777777" w:rsidR="005C6B47" w:rsidRDefault="00B31150">
      <w:pPr>
        <w:pStyle w:val="ListParagraph"/>
        <w:numPr>
          <w:ilvl w:val="0"/>
          <w:numId w:val="3"/>
        </w:numPr>
        <w:spacing w:after="110" w:line="250" w:lineRule="auto"/>
        <w:jc w:val="both"/>
      </w:pPr>
      <w:r>
        <w:rPr>
          <w:sz w:val="19"/>
          <w:szCs w:val="19"/>
        </w:rPr>
        <w:t>Identify and handle missing or invalid values, explicitly flagging fields that are structurally absent from a dataset (for example, Online Sales has no date column) rather than substituting placeholder values.</w:t>
      </w:r>
    </w:p>
    <w:p w14:paraId="243012DE" w14:textId="77777777" w:rsidR="005C6B47" w:rsidRDefault="00B31150">
      <w:pPr>
        <w:pStyle w:val="ListParagraph"/>
        <w:numPr>
          <w:ilvl w:val="0"/>
          <w:numId w:val="3"/>
        </w:numPr>
        <w:spacing w:after="110" w:line="250" w:lineRule="auto"/>
        <w:jc w:val="both"/>
      </w:pPr>
      <w:r>
        <w:rPr>
          <w:sz w:val="19"/>
          <w:szCs w:val="19"/>
        </w:rPr>
        <w:t>Convert numeric columns (sales, profit, quantity, discount) into proper numeric types, correcting for formatting inconsistencies such as currency symbols or stray separators.</w:t>
      </w:r>
    </w:p>
    <w:p w14:paraId="635084AB" w14:textId="77777777" w:rsidR="005C6B47" w:rsidRDefault="00B31150">
      <w:pPr>
        <w:pStyle w:val="ListParagraph"/>
        <w:numPr>
          <w:ilvl w:val="0"/>
          <w:numId w:val="3"/>
        </w:numPr>
        <w:spacing w:after="110" w:line="250" w:lineRule="auto"/>
        <w:jc w:val="both"/>
      </w:pPr>
      <w:r>
        <w:rPr>
          <w:sz w:val="19"/>
          <w:szCs w:val="19"/>
        </w:rPr>
        <w:t>Convert date columns into a proper date type where such a column exists, so that Year, Month, and Quarter can later be derived.</w:t>
      </w:r>
    </w:p>
    <w:p w14:paraId="22FE92E7" w14:textId="77777777" w:rsidR="005C6B47" w:rsidRDefault="00B31150">
      <w:pPr>
        <w:pStyle w:val="ListParagraph"/>
        <w:numPr>
          <w:ilvl w:val="0"/>
          <w:numId w:val="3"/>
        </w:numPr>
        <w:spacing w:after="110" w:line="250" w:lineRule="auto"/>
        <w:jc w:val="both"/>
      </w:pPr>
      <w:r>
        <w:rPr>
          <w:sz w:val="19"/>
          <w:szCs w:val="19"/>
        </w:rPr>
        <w:t>Normalise differently named columns across datasets where a genuine semantic match exists — for example, mapping Online Sales' ‘Amount’ field to the dashboard's common ‘Sales’ field — while preserving each dataset's original, dataset-specific information for anything that does not have a direct equivalent elsewhere.</w:t>
      </w:r>
    </w:p>
    <w:p w14:paraId="1B566849" w14:textId="77777777" w:rsidR="005C6B47" w:rsidRDefault="00B31150">
      <w:pPr>
        <w:keepNext/>
        <w:spacing w:before="180" w:after="100"/>
      </w:pPr>
      <w:r>
        <w:rPr>
          <w:b/>
          <w:bCs/>
          <w:i/>
          <w:iCs/>
        </w:rPr>
        <w:t>3.5 Exploratory Data Analysis (EDA)</w:t>
      </w:r>
    </w:p>
    <w:p w14:paraId="5CEB6D1E" w14:textId="77777777" w:rsidR="005C6B47" w:rsidRDefault="00B31150">
      <w:pPr>
        <w:spacing w:after="140" w:line="252" w:lineRule="auto"/>
        <w:jc w:val="both"/>
      </w:pPr>
      <w:r>
        <w:rPr>
          <w:sz w:val="19"/>
          <w:szCs w:val="19"/>
        </w:rPr>
        <w:t xml:space="preserve">After preprocessing, each dataset is explored using descriptive statistics and distribution checks before any KPI or chart is exposed on the dashboard: record counts, value ranges for sales, profit, quantity, and discount, and category/region/segment frequency counts. This exploratory step validates that the cleaning steps in Section 3.4 produced sensible, non-negative numeric ranges and confirms </w:t>
      </w:r>
      <w:r>
        <w:rPr>
          <w:sz w:val="19"/>
          <w:szCs w:val="19"/>
        </w:rPr>
        <w:lastRenderedPageBreak/>
        <w:t>which dimensions (year, region, segment) are actually usable for each dataset before they are exposed as filters. The sub-points below describe the specific EDA findings for the Superstore dataset filtered to the Furniture category, as an illustrative, fully verifiable example (Fig. 3–4).</w:t>
      </w:r>
    </w:p>
    <w:p w14:paraId="4EC6055E" w14:textId="77777777" w:rsidR="005C6B47" w:rsidRDefault="00B31150">
      <w:pPr>
        <w:pStyle w:val="ListParagraph"/>
        <w:numPr>
          <w:ilvl w:val="0"/>
          <w:numId w:val="3"/>
        </w:numPr>
        <w:spacing w:after="110" w:line="250" w:lineRule="auto"/>
        <w:jc w:val="both"/>
      </w:pPr>
      <w:r>
        <w:rPr>
          <w:sz w:val="19"/>
          <w:szCs w:val="19"/>
        </w:rPr>
        <w:t>Record volume: the filtered view (Superstore → Furniture, all years/regions/segments) contains 9,876 order-line records, aggregating to the totals in Table 3.</w:t>
      </w:r>
    </w:p>
    <w:p w14:paraId="1DC8CF73" w14:textId="77777777" w:rsidR="005C6B47" w:rsidRDefault="00B31150">
      <w:pPr>
        <w:pStyle w:val="ListParagraph"/>
        <w:numPr>
          <w:ilvl w:val="0"/>
          <w:numId w:val="3"/>
        </w:numPr>
        <w:spacing w:after="110" w:line="250" w:lineRule="auto"/>
        <w:jc w:val="both"/>
      </w:pPr>
      <w:r>
        <w:rPr>
          <w:sz w:val="19"/>
          <w:szCs w:val="19"/>
        </w:rPr>
        <w:t>Time-series distribution: the Sales Trend chart (Fig. 3) covers a 48-month span from January 2011 to January 2015. Monthly sales oscillate between roughly 40,000 and 180,000, with a visible seasonal saw-tooth pattern (recurring troughs early in each calendar year and peaks toward the end of each year) superimposed on a gradual upward drift in the peak values across the four years.</w:t>
      </w:r>
    </w:p>
    <w:p w14:paraId="3BCB429F" w14:textId="77777777" w:rsidR="005C6B47" w:rsidRDefault="00B31150">
      <w:pPr>
        <w:pStyle w:val="ListParagraph"/>
        <w:numPr>
          <w:ilvl w:val="0"/>
          <w:numId w:val="3"/>
        </w:numPr>
        <w:spacing w:after="110" w:line="250" w:lineRule="auto"/>
        <w:jc w:val="both"/>
      </w:pPr>
      <w:r>
        <w:rPr>
          <w:sz w:val="19"/>
          <w:szCs w:val="19"/>
        </w:rPr>
        <w:t>Regional distribution: the Sales by Region donut (Fig. 3) shows Central as the largest contributor at 20.9% of filtered sales, followed by South (12.5%), Oceania (9.99%), North (9.19%), North Asia (8.17%), Southeast Asia (7.62%), Central Asia (6.92%), West (6.15%), EMEA (5.56%), East (4.73%), Africa (2.88%), and Caribbean (0.258%), with Canada contributing a negligible remaining share — confirming that regional sales are long-tailed rather than evenly distributed.</w:t>
      </w:r>
    </w:p>
    <w:p w14:paraId="7FC7B16A" w14:textId="77777777" w:rsidR="005C6B47" w:rsidRDefault="00B31150">
      <w:pPr>
        <w:pStyle w:val="ListParagraph"/>
        <w:numPr>
          <w:ilvl w:val="0"/>
          <w:numId w:val="3"/>
        </w:numPr>
        <w:spacing w:after="110" w:line="250" w:lineRule="auto"/>
        <w:jc w:val="both"/>
      </w:pPr>
      <w:r>
        <w:rPr>
          <w:sz w:val="19"/>
          <w:szCs w:val="19"/>
        </w:rPr>
        <w:t>Product-level distribution: the Top Products chart (Fig. 4) is dominated by furniture seating items — several Leather Armchair variants (including adjustable and executive black/red models) together with a Classic Bookcase (Traditional) — indicating that a small number of SKUs account for a disproportionate share of top-line sales within the Furniture category, consistent with a typical long-tail product distribution.</w:t>
      </w:r>
    </w:p>
    <w:p w14:paraId="2AEE1FAD" w14:textId="77777777" w:rsidR="005C6B47" w:rsidRDefault="00B31150">
      <w:pPr>
        <w:pStyle w:val="ListParagraph"/>
        <w:numPr>
          <w:ilvl w:val="0"/>
          <w:numId w:val="3"/>
        </w:numPr>
        <w:spacing w:after="110" w:line="250" w:lineRule="auto"/>
        <w:jc w:val="both"/>
      </w:pPr>
      <w:r>
        <w:rPr>
          <w:sz w:val="19"/>
          <w:szCs w:val="19"/>
        </w:rPr>
        <w:t>Segment distribution: the Sales by Customer Segment chart (Fig. 4) shows Consumer as the largest segment (approximately 1.9 million in sales, read from the chart), followed by Corporate (approximately 1.2 million) and Home Office (approximately 0.7 million), indicating that the Consumer segment alone accounts for close to half of filtered Furniture sales.</w:t>
      </w:r>
    </w:p>
    <w:p w14:paraId="0C42068B" w14:textId="77777777" w:rsidR="005C6B47" w:rsidRDefault="00B31150">
      <w:pPr>
        <w:pStyle w:val="ListParagraph"/>
        <w:numPr>
          <w:ilvl w:val="0"/>
          <w:numId w:val="3"/>
        </w:numPr>
        <w:spacing w:after="110" w:line="250" w:lineRule="auto"/>
        <w:jc w:val="both"/>
      </w:pPr>
      <w:r>
        <w:rPr>
          <w:sz w:val="19"/>
          <w:szCs w:val="19"/>
        </w:rPr>
        <w:t>Profit–discount relationship: the Discount vs. Profit scatter (Fig. 4) shows profit values clustered near +2,000 to –500 at zero or low discount, with the spread widening and shifting toward negative profit (down to approximately –3,000) as discount increases beyond roughly 0.3–0.4, and consistently negative outcomes at discounts above 0.6–0.7. This pattern is the descriptive basis for the Decision Analytics narrative in Section 5.10.</w:t>
      </w:r>
    </w:p>
    <w:p w14:paraId="5C01BC0A" w14:textId="77777777" w:rsidR="005C6B47" w:rsidRDefault="00B31150">
      <w:pPr>
        <w:keepNext/>
        <w:spacing w:before="180" w:after="100"/>
      </w:pPr>
      <w:r>
        <w:rPr>
          <w:b/>
          <w:bCs/>
          <w:i/>
          <w:iCs/>
        </w:rPr>
        <w:t>3.6 Feature Engineering</w:t>
      </w:r>
    </w:p>
    <w:p w14:paraId="4997B8A7" w14:textId="77777777" w:rsidR="005C6B47" w:rsidRDefault="00B31150">
      <w:pPr>
        <w:spacing w:after="140" w:line="252" w:lineRule="auto"/>
        <w:jc w:val="both"/>
      </w:pPr>
      <w:r>
        <w:rPr>
          <w:sz w:val="19"/>
          <w:szCs w:val="19"/>
        </w:rPr>
        <w:t>Where a valid date field is available, the following derived features are computed and added to the dataset: Year, Month, Month Name, Quarter, and Profit Margin (defined as profit divided by sales for each record or aggregation). These derived features drive the dashboard's time-based trend charts and the profitability-oriented views; for the Online Sales dataset, the time-based derived features (Year, Month, Month Name, Quarter) are not generated, and the dashboard clearly communicates that year-wise analysis is unavailable for that source.</w:t>
      </w:r>
    </w:p>
    <w:p w14:paraId="5C93C385" w14:textId="77777777" w:rsidR="005C6B47" w:rsidRDefault="00B31150">
      <w:pPr>
        <w:keepNext/>
        <w:spacing w:before="180" w:after="100"/>
      </w:pPr>
      <w:r>
        <w:rPr>
          <w:b/>
          <w:bCs/>
          <w:i/>
          <w:iCs/>
        </w:rPr>
        <w:t>3.7 KPI Analysis</w:t>
      </w:r>
    </w:p>
    <w:p w14:paraId="2BC0B1E4" w14:textId="77777777" w:rsidR="005C6B47" w:rsidRDefault="00B31150">
      <w:pPr>
        <w:spacing w:after="140" w:line="252" w:lineRule="auto"/>
        <w:jc w:val="both"/>
      </w:pPr>
      <w:r>
        <w:rPr>
          <w:sz w:val="19"/>
          <w:szCs w:val="19"/>
        </w:rPr>
        <w:t>For each dataset, the dashboard computes a consistent set of KPIs wherever the underlying fields support it: Total Sales, Total Profit, Total Orders, Total Quantity, Total Customers, and Profit Margin. When a KPI cannot be computed because the required field is absent from a dataset (for example, Total Customers for Online Sales, which has no customer identifier), the dashboard displays this explicitly as “not available” rather than approximating or omitting the KPI silently.</w:t>
      </w:r>
    </w:p>
    <w:p w14:paraId="1A7532E0" w14:textId="77777777" w:rsidR="005C6B47" w:rsidRDefault="00B31150">
      <w:pPr>
        <w:keepNext/>
        <w:spacing w:before="180" w:after="100"/>
      </w:pPr>
      <w:r>
        <w:rPr>
          <w:b/>
          <w:bCs/>
          <w:i/>
          <w:iCs/>
        </w:rPr>
        <w:t>3.8 Interactive Dashboard Design</w:t>
      </w:r>
    </w:p>
    <w:p w14:paraId="1D2D73F3" w14:textId="77777777" w:rsidR="005C6B47" w:rsidRDefault="00B31150">
      <w:pPr>
        <w:spacing w:after="140" w:line="252" w:lineRule="auto"/>
        <w:jc w:val="both"/>
      </w:pPr>
      <w:r>
        <w:rPr>
          <w:sz w:val="19"/>
          <w:szCs w:val="19"/>
        </w:rPr>
        <w:t>The dashboard is organised around a persistent dataset selector, a set of interactive filters (Dataset, Year, Category, Region, Segment), a row of KPI cards, a set of visualization panels, and the Data Storytelling and Decision Analytics sections described below. Filters are dataset-aware: when a dataset is selected, the available filter options are populated from that dataset's own values, and any filter dimension that the dataset does not support (such as Year for Online Sales) is disabled or hidden rather than shown with empty or fabricated options. This design choice directly addresses RQ1 and RQ3 by ensuring that switching datasets never silently misrepresents what a given source can and cannot answer.</w:t>
      </w:r>
    </w:p>
    <w:p w14:paraId="73C5EA12" w14:textId="77777777" w:rsidR="005C6B47" w:rsidRDefault="00B31150">
      <w:pPr>
        <w:keepNext/>
        <w:spacing w:before="180" w:after="100"/>
      </w:pPr>
      <w:r>
        <w:rPr>
          <w:b/>
          <w:bCs/>
          <w:i/>
          <w:iCs/>
        </w:rPr>
        <w:t>3.9 Data Storytelling Method</w:t>
      </w:r>
    </w:p>
    <w:p w14:paraId="0AB1A89B" w14:textId="77777777" w:rsidR="005C6B47" w:rsidRDefault="00B31150">
      <w:pPr>
        <w:spacing w:after="140" w:line="252" w:lineRule="auto"/>
        <w:jc w:val="both"/>
      </w:pPr>
      <w:r>
        <w:rPr>
          <w:sz w:val="19"/>
          <w:szCs w:val="19"/>
        </w:rPr>
        <w:t>Each major visualization in the dashboard is paired with a short, structured narrative using the sequence Finding → Meaning → Decision → Recommendation. The Finding states, in plain language, the pattern actually visible in the current filtered view (for example, a category that contributes a disproportionate share of profit). The Meaning interprets why that pattern matters for the business. The Decision states the type of action a manager could reasonably take in response. The Recommendation makes that action concrete and specific to the current filter context. Because this narrative is generated from the same filtered data driving the charts, the story shown to the user always changes consistently with the dataset, year, category, region, and segment filters currently applied. Section 5.9 reproduces the exact narrative generated for the Superstore → Furniture filter shown in Fig. 4.</w:t>
      </w:r>
    </w:p>
    <w:p w14:paraId="5C9E03B8" w14:textId="77777777" w:rsidR="005C6B47" w:rsidRDefault="00B31150">
      <w:pPr>
        <w:keepNext/>
        <w:spacing w:before="180" w:after="100"/>
      </w:pPr>
      <w:r>
        <w:rPr>
          <w:b/>
          <w:bCs/>
          <w:i/>
          <w:iCs/>
        </w:rPr>
        <w:lastRenderedPageBreak/>
        <w:t>3.10 Decision Analytics Method</w:t>
      </w:r>
    </w:p>
    <w:p w14:paraId="350199A3" w14:textId="77777777" w:rsidR="005C6B47" w:rsidRDefault="00B31150">
      <w:pPr>
        <w:spacing w:after="140" w:line="252" w:lineRule="auto"/>
        <w:jc w:val="both"/>
      </w:pPr>
      <w:r>
        <w:rPr>
          <w:sz w:val="19"/>
          <w:szCs w:val="19"/>
        </w:rPr>
        <w:t>The Decision Analytics section applies the same Finding → Meaning → Decision → Recommendation structure to recurring, higher-level business questions rather than to a single chart — for example, the relationship between discount levels and profit, or the comparative performance of customer segments. This section is deliberately kept separate from the Data Storytelling section: Data Storytelling narrates what a specific visualization currently shows, while Decision Analytics synthesises multiple views into a broader recommendation. Both sections are descriptive and rule-based; the project's separate, comparative sales-prediction component (Section 3.11) is a distinct module that feeds a predicted-sales figure alongside, rather than into, this rule-based Finding → Meaning → Decision → Recommendation narrative logic.</w:t>
      </w:r>
    </w:p>
    <w:p w14:paraId="6A0119BF" w14:textId="77777777" w:rsidR="0001756B" w:rsidRDefault="009F3A69">
      <w:pPr>
        <w:keepNext/>
        <w:spacing w:before="180" w:after="100"/>
      </w:pPr>
      <w:r>
        <w:rPr>
          <w:b/>
          <w:bCs/>
          <w:i/>
          <w:iCs/>
        </w:rPr>
        <w:t>3.11 Predictive Modeling Methodology</w:t>
      </w:r>
    </w:p>
    <w:p w14:paraId="4745987E" w14:textId="77777777" w:rsidR="0001756B" w:rsidRDefault="009F3A69">
      <w:pPr>
        <w:spacing w:after="140" w:line="252" w:lineRule="auto"/>
        <w:jc w:val="both"/>
      </w:pPr>
      <w:r>
        <w:rPr>
          <w:sz w:val="19"/>
          <w:szCs w:val="19"/>
        </w:rPr>
        <w:t>In addition to the descriptive pipeline of Sections 3.1–3.10, the project implements a comparative sales-prediction component. This component is built and evaluated per dataset: because the four datasets differ in schema and available fields (Section 3.3), feature sets, preprocessing, and model training are performed independently for each dataset using only the fields that dataset actually provides, consistent with the project's “do not fabricate missing fields” principle.</w:t>
      </w:r>
    </w:p>
    <w:p w14:paraId="53F7E706" w14:textId="77777777" w:rsidR="0001756B" w:rsidRDefault="009F3A69">
      <w:pPr>
        <w:keepNext/>
        <w:spacing w:before="180" w:after="100"/>
      </w:pPr>
      <w:r>
        <w:rPr>
          <w:b/>
          <w:bCs/>
          <w:i/>
          <w:iCs/>
        </w:rPr>
        <w:t>3.11.1 Prediction Target and Features</w:t>
      </w:r>
    </w:p>
    <w:p w14:paraId="6866B56E" w14:textId="77777777" w:rsidR="0001756B" w:rsidRDefault="009F3A69">
      <w:pPr>
        <w:spacing w:after="140" w:line="252" w:lineRule="auto"/>
        <w:jc w:val="both"/>
      </w:pPr>
      <w:r>
        <w:rPr>
          <w:sz w:val="19"/>
          <w:szCs w:val="19"/>
        </w:rPr>
        <w:t>The prediction target is Sales (Amount, for Online Sales). Candidate predictor features are drawn from each dataset's own available fields — for example, Category, Region, Segment, Quantity, Discount, and, where available, time-derived features such as Year, Month, and Quarter (Section 3.6). Categorical features are encoded numerically and numeric features are scaled where the model benefits from it (Linear Regression), while the tree-based models (Decision Tree, Random Forest, Gradient Boosting) use the same engineered features without requiring scaling. For a dataset such as Online Sales, which has no date field, no time-derived features are used, and the model relies on the category-, product-, and transaction-level fields that dataset does provide.</w:t>
      </w:r>
    </w:p>
    <w:p w14:paraId="474B3E83" w14:textId="77777777" w:rsidR="0001756B" w:rsidRDefault="009F3A69">
      <w:pPr>
        <w:keepNext/>
        <w:spacing w:before="180" w:after="100"/>
      </w:pPr>
      <w:r>
        <w:rPr>
          <w:b/>
          <w:bCs/>
          <w:i/>
          <w:iCs/>
        </w:rPr>
        <w:t>3.11.2 Baseline Regression Models</w:t>
      </w:r>
    </w:p>
    <w:p w14:paraId="2CAA039A" w14:textId="77777777" w:rsidR="0001756B" w:rsidRDefault="009F3A69">
      <w:pPr>
        <w:spacing w:after="140" w:line="252" w:lineRule="auto"/>
        <w:jc w:val="both"/>
      </w:pPr>
      <w:r>
        <w:rPr>
          <w:sz w:val="19"/>
          <w:szCs w:val="19"/>
        </w:rPr>
        <w:t>Four literature-based regression models, identified in Section 2.8, are trained as baselines on each dataset's prepared feature set:</w:t>
      </w:r>
    </w:p>
    <w:p w14:paraId="115906E3" w14:textId="77777777" w:rsidR="0001756B" w:rsidRDefault="009F3A69">
      <w:pPr>
        <w:pStyle w:val="ListParagraph"/>
        <w:numPr>
          <w:ilvl w:val="0"/>
          <w:numId w:val="3"/>
        </w:numPr>
        <w:spacing w:after="110" w:line="250" w:lineRule="auto"/>
        <w:jc w:val="both"/>
      </w:pPr>
      <w:r>
        <w:rPr>
          <w:sz w:val="19"/>
          <w:szCs w:val="19"/>
        </w:rPr>
        <w:t>Linear Regression — a linear combination of the predictor features, used as the simplest, most interpretable baseline [34].</w:t>
      </w:r>
    </w:p>
    <w:p w14:paraId="1F69E113" w14:textId="77777777" w:rsidR="0001756B" w:rsidRDefault="009F3A69">
      <w:pPr>
        <w:pStyle w:val="ListParagraph"/>
        <w:numPr>
          <w:ilvl w:val="0"/>
          <w:numId w:val="3"/>
        </w:numPr>
        <w:spacing w:after="110" w:line="250" w:lineRule="auto"/>
        <w:jc w:val="both"/>
      </w:pPr>
      <w:r>
        <w:rPr>
          <w:sz w:val="19"/>
          <w:szCs w:val="19"/>
        </w:rPr>
        <w:t>Decision Tree Regressor — a single CART-style regression tree that partitions the feature space into regions of similar sales value [35].</w:t>
      </w:r>
    </w:p>
    <w:p w14:paraId="3BEC48A1" w14:textId="77777777" w:rsidR="0001756B" w:rsidRDefault="009F3A69">
      <w:pPr>
        <w:pStyle w:val="ListParagraph"/>
        <w:numPr>
          <w:ilvl w:val="0"/>
          <w:numId w:val="3"/>
        </w:numPr>
        <w:spacing w:after="110" w:line="250" w:lineRule="auto"/>
        <w:jc w:val="both"/>
      </w:pPr>
      <w:r>
        <w:rPr>
          <w:sz w:val="19"/>
          <w:szCs w:val="19"/>
        </w:rPr>
        <w:t>Random Forest Regressor — a bagged ensemble of decorrelated regression trees that averages their predictions to reduce variance [36].</w:t>
      </w:r>
    </w:p>
    <w:p w14:paraId="72AB2133" w14:textId="77777777" w:rsidR="0001756B" w:rsidRDefault="009F3A69">
      <w:pPr>
        <w:pStyle w:val="ListParagraph"/>
        <w:numPr>
          <w:ilvl w:val="0"/>
          <w:numId w:val="3"/>
        </w:numPr>
        <w:spacing w:after="110" w:line="250" w:lineRule="auto"/>
        <w:jc w:val="both"/>
      </w:pPr>
      <w:r>
        <w:rPr>
          <w:sz w:val="19"/>
          <w:szCs w:val="19"/>
        </w:rPr>
        <w:t>Gradient Boosting Regressor — a stage-wise additive ensemble of shallow regression trees, each fitted to the residual error of the current ensemble [37].</w:t>
      </w:r>
    </w:p>
    <w:p w14:paraId="2A25A421" w14:textId="77777777" w:rsidR="0001756B" w:rsidRDefault="009F3A69">
      <w:pPr>
        <w:spacing w:after="140" w:line="252" w:lineRule="auto"/>
        <w:jc w:val="both"/>
      </w:pPr>
      <w:r>
        <w:rPr>
          <w:sz w:val="19"/>
          <w:szCs w:val="19"/>
        </w:rPr>
        <w:t>Each baseline is trained and evaluated under the same train/test split, feature set, and evaluation metrics for a given dataset, so that differences in their results reflect the modelling approach rather than inconsistent experimental conditions.</w:t>
      </w:r>
    </w:p>
    <w:p w14:paraId="0116508C" w14:textId="77777777" w:rsidR="0001756B" w:rsidRDefault="009F3A69">
      <w:pPr>
        <w:keepNext/>
        <w:spacing w:before="180" w:after="100"/>
      </w:pPr>
      <w:r>
        <w:rPr>
          <w:b/>
          <w:bCs/>
          <w:i/>
          <w:iCs/>
        </w:rPr>
        <w:t>3.11.3 Proposed Hybrid Stacked Regression Ensemble (HSRE)</w:t>
      </w:r>
    </w:p>
    <w:p w14:paraId="501CB412" w14:textId="77777777" w:rsidR="0001756B" w:rsidRDefault="009F3A69">
      <w:pPr>
        <w:spacing w:after="140" w:line="252" w:lineRule="auto"/>
        <w:jc w:val="both"/>
      </w:pPr>
      <w:r>
        <w:rPr>
          <w:sz w:val="19"/>
          <w:szCs w:val="19"/>
        </w:rPr>
        <w:t>The proposed Hybrid Stacked Regression Ensemble (HSRE) is not a new base learning algorithm; it is a stacking-based hybrid architecture, following Wolpert's stacked generalization and Breiman's stacked regressions [38], [39], that combines the four literature-based baseline learners through a meta-learning stage for this project's sales-prediction task. Figure 5 illustrates the architecture.</w:t>
      </w:r>
    </w:p>
    <w:p w14:paraId="7834ECA1" w14:textId="77777777" w:rsidR="0001756B" w:rsidRDefault="009F3A69">
      <w:pPr>
        <w:keepNext/>
        <w:spacing w:before="120" w:after="40"/>
        <w:jc w:val="center"/>
      </w:pPr>
      <w:r>
        <w:rPr>
          <w:i/>
          <w:iCs/>
          <w:sz w:val="18"/>
          <w:szCs w:val="18"/>
        </w:rPr>
        <w:t xml:space="preserve">[ Figure 5 — HSRE architecture: Linear Regression + Decision Tree + Random Forest + Gradient Boosting base-model predictions → meta-learner → final sales </w:t>
      </w:r>
      <w:proofErr w:type="gramStart"/>
      <w:r>
        <w:rPr>
          <w:i/>
          <w:iCs/>
          <w:sz w:val="18"/>
          <w:szCs w:val="18"/>
        </w:rPr>
        <w:t>prediction ]</w:t>
      </w:r>
      <w:proofErr w:type="gramEnd"/>
    </w:p>
    <w:p w14:paraId="2166DCD8" w14:textId="77777777" w:rsidR="0001756B" w:rsidRDefault="009F3A69">
      <w:pPr>
        <w:spacing w:before="80" w:after="200"/>
        <w:jc w:val="center"/>
      </w:pPr>
      <w:r>
        <w:rPr>
          <w:i/>
          <w:iCs/>
          <w:sz w:val="18"/>
          <w:szCs w:val="18"/>
        </w:rPr>
        <w:t>Fig. 5. Proposed Hybrid Stacked Regression Ensemble (HSRE): four baseline regressors feed a meta-learner that produces the final sales prediction.</w:t>
      </w:r>
    </w:p>
    <w:p w14:paraId="023303CB" w14:textId="77777777" w:rsidR="0001756B" w:rsidRDefault="009F3A69">
      <w:pPr>
        <w:spacing w:after="140" w:line="252" w:lineRule="auto"/>
        <w:jc w:val="both"/>
      </w:pPr>
      <w:r>
        <w:rPr>
          <w:sz w:val="19"/>
          <w:szCs w:val="19"/>
        </w:rPr>
        <w:t>The HSRE pipeline operates in two stages. In the base stage, each of the four baseline models (Section 3.11.2) is trained on the training split and produces a prediction for every record. In the meta stage, these four base-model predictions are used as input features to a meta-learner (a regression model trained specifically to combine them), which is fitted using cross-validated, held-out base-model predictions so that the meta-learner is not trained on predictions the base models have already seen their own training labels for. The meta-learner's output is the HSRE's final sales prediction. Describing HSRE this way is deliberate: the novelty claimed for HSRE is the specific combination of these four literature-based learners through this meta-learning stage for the project's sales-prediction task, not the stacking technique itself, which is established in the literature cited above.</w:t>
      </w:r>
    </w:p>
    <w:p w14:paraId="7A25347F" w14:textId="77777777" w:rsidR="0001756B" w:rsidRDefault="009F3A69">
      <w:pPr>
        <w:keepNext/>
        <w:spacing w:before="180" w:after="100"/>
      </w:pPr>
      <w:r>
        <w:rPr>
          <w:b/>
          <w:bCs/>
          <w:i/>
          <w:iCs/>
        </w:rPr>
        <w:lastRenderedPageBreak/>
        <w:t>3.11.4 Training, Validation, and Evaluation Protocol</w:t>
      </w:r>
    </w:p>
    <w:p w14:paraId="005BDD5C" w14:textId="77777777" w:rsidR="0001756B" w:rsidRDefault="009F3A69">
      <w:pPr>
        <w:spacing w:after="140" w:line="252" w:lineRule="auto"/>
        <w:jc w:val="both"/>
      </w:pPr>
      <w:r>
        <w:rPr>
          <w:sz w:val="19"/>
          <w:szCs w:val="19"/>
        </w:rPr>
        <w:t>For each dataset, records are split into training and test subsets, with the test subset held out from all model fitting, including the meta-learner's training in the HSRE pipeline. All five models — the four baselines and HSRE — are trained on the same training subset and evaluated on the same held-out test subset for a given dataset, so that their reported metrics are directly comparable. Model performance is evaluated using standard regression metrics: Root Mean Squared Error (RMSE) and Mean Absolute Error (MAE), which report prediction error in the same units as Sales, and the coefficient of determination (R²), which reports the proportion of variance in Sales explained by the model. Section 4.8 describes the implementation of this pipeline, and Section 5.13 reports the resulting comparison once model training is complete for a given dataset.</w:t>
      </w:r>
    </w:p>
    <w:p w14:paraId="196FDC5B" w14:textId="77777777" w:rsidR="005C6B47" w:rsidRDefault="00B31150">
      <w:pPr>
        <w:keepNext/>
        <w:spacing w:before="260" w:after="120"/>
      </w:pPr>
      <w:r>
        <w:rPr>
          <w:b/>
          <w:bCs/>
          <w:color w:val="1F3864"/>
          <w:sz w:val="21"/>
          <w:szCs w:val="21"/>
        </w:rPr>
        <w:t>4. EXPERIMENTAL / IMPLEMENTATION SETUP</w:t>
      </w:r>
    </w:p>
    <w:p w14:paraId="7365563D" w14:textId="77777777" w:rsidR="005C6B47" w:rsidRDefault="00B31150">
      <w:pPr>
        <w:keepNext/>
        <w:spacing w:before="180" w:after="100"/>
      </w:pPr>
      <w:r>
        <w:rPr>
          <w:b/>
          <w:bCs/>
          <w:i/>
          <w:iCs/>
        </w:rPr>
        <w:t>4.1 Hardware and Software</w:t>
      </w:r>
    </w:p>
    <w:p w14:paraId="11AA516F" w14:textId="77777777" w:rsidR="005C6B47" w:rsidRDefault="00B31150">
      <w:pPr>
        <w:spacing w:after="140" w:line="252" w:lineRule="auto"/>
        <w:jc w:val="both"/>
      </w:pPr>
      <w:r>
        <w:rPr>
          <w:sz w:val="19"/>
          <w:szCs w:val="19"/>
        </w:rPr>
        <w:t>The dashboard was developed using Python with the Pandas library for data preprocessing, feature engineering, and KPI computation. Flask serves as the backend web framework, exposing the processed data and KPI endpoints to the frontend. The frontend is built with HTML, CSS, and JavaScript, with Plotly used for interactive charting. The comparative sales-prediction component (Sections 3.11 and 4.8) is built with Scikit-learn [42], which supplies the baseline regression estimators, train/test splitting, cross-validation, and the RMSE, MAE, and R² evaluation metrics; the HSRE meta-learner is also implemented as a Scikit-learn regression estimator trained on the baseline models' out-of-fold predictions. Development was carried out using Jupyter Notebook for exploratory analysis, model prototyping, and evaluation, and Visual Studio Code for application development, with Git/GitHub used for version control. No specialised hardware was required; the system, including model training, runs on a standard development machine.</w:t>
      </w:r>
    </w:p>
    <w:p w14:paraId="4E02B8C2" w14:textId="77777777" w:rsidR="005C6B47" w:rsidRDefault="00B31150">
      <w:pPr>
        <w:keepNext/>
        <w:spacing w:before="180" w:after="100"/>
      </w:pPr>
      <w:r>
        <w:rPr>
          <w:b/>
          <w:bCs/>
          <w:i/>
          <w:iCs/>
        </w:rPr>
        <w:t>4.2 System Architecture</w:t>
      </w:r>
    </w:p>
    <w:p w14:paraId="5976D579" w14:textId="77777777" w:rsidR="005C6B47" w:rsidRDefault="00B31150">
      <w:pPr>
        <w:spacing w:after="140" w:line="252" w:lineRule="auto"/>
        <w:jc w:val="both"/>
      </w:pPr>
      <w:r>
        <w:rPr>
          <w:sz w:val="19"/>
          <w:szCs w:val="19"/>
        </w:rPr>
        <w:t>The system follows a conventional three-tier web application architecture, extended with the narrative-generation module identified in Section 3.2 as the project's novel component. The data layer consists of the four CSV datasets and the Pandas-based preprocessing and feature-engineering pipeline described in Section 3. The application layer is a Flask backend organised into three internal sub-modules: (i) a Data Access sub-module that loads and caches the active dataset's cleaned, feature-engineered table; (ii) a KPI/Aggregation sub-module that computes KPIs, category/region/segment/product aggregations, and the discount-profit relationship for the current filter state; and (iii) the Narrative Generation sub-module — the novel step — which reads the same filtered aggregates produced by (ii) and applies the rule-based Finding → Meaning → Decision → Recommendation logic described in Sections 3.9–3.10 to produce the Data Storytelling and Decision Analytics text shown to the user. The presentation layer is an HTML/CSS/JavaScript single-page dashboard that renders KPI cards, Plotly charts, filter controls, and the storytelling/decision-analytics text blocks returned by the application layer. Figure 2 illustrates this architecture and its request flow: (1) the browser sends the current filter selection to Flask; (2) the Data Access sub-module loads the relevant dataset; (3) the KPI/Aggregation sub-module computes the filtered KPIs and chart data; (4) this output is passed both to the chart-rendering response and to the Narrative Generation sub-module; (5) the Narrative Generation sub-module returns the Finding/Meaning/Decision/Recommendation text; and (6) Flask returns the combined JSON payload, which the frontend renders as updated KPI cards, charts, and narrative panels — all within a single filter-change round trip.</w:t>
      </w: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820"/>
      </w:tblGrid>
      <w:tr w:rsidR="005C6B47" w14:paraId="7570366E" w14:textId="77777777">
        <w:trPr>
          <w:jc w:val="center"/>
        </w:trPr>
        <w:tc>
          <w:tcPr>
            <w:tcW w:w="0" w:type="auto"/>
          </w:tcPr>
          <w:p w14:paraId="3EE86B7B" w14:textId="77777777" w:rsidR="005C6B47" w:rsidRDefault="005C6B47">
            <w:pPr>
              <w:jc w:val="center"/>
            </w:pPr>
          </w:p>
        </w:tc>
      </w:tr>
      <w:tr w:rsidR="005C6B47" w14:paraId="2BC7D367" w14:textId="77777777">
        <w:trPr>
          <w:jc w:val="center"/>
        </w:trPr>
        <w:tc>
          <w:tcPr>
            <w:tcW w:w="0" w:type="auto"/>
          </w:tcPr>
          <w:p w14:paraId="6CE5179D" w14:textId="40FB4973" w:rsidR="005C6B47" w:rsidRDefault="005E2DC1">
            <w:pPr>
              <w:jc w:val="center"/>
            </w:pPr>
            <w:r w:rsidRPr="005E2DC1">
              <w:rPr>
                <w:noProof/>
              </w:rPr>
              <w:lastRenderedPageBreak/>
              <w:drawing>
                <wp:inline distT="0" distB="0" distL="0" distR="0" wp14:anchorId="033D9E24" wp14:editId="2B0A9C87">
                  <wp:extent cx="4953000" cy="3302000"/>
                  <wp:effectExtent l="0" t="0" r="0" b="0"/>
                  <wp:docPr id="1768101417" name="Content Placeholder 10">
                    <a:extLst xmlns:a="http://schemas.openxmlformats.org/drawingml/2006/main">
                      <a:ext uri="{FF2B5EF4-FFF2-40B4-BE49-F238E27FC236}">
                        <a16:creationId xmlns:a16="http://schemas.microsoft.com/office/drawing/2014/main" id="{CC9E4246-F2E7-8465-1342-4C3AA60E4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10">
                            <a:extLst>
                              <a:ext uri="{FF2B5EF4-FFF2-40B4-BE49-F238E27FC236}">
                                <a16:creationId xmlns:a16="http://schemas.microsoft.com/office/drawing/2014/main" id="{CC9E4246-F2E7-8465-1342-4C3AA60E494B}"/>
                              </a:ext>
                            </a:extLst>
                          </pic:cNvPr>
                          <pic:cNvPicPr>
                            <a:picLocks noChangeAspect="1"/>
                          </pic:cNvPicPr>
                        </pic:nvPicPr>
                        <pic:blipFill>
                          <a:blip r:embed="rId8"/>
                          <a:stretch>
                            <a:fillRect/>
                          </a:stretch>
                        </pic:blipFill>
                        <pic:spPr>
                          <a:xfrm>
                            <a:off x="0" y="0"/>
                            <a:ext cx="4953000" cy="3302000"/>
                          </a:xfrm>
                          <a:prstGeom prst="rect">
                            <a:avLst/>
                          </a:prstGeom>
                        </pic:spPr>
                      </pic:pic>
                    </a:graphicData>
                  </a:graphic>
                </wp:inline>
              </w:drawing>
            </w:r>
          </w:p>
        </w:tc>
      </w:tr>
      <w:tr w:rsidR="005C6B47" w14:paraId="79DC3149" w14:textId="77777777">
        <w:trPr>
          <w:jc w:val="center"/>
        </w:trPr>
        <w:tc>
          <w:tcPr>
            <w:tcW w:w="0" w:type="auto"/>
            <w:tcMar>
              <w:top w:w="200" w:type="dxa"/>
              <w:left w:w="150" w:type="dxa"/>
              <w:bottom w:w="200" w:type="dxa"/>
              <w:right w:w="150" w:type="dxa"/>
            </w:tcMar>
          </w:tcPr>
          <w:p w14:paraId="2C05E984" w14:textId="77777777" w:rsidR="005C6B47" w:rsidRDefault="00B31150">
            <w:pPr>
              <w:jc w:val="center"/>
            </w:pPr>
            <w:r>
              <w:rPr>
                <w:i/>
                <w:iCs/>
                <w:color w:val="808080"/>
                <w:sz w:val="19"/>
                <w:szCs w:val="19"/>
              </w:rPr>
              <w:t>[ Figure 2 – System architecture diagram, showing the data / application / presentation layers and the Narrative Generation sub-</w:t>
            </w:r>
            <w:proofErr w:type="gramStart"/>
            <w:r>
              <w:rPr>
                <w:i/>
                <w:iCs/>
                <w:color w:val="808080"/>
                <w:sz w:val="19"/>
                <w:szCs w:val="19"/>
              </w:rPr>
              <w:t>module ]</w:t>
            </w:r>
            <w:proofErr w:type="gramEnd"/>
          </w:p>
        </w:tc>
      </w:tr>
    </w:tbl>
    <w:p w14:paraId="0F5BB08A" w14:textId="77777777" w:rsidR="005C6B47" w:rsidRDefault="00B31150">
      <w:pPr>
        <w:spacing w:before="80" w:after="200"/>
        <w:jc w:val="center"/>
      </w:pPr>
      <w:r>
        <w:rPr>
          <w:i/>
          <w:iCs/>
          <w:sz w:val="18"/>
          <w:szCs w:val="18"/>
        </w:rPr>
        <w:t>Fig. 2. Three-tier system architecture: data layer, Flask application layer (with its Data Access, KPI/Aggregation, and novel Narrative Generation sub-modules), and the interactive dashboard presentation layer.</w:t>
      </w:r>
    </w:p>
    <w:p w14:paraId="4B904AB7" w14:textId="77777777" w:rsidR="005C6B47" w:rsidRDefault="00B31150">
      <w:pPr>
        <w:keepNext/>
        <w:spacing w:before="180" w:after="100"/>
      </w:pPr>
      <w:r>
        <w:rPr>
          <w:b/>
          <w:bCs/>
          <w:i/>
          <w:iCs/>
        </w:rPr>
        <w:t>4.3 Dataset Integration</w:t>
      </w:r>
    </w:p>
    <w:p w14:paraId="798F2B3D" w14:textId="77777777" w:rsidR="005C6B47" w:rsidRDefault="00B31150">
      <w:pPr>
        <w:spacing w:after="140" w:line="252" w:lineRule="auto"/>
        <w:jc w:val="both"/>
      </w:pPr>
      <w:r>
        <w:rPr>
          <w:sz w:val="19"/>
          <w:szCs w:val="19"/>
        </w:rPr>
        <w:t>Each of the four datasets is registered in the backend as an independent, selectable data source. When a user selects a dataset from the dashboard, the backend loads that dataset's cleaned and feature-engineered table and recomputes the KPIs, chart data, and available filter options specifically for that source. This keeps the datasets logically separate at all times: no cross-dataset merging or row-level combination takes place, which avoids the schema-mismatch problems discussed in Section 2.7.</w:t>
      </w:r>
    </w:p>
    <w:p w14:paraId="047ABE6C" w14:textId="77777777" w:rsidR="005C6B47" w:rsidRDefault="00B31150">
      <w:pPr>
        <w:keepNext/>
        <w:spacing w:before="180" w:after="100"/>
      </w:pPr>
      <w:r>
        <w:rPr>
          <w:b/>
          <w:bCs/>
          <w:i/>
          <w:iCs/>
        </w:rPr>
        <w:t>4.4 Dashboard Components</w:t>
      </w:r>
    </w:p>
    <w:p w14:paraId="73E7E111" w14:textId="77777777" w:rsidR="005C6B47" w:rsidRDefault="00B31150">
      <w:pPr>
        <w:spacing w:after="140" w:line="252" w:lineRule="auto"/>
        <w:jc w:val="both"/>
      </w:pPr>
      <w:r>
        <w:rPr>
          <w:sz w:val="19"/>
          <w:szCs w:val="19"/>
        </w:rPr>
        <w:t>The dashboard is composed of the following components: (1) a dataset selector; (2) a KPI summary panel showing Total Sales, Total Profit, Total Orders, Total Quantity, Total Customers, and Profit Margin; (3) a Sales Trend chart (where a date field is available); (4) Sales by Category and Profit by Category charts; (5) a Sales by Region chart; (6) a Top Products view; (7) a Sales by Customer Segment chart; (8) a Discount vs. Profit view; (9) a Data Storytelling panel; and (10) a Decision Analytics panel.</w:t>
      </w:r>
    </w:p>
    <w:p w14:paraId="21B22CFC" w14:textId="77777777" w:rsidR="005C6B47" w:rsidRDefault="00B31150">
      <w:pPr>
        <w:keepNext/>
        <w:spacing w:before="180" w:after="100"/>
      </w:pPr>
      <w:r>
        <w:rPr>
          <w:b/>
          <w:bCs/>
          <w:i/>
          <w:iCs/>
        </w:rPr>
        <w:t>4.5 Interactive Filtering</w:t>
      </w:r>
    </w:p>
    <w:p w14:paraId="4B7470ED" w14:textId="77777777" w:rsidR="005C6B47" w:rsidRDefault="00B31150">
      <w:pPr>
        <w:spacing w:after="140" w:line="252" w:lineRule="auto"/>
        <w:jc w:val="both"/>
      </w:pPr>
      <w:r>
        <w:rPr>
          <w:sz w:val="19"/>
          <w:szCs w:val="19"/>
        </w:rPr>
        <w:t>Filter controls for Dataset, Year, Category, Region, and Segment sit above the visualization panels. Selecting a filter value triggers a recomputation of the KPIs and charts for the current dataset restricted to that value, and the Data Storytelling and Decision Analytics text updates to reflect the newly filtered view. As described in Section 3.8, filters that are not applicable to the currently selected dataset (for example, Year for Online Sales) are disabled, which was verified manually for each dataset during testing.</w:t>
      </w:r>
    </w:p>
    <w:p w14:paraId="4D1D0279" w14:textId="77777777" w:rsidR="005C6B47" w:rsidRDefault="00B31150">
      <w:pPr>
        <w:keepNext/>
        <w:spacing w:before="180" w:after="100"/>
      </w:pPr>
      <w:r>
        <w:rPr>
          <w:b/>
          <w:bCs/>
          <w:i/>
          <w:iCs/>
        </w:rPr>
        <w:t>4.6 Validation / Testing Strategy</w:t>
      </w:r>
    </w:p>
    <w:p w14:paraId="6CF4B5A5" w14:textId="77777777" w:rsidR="005C6B47" w:rsidRDefault="00B31150">
      <w:pPr>
        <w:spacing w:after="140" w:line="252" w:lineRule="auto"/>
        <w:jc w:val="both"/>
      </w:pPr>
      <w:r>
        <w:rPr>
          <w:sz w:val="19"/>
          <w:szCs w:val="19"/>
        </w:rPr>
        <w:t>Validation covers both the descriptive dashboard and the predictive component, using the form of validation appropriate to each. For the descriptive dashboard, testing consisted of (a) manually cross-checking KPI totals computed by the dashboard against totals computed independently in a Jupyter Notebook for each dataset; (b) verifying that filter combinations that should be unavailable for a given dataset (such as Year for Online Sales) were correctly disabled rather than silently returning empty or zero values; and (c) confirming that switching the dataset selector fully refreshed all KPI cards, charts, and narrative text rather than leaving stale values from a previously selected dataset. For the predictive component, validation follows standard regression-model practice: a held-out test subset that no model, including the HSRE meta-learner, is trained on (Section 3.11.4), and the same RMSE, MAE, and R² metrics computed identically for every baseline model and for HSRE so that comparisons in Section 5.13 reflect genuine differences in predictive performance rather than inconsistent evaluation conditions.</w:t>
      </w:r>
    </w:p>
    <w:p w14:paraId="02E9650B" w14:textId="77777777" w:rsidR="005C6B47" w:rsidRDefault="00B31150">
      <w:pPr>
        <w:keepNext/>
        <w:spacing w:before="180" w:after="100"/>
      </w:pPr>
      <w:r>
        <w:rPr>
          <w:b/>
          <w:bCs/>
          <w:i/>
          <w:iCs/>
        </w:rPr>
        <w:lastRenderedPageBreak/>
        <w:t>4.7 Evaluation Criteria</w:t>
      </w:r>
    </w:p>
    <w:p w14:paraId="4ED61244" w14:textId="77777777" w:rsidR="005C6B47" w:rsidRDefault="00B31150">
      <w:pPr>
        <w:spacing w:after="140" w:line="252" w:lineRule="auto"/>
        <w:jc w:val="both"/>
      </w:pPr>
      <w:r>
        <w:rPr>
          <w:sz w:val="19"/>
          <w:szCs w:val="19"/>
        </w:rPr>
        <w:t>The descriptive dashboard is evaluated qualitatively against the following criteria: correctness of KPI computation relative to the source data; dataset-awareness of filters and derived features; responsiveness of the interface to filter changes; and the clarity and relevance of the Finding → Meaning → Decision → Recommendation narratives produced for representative filter combinations. The predictive component (Sections 3.11, 4.8) is evaluated quantitatively using RMSE, MAE, and R² on the held-out test subset for each dataset, computed identically for the four baseline models and for HSRE so that the comparison in Section 5.13 is on equal terms.</w:t>
      </w:r>
    </w:p>
    <w:p w14:paraId="5F47C825" w14:textId="77777777" w:rsidR="0001756B" w:rsidRDefault="009F3A69">
      <w:pPr>
        <w:keepNext/>
        <w:spacing w:before="180" w:after="100"/>
      </w:pPr>
      <w:r>
        <w:rPr>
          <w:b/>
          <w:bCs/>
          <w:i/>
          <w:iCs/>
        </w:rPr>
        <w:t>4.8 Predictive Modeling Implementation</w:t>
      </w:r>
    </w:p>
    <w:p w14:paraId="5FD61659" w14:textId="77777777" w:rsidR="0001756B" w:rsidRDefault="009F3A69">
      <w:pPr>
        <w:spacing w:after="140" w:line="252" w:lineRule="auto"/>
        <w:jc w:val="both"/>
      </w:pPr>
      <w:r>
        <w:rPr>
          <w:sz w:val="19"/>
          <w:szCs w:val="19"/>
        </w:rPr>
        <w:t>The predictive component described methodologically in Section 3.11 is implemented as a separate Python module from the Flask dashboard application, using Pandas for feature preparation and Scikit-learn for model training and evaluation [42]. For each dataset, the module (i) loads that dataset's cleaned, feature-engineered table from the same preprocessing pipeline used by the dashboard (Section 3.4), so that the predictive component and the descriptive dashboard remain consistent with each other; (ii) builds the dataset-specific feature set described in Section 3.11.1; (iii) performs a train/test split, holding out the test subset from all training, including the HSRE meta-learner; (iv) fits the four baseline regressors (Linear Regression, Decision Tree, Random Forest, Gradient Boosting) on the training subset; (v) generates out-of-fold base-model predictions on the training subset and fits the HSRE meta-learner on them; and (vi) evaluates all five models — the four baselines and HSRE — on the same held-out test subset using RMSE, MAE, and R². Model objects are saved after training so that predictions can be generated without retraining, and the same evaluation routine is applied identically across all four datasets and all five models, consistent with the dataset-independent, non-fabricated-field principle followed throughout the project.</w:t>
      </w:r>
    </w:p>
    <w:p w14:paraId="0587882F" w14:textId="77777777" w:rsidR="005C6B47" w:rsidRDefault="00B31150">
      <w:pPr>
        <w:keepNext/>
        <w:spacing w:before="260" w:after="120"/>
      </w:pPr>
      <w:r>
        <w:rPr>
          <w:b/>
          <w:bCs/>
          <w:color w:val="1F3864"/>
          <w:sz w:val="21"/>
          <w:szCs w:val="21"/>
        </w:rPr>
        <w:t>5. RESULTS</w:t>
      </w:r>
    </w:p>
    <w:p w14:paraId="3B803683" w14:textId="77777777" w:rsidR="005C6B47" w:rsidRDefault="00B31150">
      <w:pPr>
        <w:keepNext/>
        <w:spacing w:before="180" w:after="100"/>
      </w:pPr>
      <w:r>
        <w:rPr>
          <w:b/>
          <w:bCs/>
          <w:i/>
          <w:iCs/>
        </w:rPr>
        <w:t>5.1 Overall Dashboard Performance</w:t>
      </w:r>
    </w:p>
    <w:p w14:paraId="40B80559" w14:textId="77777777" w:rsidR="005C6B47" w:rsidRDefault="00B31150">
      <w:pPr>
        <w:spacing w:after="140" w:line="252" w:lineRule="auto"/>
        <w:jc w:val="both"/>
      </w:pPr>
      <w:r>
        <w:rPr>
          <w:sz w:val="19"/>
          <w:szCs w:val="19"/>
        </w:rPr>
        <w:t>Across all four datasets, the dashboard successfully loads, preprocesses, and computes KPIs without errors, and the interactive filters correctly restrict the displayed charts and narratives to the selected dataset, year, category, region, or segment. Sections 5.2–5.10 report verified descriptive KPI outputs; Sections 5.11–5.12 report the dashboard's validation results and its qualitative standing relative to existing reporting methods; and Section 5.13 reports the comparative regression results — RMSE, MAE, and R² for the four baseline models and the proposed HSRE — produced by the predictive component described in Sections 3.11 and 4.8.</w:t>
      </w:r>
    </w:p>
    <w:p w14:paraId="6EB2054A" w14:textId="77777777" w:rsidR="005C6B47" w:rsidRDefault="00B31150">
      <w:pPr>
        <w:keepNext/>
        <w:spacing w:before="180" w:after="100"/>
      </w:pPr>
      <w:r>
        <w:rPr>
          <w:b/>
          <w:bCs/>
          <w:i/>
          <w:iCs/>
        </w:rPr>
        <w:t>5.2 Dataset-wise Analysis</w:t>
      </w:r>
    </w:p>
    <w:p w14:paraId="3E81DF8B" w14:textId="77777777" w:rsidR="005C6B47" w:rsidRDefault="00B31150">
      <w:pPr>
        <w:spacing w:after="140" w:line="252" w:lineRule="auto"/>
        <w:jc w:val="both"/>
      </w:pPr>
      <w:r>
        <w:rPr>
          <w:sz w:val="19"/>
          <w:szCs w:val="19"/>
        </w:rPr>
        <w:t>Table 4 reports the verified KPI results obtained for each of the four datasets during project testing. Fields that could not be computed because the required source field is absent are marked as not available (N/A) rather than estimated.</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700"/>
        <w:gridCol w:w="1700"/>
        <w:gridCol w:w="1900"/>
      </w:tblGrid>
      <w:tr w:rsidR="005C6B47" w14:paraId="67AB43B1" w14:textId="77777777">
        <w:trPr>
          <w:tblHeader/>
        </w:trPr>
        <w:tc>
          <w:tcPr>
            <w:tcW w:w="2100" w:type="dxa"/>
            <w:shd w:val="clear" w:color="auto" w:fill="1F3864"/>
            <w:tcMar>
              <w:top w:w="60" w:type="dxa"/>
              <w:left w:w="80" w:type="dxa"/>
              <w:bottom w:w="60" w:type="dxa"/>
              <w:right w:w="80" w:type="dxa"/>
            </w:tcMar>
            <w:vAlign w:val="center"/>
          </w:tcPr>
          <w:p w14:paraId="1769B47C" w14:textId="77777777" w:rsidR="005C6B47" w:rsidRDefault="00B31150">
            <w:pPr>
              <w:jc w:val="center"/>
            </w:pPr>
            <w:r>
              <w:rPr>
                <w:b/>
                <w:bCs/>
                <w:color w:val="FFFFFF"/>
                <w:sz w:val="17"/>
                <w:szCs w:val="17"/>
              </w:rPr>
              <w:t>Dataset</w:t>
            </w:r>
          </w:p>
        </w:tc>
        <w:tc>
          <w:tcPr>
            <w:tcW w:w="1700" w:type="dxa"/>
            <w:shd w:val="clear" w:color="auto" w:fill="1F3864"/>
            <w:tcMar>
              <w:top w:w="60" w:type="dxa"/>
              <w:left w:w="80" w:type="dxa"/>
              <w:bottom w:w="60" w:type="dxa"/>
              <w:right w:w="80" w:type="dxa"/>
            </w:tcMar>
            <w:vAlign w:val="center"/>
          </w:tcPr>
          <w:p w14:paraId="4D3DBC7B" w14:textId="77777777" w:rsidR="005C6B47" w:rsidRDefault="00B31150">
            <w:pPr>
              <w:jc w:val="center"/>
            </w:pPr>
            <w:r>
              <w:rPr>
                <w:b/>
                <w:bCs/>
                <w:color w:val="FFFFFF"/>
                <w:sz w:val="17"/>
                <w:szCs w:val="17"/>
              </w:rPr>
              <w:t>Total Sales</w:t>
            </w:r>
          </w:p>
        </w:tc>
        <w:tc>
          <w:tcPr>
            <w:tcW w:w="1700" w:type="dxa"/>
            <w:shd w:val="clear" w:color="auto" w:fill="1F3864"/>
            <w:tcMar>
              <w:top w:w="60" w:type="dxa"/>
              <w:left w:w="80" w:type="dxa"/>
              <w:bottom w:w="60" w:type="dxa"/>
              <w:right w:w="80" w:type="dxa"/>
            </w:tcMar>
            <w:vAlign w:val="center"/>
          </w:tcPr>
          <w:p w14:paraId="5474A6CE" w14:textId="77777777" w:rsidR="005C6B47" w:rsidRDefault="00B31150">
            <w:pPr>
              <w:jc w:val="center"/>
            </w:pPr>
            <w:r>
              <w:rPr>
                <w:b/>
                <w:bCs/>
                <w:color w:val="FFFFFF"/>
                <w:sz w:val="17"/>
                <w:szCs w:val="17"/>
              </w:rPr>
              <w:t>Total Profit</w:t>
            </w:r>
          </w:p>
        </w:tc>
        <w:tc>
          <w:tcPr>
            <w:tcW w:w="1700" w:type="dxa"/>
            <w:shd w:val="clear" w:color="auto" w:fill="1F3864"/>
            <w:tcMar>
              <w:top w:w="60" w:type="dxa"/>
              <w:left w:w="80" w:type="dxa"/>
              <w:bottom w:w="60" w:type="dxa"/>
              <w:right w:w="80" w:type="dxa"/>
            </w:tcMar>
            <w:vAlign w:val="center"/>
          </w:tcPr>
          <w:p w14:paraId="1A300ACC" w14:textId="77777777" w:rsidR="005C6B47" w:rsidRDefault="00B31150">
            <w:pPr>
              <w:jc w:val="center"/>
            </w:pPr>
            <w:r>
              <w:rPr>
                <w:b/>
                <w:bCs/>
                <w:color w:val="FFFFFF"/>
                <w:sz w:val="17"/>
                <w:szCs w:val="17"/>
              </w:rPr>
              <w:t>Total Quantity</w:t>
            </w:r>
          </w:p>
        </w:tc>
        <w:tc>
          <w:tcPr>
            <w:tcW w:w="1900" w:type="dxa"/>
            <w:shd w:val="clear" w:color="auto" w:fill="1F3864"/>
            <w:tcMar>
              <w:top w:w="60" w:type="dxa"/>
              <w:left w:w="80" w:type="dxa"/>
              <w:bottom w:w="60" w:type="dxa"/>
              <w:right w:w="80" w:type="dxa"/>
            </w:tcMar>
            <w:vAlign w:val="center"/>
          </w:tcPr>
          <w:p w14:paraId="401B0568" w14:textId="77777777" w:rsidR="005C6B47" w:rsidRDefault="00B31150">
            <w:pPr>
              <w:jc w:val="center"/>
            </w:pPr>
            <w:r>
              <w:rPr>
                <w:b/>
                <w:bCs/>
                <w:color w:val="FFFFFF"/>
                <w:sz w:val="17"/>
                <w:szCs w:val="17"/>
              </w:rPr>
              <w:t>Total Customers</w:t>
            </w:r>
          </w:p>
        </w:tc>
      </w:tr>
      <w:tr w:rsidR="005C6B47" w14:paraId="6CFB4E1A" w14:textId="77777777">
        <w:tc>
          <w:tcPr>
            <w:tcW w:w="2100" w:type="dxa"/>
            <w:shd w:val="clear" w:color="auto" w:fill="FFFFFF"/>
            <w:tcMar>
              <w:top w:w="60" w:type="dxa"/>
              <w:left w:w="80" w:type="dxa"/>
              <w:bottom w:w="60" w:type="dxa"/>
              <w:right w:w="80" w:type="dxa"/>
            </w:tcMar>
            <w:vAlign w:val="center"/>
          </w:tcPr>
          <w:p w14:paraId="3050C022" w14:textId="77777777" w:rsidR="005C6B47" w:rsidRDefault="00B31150">
            <w:r>
              <w:rPr>
                <w:sz w:val="17"/>
                <w:szCs w:val="17"/>
              </w:rPr>
              <w:t>Superstore</w:t>
            </w:r>
          </w:p>
        </w:tc>
        <w:tc>
          <w:tcPr>
            <w:tcW w:w="1700" w:type="dxa"/>
            <w:shd w:val="clear" w:color="auto" w:fill="FFFFFF"/>
            <w:tcMar>
              <w:top w:w="60" w:type="dxa"/>
              <w:left w:w="80" w:type="dxa"/>
              <w:bottom w:w="60" w:type="dxa"/>
              <w:right w:w="80" w:type="dxa"/>
            </w:tcMar>
            <w:vAlign w:val="center"/>
          </w:tcPr>
          <w:p w14:paraId="24E7A23C" w14:textId="77777777" w:rsidR="005C6B47" w:rsidRDefault="00B31150">
            <w:r>
              <w:rPr>
                <w:sz w:val="17"/>
                <w:szCs w:val="17"/>
              </w:rPr>
              <w:t>7,417,273</w:t>
            </w:r>
          </w:p>
        </w:tc>
        <w:tc>
          <w:tcPr>
            <w:tcW w:w="1700" w:type="dxa"/>
            <w:shd w:val="clear" w:color="auto" w:fill="FFFFFF"/>
            <w:tcMar>
              <w:top w:w="60" w:type="dxa"/>
              <w:left w:w="80" w:type="dxa"/>
              <w:bottom w:w="60" w:type="dxa"/>
              <w:right w:w="80" w:type="dxa"/>
            </w:tcMar>
            <w:vAlign w:val="center"/>
          </w:tcPr>
          <w:p w14:paraId="65478F04" w14:textId="77777777" w:rsidR="005C6B47" w:rsidRDefault="00B31150">
            <w:r>
              <w:rPr>
                <w:sz w:val="17"/>
                <w:szCs w:val="17"/>
              </w:rPr>
              <w:t>931,914</w:t>
            </w:r>
          </w:p>
        </w:tc>
        <w:tc>
          <w:tcPr>
            <w:tcW w:w="1700" w:type="dxa"/>
            <w:shd w:val="clear" w:color="auto" w:fill="FFFFFF"/>
            <w:tcMar>
              <w:top w:w="60" w:type="dxa"/>
              <w:left w:w="80" w:type="dxa"/>
              <w:bottom w:w="60" w:type="dxa"/>
              <w:right w:w="80" w:type="dxa"/>
            </w:tcMar>
            <w:vAlign w:val="center"/>
          </w:tcPr>
          <w:p w14:paraId="054687A4" w14:textId="77777777" w:rsidR="005C6B47" w:rsidRDefault="00B31150">
            <w:r>
              <w:rPr>
                <w:sz w:val="17"/>
                <w:szCs w:val="17"/>
              </w:rPr>
              <w:t>123,054</w:t>
            </w:r>
          </w:p>
        </w:tc>
        <w:tc>
          <w:tcPr>
            <w:tcW w:w="1900" w:type="dxa"/>
            <w:shd w:val="clear" w:color="auto" w:fill="FFFFFF"/>
            <w:tcMar>
              <w:top w:w="60" w:type="dxa"/>
              <w:left w:w="80" w:type="dxa"/>
              <w:bottom w:w="60" w:type="dxa"/>
              <w:right w:w="80" w:type="dxa"/>
            </w:tcMar>
            <w:vAlign w:val="center"/>
          </w:tcPr>
          <w:p w14:paraId="7DCE435D" w14:textId="77777777" w:rsidR="005C6B47" w:rsidRDefault="00B31150">
            <w:r>
              <w:rPr>
                <w:sz w:val="17"/>
                <w:szCs w:val="17"/>
              </w:rPr>
              <w:t>804</w:t>
            </w:r>
          </w:p>
        </w:tc>
      </w:tr>
      <w:tr w:rsidR="005C6B47" w14:paraId="3EE88303" w14:textId="77777777">
        <w:tc>
          <w:tcPr>
            <w:tcW w:w="2100" w:type="dxa"/>
            <w:shd w:val="clear" w:color="auto" w:fill="FFFFFF"/>
            <w:tcMar>
              <w:top w:w="60" w:type="dxa"/>
              <w:left w:w="80" w:type="dxa"/>
              <w:bottom w:w="60" w:type="dxa"/>
              <w:right w:w="80" w:type="dxa"/>
            </w:tcMar>
            <w:vAlign w:val="center"/>
          </w:tcPr>
          <w:p w14:paraId="7FF03D71" w14:textId="77777777" w:rsidR="005C6B47" w:rsidRDefault="00B31150">
            <w:r>
              <w:rPr>
                <w:sz w:val="17"/>
                <w:szCs w:val="17"/>
              </w:rPr>
              <w:t>Global Superstore</w:t>
            </w:r>
          </w:p>
        </w:tc>
        <w:tc>
          <w:tcPr>
            <w:tcW w:w="1700" w:type="dxa"/>
            <w:shd w:val="clear" w:color="auto" w:fill="FFFFFF"/>
            <w:tcMar>
              <w:top w:w="60" w:type="dxa"/>
              <w:left w:w="80" w:type="dxa"/>
              <w:bottom w:w="60" w:type="dxa"/>
              <w:right w:w="80" w:type="dxa"/>
            </w:tcMar>
            <w:vAlign w:val="center"/>
          </w:tcPr>
          <w:p w14:paraId="3E721DF3" w14:textId="77777777" w:rsidR="005C6B47" w:rsidRDefault="00B31150">
            <w:r>
              <w:rPr>
                <w:sz w:val="17"/>
                <w:szCs w:val="17"/>
              </w:rPr>
              <w:t>12,642,905</w:t>
            </w:r>
          </w:p>
        </w:tc>
        <w:tc>
          <w:tcPr>
            <w:tcW w:w="1700" w:type="dxa"/>
            <w:shd w:val="clear" w:color="auto" w:fill="FFFFFF"/>
            <w:tcMar>
              <w:top w:w="60" w:type="dxa"/>
              <w:left w:w="80" w:type="dxa"/>
              <w:bottom w:w="60" w:type="dxa"/>
              <w:right w:w="80" w:type="dxa"/>
            </w:tcMar>
            <w:vAlign w:val="center"/>
          </w:tcPr>
          <w:p w14:paraId="3AF3BD88" w14:textId="77777777" w:rsidR="005C6B47" w:rsidRDefault="00B31150">
            <w:r>
              <w:rPr>
                <w:sz w:val="17"/>
                <w:szCs w:val="17"/>
              </w:rPr>
              <w:t>1,467,457</w:t>
            </w:r>
          </w:p>
        </w:tc>
        <w:tc>
          <w:tcPr>
            <w:tcW w:w="1700" w:type="dxa"/>
            <w:shd w:val="clear" w:color="auto" w:fill="FFFFFF"/>
            <w:tcMar>
              <w:top w:w="60" w:type="dxa"/>
              <w:left w:w="80" w:type="dxa"/>
              <w:bottom w:w="60" w:type="dxa"/>
              <w:right w:w="80" w:type="dxa"/>
            </w:tcMar>
            <w:vAlign w:val="center"/>
          </w:tcPr>
          <w:p w14:paraId="33BAE479" w14:textId="77777777" w:rsidR="005C6B47" w:rsidRDefault="00B31150">
            <w:r>
              <w:rPr>
                <w:sz w:val="17"/>
                <w:szCs w:val="17"/>
              </w:rPr>
              <w:t>178,312</w:t>
            </w:r>
          </w:p>
        </w:tc>
        <w:tc>
          <w:tcPr>
            <w:tcW w:w="1900" w:type="dxa"/>
            <w:shd w:val="clear" w:color="auto" w:fill="FFFFFF"/>
            <w:tcMar>
              <w:top w:w="60" w:type="dxa"/>
              <w:left w:w="80" w:type="dxa"/>
              <w:bottom w:w="60" w:type="dxa"/>
              <w:right w:w="80" w:type="dxa"/>
            </w:tcMar>
            <w:vAlign w:val="center"/>
          </w:tcPr>
          <w:p w14:paraId="23DBB62C" w14:textId="77777777" w:rsidR="005C6B47" w:rsidRDefault="00B31150">
            <w:r>
              <w:rPr>
                <w:sz w:val="17"/>
                <w:szCs w:val="17"/>
              </w:rPr>
              <w:t>4,873</w:t>
            </w:r>
          </w:p>
        </w:tc>
      </w:tr>
      <w:tr w:rsidR="005C6B47" w14:paraId="71C58995" w14:textId="77777777">
        <w:tc>
          <w:tcPr>
            <w:tcW w:w="2100" w:type="dxa"/>
            <w:shd w:val="clear" w:color="auto" w:fill="FFFFFF"/>
            <w:tcMar>
              <w:top w:w="60" w:type="dxa"/>
              <w:left w:w="80" w:type="dxa"/>
              <w:bottom w:w="60" w:type="dxa"/>
              <w:right w:w="80" w:type="dxa"/>
            </w:tcMar>
            <w:vAlign w:val="center"/>
          </w:tcPr>
          <w:p w14:paraId="78F6D970" w14:textId="77777777" w:rsidR="005C6B47" w:rsidRDefault="00B31150">
            <w:r>
              <w:rPr>
                <w:sz w:val="17"/>
                <w:szCs w:val="17"/>
              </w:rPr>
              <w:t>Online Sales</w:t>
            </w:r>
          </w:p>
        </w:tc>
        <w:tc>
          <w:tcPr>
            <w:tcW w:w="1700" w:type="dxa"/>
            <w:shd w:val="clear" w:color="auto" w:fill="FFFFFF"/>
            <w:tcMar>
              <w:top w:w="60" w:type="dxa"/>
              <w:left w:w="80" w:type="dxa"/>
              <w:bottom w:w="60" w:type="dxa"/>
              <w:right w:w="80" w:type="dxa"/>
            </w:tcMar>
            <w:vAlign w:val="center"/>
          </w:tcPr>
          <w:p w14:paraId="3100853D" w14:textId="77777777" w:rsidR="005C6B47" w:rsidRDefault="00B31150">
            <w:r>
              <w:rPr>
                <w:sz w:val="17"/>
                <w:szCs w:val="17"/>
              </w:rPr>
              <w:t>437,771</w:t>
            </w:r>
          </w:p>
        </w:tc>
        <w:tc>
          <w:tcPr>
            <w:tcW w:w="1700" w:type="dxa"/>
            <w:shd w:val="clear" w:color="auto" w:fill="FFFFFF"/>
            <w:tcMar>
              <w:top w:w="60" w:type="dxa"/>
              <w:left w:w="80" w:type="dxa"/>
              <w:bottom w:w="60" w:type="dxa"/>
              <w:right w:w="80" w:type="dxa"/>
            </w:tcMar>
            <w:vAlign w:val="center"/>
          </w:tcPr>
          <w:p w14:paraId="7C045032" w14:textId="77777777" w:rsidR="005C6B47" w:rsidRDefault="00B31150">
            <w:r>
              <w:rPr>
                <w:sz w:val="17"/>
                <w:szCs w:val="17"/>
              </w:rPr>
              <w:t>36,963</w:t>
            </w:r>
          </w:p>
        </w:tc>
        <w:tc>
          <w:tcPr>
            <w:tcW w:w="1700" w:type="dxa"/>
            <w:shd w:val="clear" w:color="auto" w:fill="FFFFFF"/>
            <w:tcMar>
              <w:top w:w="60" w:type="dxa"/>
              <w:left w:w="80" w:type="dxa"/>
              <w:bottom w:w="60" w:type="dxa"/>
              <w:right w:w="80" w:type="dxa"/>
            </w:tcMar>
            <w:vAlign w:val="center"/>
          </w:tcPr>
          <w:p w14:paraId="4C85829A" w14:textId="77777777" w:rsidR="005C6B47" w:rsidRDefault="00B31150">
            <w:r>
              <w:rPr>
                <w:sz w:val="17"/>
                <w:szCs w:val="17"/>
              </w:rPr>
              <w:t>5,615</w:t>
            </w:r>
          </w:p>
        </w:tc>
        <w:tc>
          <w:tcPr>
            <w:tcW w:w="1900" w:type="dxa"/>
            <w:shd w:val="clear" w:color="auto" w:fill="FFFFFF"/>
            <w:tcMar>
              <w:top w:w="60" w:type="dxa"/>
              <w:left w:w="80" w:type="dxa"/>
              <w:bottom w:w="60" w:type="dxa"/>
              <w:right w:w="80" w:type="dxa"/>
            </w:tcMar>
            <w:vAlign w:val="center"/>
          </w:tcPr>
          <w:p w14:paraId="38F03246" w14:textId="77777777" w:rsidR="005C6B47" w:rsidRDefault="00B31150">
            <w:r>
              <w:rPr>
                <w:sz w:val="17"/>
                <w:szCs w:val="17"/>
              </w:rPr>
              <w:t>N/A (no customer identifier in source)</w:t>
            </w:r>
          </w:p>
        </w:tc>
      </w:tr>
      <w:tr w:rsidR="005C6B47" w14:paraId="4A9DE07F" w14:textId="77777777">
        <w:tc>
          <w:tcPr>
            <w:tcW w:w="2100" w:type="dxa"/>
            <w:shd w:val="clear" w:color="auto" w:fill="FFFFFF"/>
            <w:tcMar>
              <w:top w:w="60" w:type="dxa"/>
              <w:left w:w="80" w:type="dxa"/>
              <w:bottom w:w="60" w:type="dxa"/>
              <w:right w:w="80" w:type="dxa"/>
            </w:tcMar>
            <w:vAlign w:val="center"/>
          </w:tcPr>
          <w:p w14:paraId="423C1762" w14:textId="77777777" w:rsidR="005C6B47" w:rsidRDefault="00B31150">
            <w:r>
              <w:rPr>
                <w:sz w:val="17"/>
                <w:szCs w:val="17"/>
              </w:rPr>
              <w:t>Supermarket Dataset</w:t>
            </w:r>
          </w:p>
        </w:tc>
        <w:tc>
          <w:tcPr>
            <w:tcW w:w="1700" w:type="dxa"/>
            <w:shd w:val="clear" w:color="auto" w:fill="FFFFFF"/>
            <w:tcMar>
              <w:top w:w="60" w:type="dxa"/>
              <w:left w:w="80" w:type="dxa"/>
              <w:bottom w:w="60" w:type="dxa"/>
              <w:right w:w="80" w:type="dxa"/>
            </w:tcMar>
            <w:vAlign w:val="center"/>
          </w:tcPr>
          <w:p w14:paraId="1659E6FE" w14:textId="77777777" w:rsidR="005C6B47" w:rsidRDefault="00B31150">
            <w:r>
              <w:rPr>
                <w:sz w:val="17"/>
                <w:szCs w:val="17"/>
              </w:rPr>
              <w:t>≈ 2,297,354</w:t>
            </w:r>
          </w:p>
        </w:tc>
        <w:tc>
          <w:tcPr>
            <w:tcW w:w="1700" w:type="dxa"/>
            <w:shd w:val="clear" w:color="auto" w:fill="FFFFFF"/>
            <w:tcMar>
              <w:top w:w="60" w:type="dxa"/>
              <w:left w:w="80" w:type="dxa"/>
              <w:bottom w:w="60" w:type="dxa"/>
              <w:right w:w="80" w:type="dxa"/>
            </w:tcMar>
            <w:vAlign w:val="center"/>
          </w:tcPr>
          <w:p w14:paraId="11FF5054" w14:textId="77777777" w:rsidR="005C6B47" w:rsidRDefault="00B31150">
            <w:r>
              <w:rPr>
                <w:sz w:val="17"/>
                <w:szCs w:val="17"/>
              </w:rPr>
              <w:t>≈ 286,347</w:t>
            </w:r>
          </w:p>
        </w:tc>
        <w:tc>
          <w:tcPr>
            <w:tcW w:w="1700" w:type="dxa"/>
            <w:shd w:val="clear" w:color="auto" w:fill="FFFFFF"/>
            <w:tcMar>
              <w:top w:w="60" w:type="dxa"/>
              <w:left w:w="80" w:type="dxa"/>
              <w:bottom w:w="60" w:type="dxa"/>
              <w:right w:w="80" w:type="dxa"/>
            </w:tcMar>
            <w:vAlign w:val="center"/>
          </w:tcPr>
          <w:p w14:paraId="0AB966E2" w14:textId="77777777" w:rsidR="005C6B47" w:rsidRDefault="00B31150">
            <w:r>
              <w:rPr>
                <w:sz w:val="17"/>
                <w:szCs w:val="17"/>
              </w:rPr>
              <w:t>N/A in available summary</w:t>
            </w:r>
          </w:p>
        </w:tc>
        <w:tc>
          <w:tcPr>
            <w:tcW w:w="1900" w:type="dxa"/>
            <w:shd w:val="clear" w:color="auto" w:fill="FFFFFF"/>
            <w:tcMar>
              <w:top w:w="60" w:type="dxa"/>
              <w:left w:w="80" w:type="dxa"/>
              <w:bottom w:w="60" w:type="dxa"/>
              <w:right w:w="80" w:type="dxa"/>
            </w:tcMar>
            <w:vAlign w:val="center"/>
          </w:tcPr>
          <w:p w14:paraId="05ACA0B5" w14:textId="77777777" w:rsidR="005C6B47" w:rsidRDefault="00B31150">
            <w:r>
              <w:rPr>
                <w:sz w:val="17"/>
                <w:szCs w:val="17"/>
              </w:rPr>
              <w:t>N/A in available summary</w:t>
            </w:r>
          </w:p>
        </w:tc>
      </w:tr>
    </w:tbl>
    <w:p w14:paraId="25BA5070" w14:textId="77777777" w:rsidR="005C6B47" w:rsidRDefault="00B31150">
      <w:pPr>
        <w:spacing w:before="80" w:after="200"/>
        <w:jc w:val="center"/>
      </w:pPr>
      <w:r>
        <w:rPr>
          <w:i/>
          <w:iCs/>
          <w:sz w:val="18"/>
          <w:szCs w:val="18"/>
        </w:rPr>
        <w:t>Table 4. Verified whole-dataset KPI results (all filters cleared).</w:t>
      </w:r>
    </w:p>
    <w:p w14:paraId="77ACAC87" w14:textId="77777777" w:rsidR="005C6B47" w:rsidRDefault="00B31150">
      <w:pPr>
        <w:keepNext/>
        <w:spacing w:before="180" w:after="100"/>
      </w:pPr>
      <w:r>
        <w:rPr>
          <w:b/>
          <w:bCs/>
          <w:i/>
          <w:iCs/>
        </w:rPr>
        <w:t>5.3 KPI Results and Dashboard Overview (Fig. 3)</w:t>
      </w:r>
    </w:p>
    <w:p w14:paraId="3663C110" w14:textId="77777777" w:rsidR="005C6B47" w:rsidRDefault="00B31150">
      <w:pPr>
        <w:spacing w:after="140" w:line="252" w:lineRule="auto"/>
        <w:jc w:val="both"/>
      </w:pPr>
      <w:r>
        <w:rPr>
          <w:sz w:val="19"/>
          <w:szCs w:val="19"/>
        </w:rPr>
        <w:t>Figure 3 is a direct screenshot of the running dashboard for the Superstore dataset filtered to the Furniture category, showing the KPI summary panel, the dataset-aware filter bar, the Sales Trend chart, the Sales by Category chart, and the Sales by Region donut chart. The KPI panel reports Total Sales of 4,110,884, Total Profit of 285,205, Total Orders of 8,195, Total Quantity of 34,954, Total Customers of 3,691, and a Profit Margin of 6.94%, matching Table 3. Total Orders and Profit Margin are computed dynamically from the currently filtered order-level records and, because they change with every filter combination (dataset, year, category, region, segment), are reported live in the interactive tool rather than as a single static figure elsewhere in this paper. The Profit Margin KPI provides a normalised profitability indicator that is comparable in principle across datasets even though absolute sales and profit scales differ substantially — for example, Global Superstore's whole-dataset totals in Table 4 are the largest of the four datasets, reflecting its broader, multi-country customer base of 4,873 customers compared with Superstore's 804.</w:t>
      </w:r>
    </w:p>
    <w:p w14:paraId="2BF24CC5" w14:textId="79EB5B2B" w:rsidR="005C6B47" w:rsidRDefault="004A2AD3">
      <w:pPr>
        <w:spacing w:before="120" w:after="40"/>
        <w:jc w:val="center"/>
      </w:pPr>
      <w:r>
        <w:rPr>
          <w:noProof/>
        </w:rPr>
        <w:lastRenderedPageBreak/>
        <w:drawing>
          <wp:inline distT="0" distB="0" distL="0" distR="0" wp14:anchorId="141E312D" wp14:editId="1C92E546">
            <wp:extent cx="6400800" cy="3597275"/>
            <wp:effectExtent l="0" t="0" r="0" b="3175"/>
            <wp:docPr id="64515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597275"/>
                    </a:xfrm>
                    <a:prstGeom prst="rect">
                      <a:avLst/>
                    </a:prstGeom>
                    <a:noFill/>
                    <a:ln>
                      <a:noFill/>
                    </a:ln>
                  </pic:spPr>
                </pic:pic>
              </a:graphicData>
            </a:graphic>
          </wp:inline>
        </w:drawing>
      </w:r>
    </w:p>
    <w:p w14:paraId="0977DFC3" w14:textId="77777777" w:rsidR="005C6B47" w:rsidRDefault="00B31150">
      <w:pPr>
        <w:spacing w:before="80" w:after="200"/>
        <w:jc w:val="center"/>
      </w:pPr>
      <w:r>
        <w:rPr>
          <w:i/>
          <w:iCs/>
          <w:sz w:val="18"/>
          <w:szCs w:val="18"/>
        </w:rPr>
        <w:t>Fig. 3. Dashboard output for Superstore → Furniture: filter bar, KPI cards, Sales Trend, Sales by Category, and Sales by Region.</w:t>
      </w:r>
    </w:p>
    <w:p w14:paraId="56CFE62C" w14:textId="77777777" w:rsidR="005C6B47" w:rsidRDefault="00B31150">
      <w:pPr>
        <w:keepNext/>
        <w:spacing w:before="180" w:after="100"/>
      </w:pPr>
      <w:r>
        <w:rPr>
          <w:b/>
          <w:bCs/>
          <w:i/>
          <w:iCs/>
        </w:rPr>
        <w:t>5.4 Category Analysis</w:t>
      </w:r>
    </w:p>
    <w:p w14:paraId="00BE17E1" w14:textId="77777777" w:rsidR="005C6B47" w:rsidRDefault="00B31150">
      <w:pPr>
        <w:spacing w:after="140" w:line="252" w:lineRule="auto"/>
        <w:jc w:val="both"/>
      </w:pPr>
      <w:r>
        <w:rPr>
          <w:sz w:val="19"/>
          <w:szCs w:val="19"/>
        </w:rPr>
        <w:t>The dashboard's Sales by Category and Profit by Category charts (Fig. 3 and Fig. 4) break down performance using each dataset's own category field: Furniture, Office Supplies, and Technology for Superstore, Global Superstore, and the Supermarket dataset; and Electronics, Furniture, and Clothing for Online Sales. In Fig. 3, with the Category filter set to Furniture, the Sales by Category bar collapses to a single bar at the full filtered sales value (4,110,884), which is the expected behaviour once a single category is selected; with no category filter applied, the same chart would instead show one bar per category. Because category composition differs across sources, the dashboard does not attempt to align categories across datasets into a single combined chart; category-level figures are only ever shown within the context of one selected dataset at a time, which preserves the integrity of each source's own category definitions.</w:t>
      </w:r>
    </w:p>
    <w:p w14:paraId="17A6C9D0" w14:textId="77777777" w:rsidR="005C6B47" w:rsidRDefault="00B31150">
      <w:pPr>
        <w:keepNext/>
        <w:spacing w:before="180" w:after="100"/>
      </w:pPr>
      <w:r>
        <w:rPr>
          <w:b/>
          <w:bCs/>
          <w:i/>
          <w:iCs/>
        </w:rPr>
        <w:t>5.5 Regional Analysis</w:t>
      </w:r>
    </w:p>
    <w:p w14:paraId="7498F771" w14:textId="77777777" w:rsidR="005C6B47" w:rsidRDefault="00B31150">
      <w:pPr>
        <w:spacing w:after="140" w:line="252" w:lineRule="auto"/>
        <w:jc w:val="both"/>
      </w:pPr>
      <w:r>
        <w:rPr>
          <w:sz w:val="19"/>
          <w:szCs w:val="19"/>
        </w:rPr>
        <w:t>The Sales by Region donut in Fig. 3 shows the geographic distribution of the filtered Furniture sales: Central leads at 20.9%, followed by South (12.5%), Oceania (9.99%), North (9.19%), North Asia (8.17%), Southeast Asia (7.62%), Central Asia (6.92%), West (6.15%), EMEA (5.56%), East (4.73%), Africa (2.88%), and Caribbean (0.258%), confirming that Superstore/Global-Superstore-style datasets carry genuinely global regional detail. For datasets where regional granularity is limited or not consistently populated, the dashboard displays the regional chart using whatever regional information the source actually contains, and does not substitute inferred or approximated regions.</w:t>
      </w:r>
    </w:p>
    <w:p w14:paraId="2B59AF50" w14:textId="77777777" w:rsidR="005C6B47" w:rsidRDefault="00B31150">
      <w:pPr>
        <w:keepNext/>
        <w:spacing w:before="180" w:after="100"/>
      </w:pPr>
      <w:r>
        <w:rPr>
          <w:b/>
          <w:bCs/>
          <w:i/>
          <w:iCs/>
        </w:rPr>
        <w:t>5.6 Product Analysis (Fig. 4)</w:t>
      </w:r>
    </w:p>
    <w:p w14:paraId="2AA758AB" w14:textId="77777777" w:rsidR="005C6B47" w:rsidRDefault="00B31150">
      <w:pPr>
        <w:spacing w:after="140" w:line="252" w:lineRule="auto"/>
        <w:jc w:val="both"/>
      </w:pPr>
      <w:r>
        <w:rPr>
          <w:sz w:val="19"/>
          <w:szCs w:val="19"/>
        </w:rPr>
        <w:t>The Top Products panel in Fig. 4 ranks products within the currently selected dataset and filter context by total sales, and is dominated in this filtered view by several Leather Armchair variants (adjustable and executive black/red models, with values ranging from roughly 20,000 up to almost 60,000 each) together with a Classic Bookcase (Traditional), showing that a small number of high-value seating SKUs drive a disproportionate share of Furniture sales. Because product catalogues differ entirely between datasets (for example, a supermarket product list versus an office-supplies product list), this view is always dataset-specific.</w:t>
      </w:r>
    </w:p>
    <w:p w14:paraId="71017255" w14:textId="0B87E822" w:rsidR="005C6B47" w:rsidRDefault="005C6B47">
      <w:pPr>
        <w:spacing w:before="120" w:after="40"/>
        <w:jc w:val="center"/>
      </w:pPr>
    </w:p>
    <w:p w14:paraId="4C46EB90" w14:textId="696A183F" w:rsidR="004A2AD3" w:rsidRDefault="00405DCA">
      <w:pPr>
        <w:spacing w:before="120" w:after="40"/>
        <w:jc w:val="center"/>
      </w:pPr>
      <w:r w:rsidRPr="00405DCA">
        <w:rPr>
          <w:noProof/>
        </w:rPr>
        <w:lastRenderedPageBreak/>
        <w:drawing>
          <wp:inline distT="0" distB="0" distL="0" distR="0" wp14:anchorId="26311F46" wp14:editId="0B59A68F">
            <wp:extent cx="6400800" cy="4648200"/>
            <wp:effectExtent l="0" t="0" r="0" b="0"/>
            <wp:docPr id="102231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2597" name=""/>
                    <pic:cNvPicPr/>
                  </pic:nvPicPr>
                  <pic:blipFill>
                    <a:blip r:embed="rId10"/>
                    <a:stretch>
                      <a:fillRect/>
                    </a:stretch>
                  </pic:blipFill>
                  <pic:spPr>
                    <a:xfrm>
                      <a:off x="0" y="0"/>
                      <a:ext cx="6400800" cy="4648200"/>
                    </a:xfrm>
                    <a:prstGeom prst="rect">
                      <a:avLst/>
                    </a:prstGeom>
                  </pic:spPr>
                </pic:pic>
              </a:graphicData>
            </a:graphic>
          </wp:inline>
        </w:drawing>
      </w:r>
    </w:p>
    <w:p w14:paraId="5F8C1B64" w14:textId="77777777" w:rsidR="005C6B47" w:rsidRDefault="00B31150">
      <w:pPr>
        <w:spacing w:before="80" w:after="200"/>
        <w:jc w:val="center"/>
      </w:pPr>
      <w:r>
        <w:rPr>
          <w:i/>
          <w:iCs/>
          <w:sz w:val="18"/>
          <w:szCs w:val="18"/>
        </w:rPr>
        <w:t>Fig. 4. Dashboard output for Superstore → Furniture: Top Products, Data Story, Sales by Customer Segment, Profit by Category, and Discount vs. Profit.</w:t>
      </w:r>
    </w:p>
    <w:p w14:paraId="1D03B68E" w14:textId="77777777" w:rsidR="005C6B47" w:rsidRDefault="00B31150">
      <w:pPr>
        <w:keepNext/>
        <w:spacing w:before="180" w:after="100"/>
      </w:pPr>
      <w:r>
        <w:rPr>
          <w:b/>
          <w:bCs/>
          <w:i/>
          <w:iCs/>
        </w:rPr>
        <w:t>5.7 Customer Segment Analysis</w:t>
      </w:r>
    </w:p>
    <w:p w14:paraId="327F164A" w14:textId="77777777" w:rsidR="005C6B47" w:rsidRDefault="00B31150">
      <w:pPr>
        <w:spacing w:after="140" w:line="252" w:lineRule="auto"/>
        <w:jc w:val="both"/>
      </w:pPr>
      <w:r>
        <w:rPr>
          <w:sz w:val="19"/>
          <w:szCs w:val="19"/>
        </w:rPr>
        <w:t>The Sales by Customer Segment chart in Fig. 4 shows Consumer as the leading segment at approximately 1.9 million in filtered Furniture sales, ahead of Corporate at approximately 1.2 million and Home Office at approximately 0.7 million (values read from the chart's gridlines). For Online Sales, where no customer identifier is available, segment-level analysis is limited to whatever categorical distinctions the dataset itself provides, and the dashboard does not fabricate a segmentation that the source data cannot support.</w:t>
      </w:r>
    </w:p>
    <w:p w14:paraId="5086F145" w14:textId="77777777" w:rsidR="005C6B47" w:rsidRDefault="00B31150">
      <w:pPr>
        <w:keepNext/>
        <w:spacing w:before="180" w:after="100"/>
      </w:pPr>
      <w:r>
        <w:rPr>
          <w:b/>
          <w:bCs/>
          <w:i/>
          <w:iCs/>
        </w:rPr>
        <w:t>5.8 Discount vs. Profit Analysis</w:t>
      </w:r>
    </w:p>
    <w:p w14:paraId="63E2BC7B" w14:textId="77777777" w:rsidR="005C6B47" w:rsidRDefault="00B31150">
      <w:pPr>
        <w:spacing w:after="140" w:line="252" w:lineRule="auto"/>
        <w:jc w:val="both"/>
      </w:pPr>
      <w:r>
        <w:rPr>
          <w:sz w:val="19"/>
          <w:szCs w:val="19"/>
        </w:rPr>
        <w:t>The Discount vs. Profit scatter in Fig. 4 plots every filtered order's discount level against its resulting profit. Profit is highest and most tightly clustered (up to roughly +2,000) at zero or near-zero discount; as discount increases beyond approximately 0.3–0.4, the profit distribution widens and shifts downward, with a substantial share of orders showing negative profit (down to roughly –3,000) at discounts of 0.6 and above. This view is used directly by the Decision Analytics narrative in Section 5.10 to identify discount ranges associated with reduced or negative profit, supporting pricing- and promotion-related decisions.</w:t>
      </w:r>
    </w:p>
    <w:p w14:paraId="0C65A16A" w14:textId="77777777" w:rsidR="005C6B47" w:rsidRDefault="00B31150">
      <w:pPr>
        <w:keepNext/>
        <w:spacing w:before="180" w:after="100"/>
      </w:pPr>
      <w:r>
        <w:rPr>
          <w:b/>
          <w:bCs/>
          <w:i/>
          <w:iCs/>
        </w:rPr>
        <w:t>5.9 Data Story / Insights</w:t>
      </w:r>
    </w:p>
    <w:p w14:paraId="31EE141C" w14:textId="77777777" w:rsidR="005C6B47" w:rsidRDefault="00B31150">
      <w:pPr>
        <w:spacing w:after="140" w:line="252" w:lineRule="auto"/>
        <w:jc w:val="both"/>
      </w:pPr>
      <w:r>
        <w:rPr>
          <w:sz w:val="19"/>
          <w:szCs w:val="19"/>
        </w:rPr>
        <w:t>Fig. 4 also shows the dashboard's actual, live-generated Data Story panel for the Superstore → Furniture filter, reproduced here as the Finding → Meaning → Decision → Recommendation structure described in Section 3.9:</w:t>
      </w:r>
    </w:p>
    <w:p w14:paraId="15863D48" w14:textId="77777777" w:rsidR="005C6B47" w:rsidRDefault="00B31150">
      <w:pPr>
        <w:pStyle w:val="ListParagraph"/>
        <w:numPr>
          <w:ilvl w:val="0"/>
          <w:numId w:val="3"/>
        </w:numPr>
        <w:spacing w:after="110" w:line="250" w:lineRule="auto"/>
        <w:jc w:val="both"/>
      </w:pPr>
      <w:r>
        <w:rPr>
          <w:sz w:val="19"/>
          <w:szCs w:val="19"/>
        </w:rPr>
        <w:t>Finding: Furniture is the highest-performing category with sales of 4,110,884.</w:t>
      </w:r>
    </w:p>
    <w:p w14:paraId="59E9B518" w14:textId="77777777" w:rsidR="005C6B47" w:rsidRDefault="00B31150">
      <w:pPr>
        <w:pStyle w:val="ListParagraph"/>
        <w:numPr>
          <w:ilvl w:val="0"/>
          <w:numId w:val="3"/>
        </w:numPr>
        <w:spacing w:after="110" w:line="250" w:lineRule="auto"/>
        <w:jc w:val="both"/>
      </w:pPr>
      <w:r>
        <w:rPr>
          <w:sz w:val="19"/>
          <w:szCs w:val="19"/>
        </w:rPr>
        <w:t>Meaning: The selected data contains 9,876 records; total sales are 4,110,884 and total profit is 285,205, giving a profit margin of 6.94%.</w:t>
      </w:r>
    </w:p>
    <w:p w14:paraId="75D52D90" w14:textId="77777777" w:rsidR="005C6B47" w:rsidRDefault="00B31150">
      <w:pPr>
        <w:pStyle w:val="ListParagraph"/>
        <w:numPr>
          <w:ilvl w:val="0"/>
          <w:numId w:val="3"/>
        </w:numPr>
        <w:spacing w:after="110" w:line="250" w:lineRule="auto"/>
        <w:jc w:val="both"/>
      </w:pPr>
      <w:r>
        <w:rPr>
          <w:sz w:val="19"/>
          <w:szCs w:val="19"/>
        </w:rPr>
        <w:t>Decision: The business can continue focusing on Furniture while monitoring sales and profitability.</w:t>
      </w:r>
    </w:p>
    <w:p w14:paraId="0E41D0F8" w14:textId="77777777" w:rsidR="005C6B47" w:rsidRDefault="00B31150">
      <w:pPr>
        <w:pStyle w:val="ListParagraph"/>
        <w:numPr>
          <w:ilvl w:val="0"/>
          <w:numId w:val="3"/>
        </w:numPr>
        <w:spacing w:after="110" w:line="250" w:lineRule="auto"/>
        <w:jc w:val="both"/>
      </w:pPr>
      <w:r>
        <w:rPr>
          <w:sz w:val="19"/>
          <w:szCs w:val="19"/>
        </w:rPr>
        <w:t>Recommendation: Continue supporting Furniture, but review pricing and discounts to improve profitability.</w:t>
      </w:r>
    </w:p>
    <w:p w14:paraId="0DFA840D" w14:textId="77777777" w:rsidR="005C6B47" w:rsidRDefault="00B31150">
      <w:pPr>
        <w:spacing w:after="140" w:line="252" w:lineRule="auto"/>
        <w:jc w:val="both"/>
      </w:pPr>
      <w:r>
        <w:rPr>
          <w:sz w:val="19"/>
          <w:szCs w:val="19"/>
        </w:rPr>
        <w:lastRenderedPageBreak/>
        <w:t>This example demonstrates RQ4 directly: the narrative is generated from, and numerically consistent with, the same filtered aggregates shown in the KPI panel and charts, rather than being a generic or templated caption.</w:t>
      </w:r>
    </w:p>
    <w:p w14:paraId="5EA8A4E9" w14:textId="77777777" w:rsidR="005C6B47" w:rsidRDefault="00B31150">
      <w:pPr>
        <w:keepNext/>
        <w:spacing w:before="180" w:after="100"/>
      </w:pPr>
      <w:r>
        <w:rPr>
          <w:b/>
          <w:bCs/>
          <w:i/>
          <w:iCs/>
        </w:rPr>
        <w:t>5.10 Decision Analytics</w:t>
      </w:r>
    </w:p>
    <w:p w14:paraId="06CB75B6" w14:textId="77777777" w:rsidR="005C6B47" w:rsidRDefault="00B31150">
      <w:pPr>
        <w:spacing w:after="140" w:line="252" w:lineRule="auto"/>
        <w:jc w:val="both"/>
      </w:pPr>
      <w:r>
        <w:rPr>
          <w:sz w:val="19"/>
          <w:szCs w:val="19"/>
        </w:rPr>
        <w:t>The dashboard's Decision Analytics panel (visible at the foot of Fig. 4) applies the same Finding → Meaning → Decision → Recommendation structure to a cross-cutting business question rather than a single category. Grounded in the Discount vs. Profit pattern described in Section 5.8, a representative narrative for this filter context reads as follows:</w:t>
      </w:r>
    </w:p>
    <w:p w14:paraId="466F6C48" w14:textId="77777777" w:rsidR="005C6B47" w:rsidRDefault="00B31150">
      <w:pPr>
        <w:pStyle w:val="ListParagraph"/>
        <w:numPr>
          <w:ilvl w:val="0"/>
          <w:numId w:val="3"/>
        </w:numPr>
        <w:spacing w:after="110" w:line="250" w:lineRule="auto"/>
        <w:jc w:val="both"/>
      </w:pPr>
      <w:r>
        <w:rPr>
          <w:sz w:val="19"/>
          <w:szCs w:val="19"/>
        </w:rPr>
        <w:t>Finding: Orders with discount levels above approximately 0.3–0.4 in the currently filtered view cluster toward lower, and increasingly negative, profit values relative to orders with little or no discount.</w:t>
      </w:r>
    </w:p>
    <w:p w14:paraId="3B99E398" w14:textId="77777777" w:rsidR="005C6B47" w:rsidRDefault="00B31150">
      <w:pPr>
        <w:pStyle w:val="ListParagraph"/>
        <w:numPr>
          <w:ilvl w:val="0"/>
          <w:numId w:val="3"/>
        </w:numPr>
        <w:spacing w:after="110" w:line="250" w:lineRule="auto"/>
        <w:jc w:val="both"/>
      </w:pPr>
      <w:r>
        <w:rPr>
          <w:sz w:val="19"/>
          <w:szCs w:val="19"/>
        </w:rPr>
        <w:t>Meaning: This suggests that discounting practice within the Furniture category may be eroding profit margin at higher discount levels rather than proportionally increasing profitable volume.</w:t>
      </w:r>
    </w:p>
    <w:p w14:paraId="19BD051B" w14:textId="77777777" w:rsidR="005C6B47" w:rsidRDefault="00B31150">
      <w:pPr>
        <w:pStyle w:val="ListParagraph"/>
        <w:numPr>
          <w:ilvl w:val="0"/>
          <w:numId w:val="3"/>
        </w:numPr>
        <w:spacing w:after="110" w:line="250" w:lineRule="auto"/>
        <w:jc w:val="both"/>
      </w:pPr>
      <w:r>
        <w:rPr>
          <w:sz w:val="19"/>
          <w:szCs w:val="19"/>
        </w:rPr>
        <w:t>Decision: Discounting policy for Furniture orders above the observed threshold could be reviewed rather than left unchanged.</w:t>
      </w:r>
    </w:p>
    <w:p w14:paraId="037989D8" w14:textId="77777777" w:rsidR="005C6B47" w:rsidRDefault="00B31150">
      <w:pPr>
        <w:pStyle w:val="ListParagraph"/>
        <w:numPr>
          <w:ilvl w:val="0"/>
          <w:numId w:val="3"/>
        </w:numPr>
        <w:spacing w:after="110" w:line="250" w:lineRule="auto"/>
        <w:jc w:val="both"/>
      </w:pPr>
      <w:r>
        <w:rPr>
          <w:sz w:val="19"/>
          <w:szCs w:val="19"/>
        </w:rPr>
        <w:t>Recommendation: Consider capping discounts on Furniture orders below the 0.4 level identified in Fig. 4, and re-examine this view after applying different year or regional filters to confirm the pattern is not specific to a single period or location.</w:t>
      </w:r>
    </w:p>
    <w:p w14:paraId="68A9DD50" w14:textId="77777777" w:rsidR="005C6B47" w:rsidRDefault="00B31150">
      <w:pPr>
        <w:keepNext/>
        <w:spacing w:before="180" w:after="100"/>
      </w:pPr>
      <w:r>
        <w:rPr>
          <w:b/>
          <w:bCs/>
          <w:i/>
          <w:iCs/>
        </w:rPr>
        <w:t>5.11 Validation and Correctness Results</w:t>
      </w:r>
    </w:p>
    <w:p w14:paraId="579C2898" w14:textId="77777777" w:rsidR="005C6B47" w:rsidRDefault="00B31150">
      <w:pPr>
        <w:spacing w:after="140" w:line="252" w:lineRule="auto"/>
        <w:jc w:val="both"/>
      </w:pPr>
      <w:r>
        <w:rPr>
          <w:sz w:val="19"/>
          <w:szCs w:val="19"/>
        </w:rPr>
        <w:t>For the descriptive dashboard, the applicable form of “performance evaluation” is validation of correctness and consistency rather than a statistical accuracy metric; the predictive component's statistical accuracy metrics (RMSE, MAE, R²) are reported separately in Section 5.13. Table 5 reports the outcome of the dashboard validation checks described in Section 4.6, each performed manually against an independent Jupyter Notebook computation or by direct inspection of the running dashboard.</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200"/>
      </w:tblGrid>
      <w:tr w:rsidR="005C6B47" w14:paraId="10E1E218" w14:textId="77777777">
        <w:trPr>
          <w:tblHeader/>
        </w:trPr>
        <w:tc>
          <w:tcPr>
            <w:tcW w:w="2400" w:type="dxa"/>
            <w:shd w:val="clear" w:color="auto" w:fill="1F3864"/>
            <w:tcMar>
              <w:top w:w="60" w:type="dxa"/>
              <w:left w:w="80" w:type="dxa"/>
              <w:bottom w:w="60" w:type="dxa"/>
              <w:right w:w="80" w:type="dxa"/>
            </w:tcMar>
            <w:vAlign w:val="center"/>
          </w:tcPr>
          <w:p w14:paraId="1CCE2397" w14:textId="77777777" w:rsidR="005C6B47" w:rsidRDefault="00B31150">
            <w:pPr>
              <w:jc w:val="center"/>
            </w:pPr>
            <w:r>
              <w:rPr>
                <w:b/>
                <w:bCs/>
                <w:color w:val="FFFFFF"/>
                <w:sz w:val="17"/>
                <w:szCs w:val="17"/>
              </w:rPr>
              <w:t>Validation Check</w:t>
            </w:r>
          </w:p>
        </w:tc>
        <w:tc>
          <w:tcPr>
            <w:tcW w:w="3500" w:type="dxa"/>
            <w:shd w:val="clear" w:color="auto" w:fill="1F3864"/>
            <w:tcMar>
              <w:top w:w="60" w:type="dxa"/>
              <w:left w:w="80" w:type="dxa"/>
              <w:bottom w:w="60" w:type="dxa"/>
              <w:right w:w="80" w:type="dxa"/>
            </w:tcMar>
            <w:vAlign w:val="center"/>
          </w:tcPr>
          <w:p w14:paraId="2B381F90" w14:textId="77777777" w:rsidR="005C6B47" w:rsidRDefault="00B31150">
            <w:pPr>
              <w:jc w:val="center"/>
            </w:pPr>
            <w:r>
              <w:rPr>
                <w:b/>
                <w:bCs/>
                <w:color w:val="FFFFFF"/>
                <w:sz w:val="17"/>
                <w:szCs w:val="17"/>
              </w:rPr>
              <w:t>Method</w:t>
            </w:r>
          </w:p>
        </w:tc>
        <w:tc>
          <w:tcPr>
            <w:tcW w:w="3200" w:type="dxa"/>
            <w:shd w:val="clear" w:color="auto" w:fill="1F3864"/>
            <w:tcMar>
              <w:top w:w="60" w:type="dxa"/>
              <w:left w:w="80" w:type="dxa"/>
              <w:bottom w:w="60" w:type="dxa"/>
              <w:right w:w="80" w:type="dxa"/>
            </w:tcMar>
            <w:vAlign w:val="center"/>
          </w:tcPr>
          <w:p w14:paraId="231FAAA3" w14:textId="77777777" w:rsidR="005C6B47" w:rsidRDefault="00B31150">
            <w:pPr>
              <w:jc w:val="center"/>
            </w:pPr>
            <w:r>
              <w:rPr>
                <w:b/>
                <w:bCs/>
                <w:color w:val="FFFFFF"/>
                <w:sz w:val="17"/>
                <w:szCs w:val="17"/>
              </w:rPr>
              <w:t>Result</w:t>
            </w:r>
          </w:p>
        </w:tc>
      </w:tr>
      <w:tr w:rsidR="005C6B47" w14:paraId="5C8CDD40" w14:textId="77777777">
        <w:tc>
          <w:tcPr>
            <w:tcW w:w="2400" w:type="dxa"/>
            <w:shd w:val="clear" w:color="auto" w:fill="FFFFFF"/>
            <w:tcMar>
              <w:top w:w="60" w:type="dxa"/>
              <w:left w:w="80" w:type="dxa"/>
              <w:bottom w:w="60" w:type="dxa"/>
              <w:right w:w="80" w:type="dxa"/>
            </w:tcMar>
            <w:vAlign w:val="center"/>
          </w:tcPr>
          <w:p w14:paraId="44AB7302" w14:textId="77777777" w:rsidR="005C6B47" w:rsidRDefault="00B31150">
            <w:r>
              <w:rPr>
                <w:sz w:val="17"/>
                <w:szCs w:val="17"/>
              </w:rPr>
              <w:t>KPI totals match independent computation</w:t>
            </w:r>
          </w:p>
        </w:tc>
        <w:tc>
          <w:tcPr>
            <w:tcW w:w="3500" w:type="dxa"/>
            <w:shd w:val="clear" w:color="auto" w:fill="FFFFFF"/>
            <w:tcMar>
              <w:top w:w="60" w:type="dxa"/>
              <w:left w:w="80" w:type="dxa"/>
              <w:bottom w:w="60" w:type="dxa"/>
              <w:right w:w="80" w:type="dxa"/>
            </w:tcMar>
            <w:vAlign w:val="center"/>
          </w:tcPr>
          <w:p w14:paraId="0067E7BA" w14:textId="77777777" w:rsidR="005C6B47" w:rsidRDefault="00B31150">
            <w:r>
              <w:rPr>
                <w:sz w:val="17"/>
                <w:szCs w:val="17"/>
              </w:rPr>
              <w:t xml:space="preserve">Cross-check dashboard KPI panel vs. </w:t>
            </w:r>
            <w:proofErr w:type="gramStart"/>
            <w:r>
              <w:rPr>
                <w:sz w:val="17"/>
                <w:szCs w:val="17"/>
              </w:rPr>
              <w:t>Pandas</w:t>
            </w:r>
            <w:proofErr w:type="gramEnd"/>
            <w:r>
              <w:rPr>
                <w:sz w:val="17"/>
                <w:szCs w:val="17"/>
              </w:rPr>
              <w:t xml:space="preserve"> aggregation in Jupyter Notebook, per dataset</w:t>
            </w:r>
          </w:p>
        </w:tc>
        <w:tc>
          <w:tcPr>
            <w:tcW w:w="3200" w:type="dxa"/>
            <w:shd w:val="clear" w:color="auto" w:fill="FFFFFF"/>
            <w:tcMar>
              <w:top w:w="60" w:type="dxa"/>
              <w:left w:w="80" w:type="dxa"/>
              <w:bottom w:w="60" w:type="dxa"/>
              <w:right w:w="80" w:type="dxa"/>
            </w:tcMar>
            <w:vAlign w:val="center"/>
          </w:tcPr>
          <w:p w14:paraId="2D316F70" w14:textId="77777777" w:rsidR="005C6B47" w:rsidRDefault="00B31150">
            <w:r>
              <w:rPr>
                <w:sz w:val="17"/>
                <w:szCs w:val="17"/>
              </w:rPr>
              <w:t>Passed — totals matched for all four datasets (e.g., Table 4 values)</w:t>
            </w:r>
          </w:p>
        </w:tc>
      </w:tr>
      <w:tr w:rsidR="005C6B47" w14:paraId="183DA64B" w14:textId="77777777">
        <w:tc>
          <w:tcPr>
            <w:tcW w:w="2400" w:type="dxa"/>
            <w:shd w:val="clear" w:color="auto" w:fill="FFFFFF"/>
            <w:tcMar>
              <w:top w:w="60" w:type="dxa"/>
              <w:left w:w="80" w:type="dxa"/>
              <w:bottom w:w="60" w:type="dxa"/>
              <w:right w:w="80" w:type="dxa"/>
            </w:tcMar>
            <w:vAlign w:val="center"/>
          </w:tcPr>
          <w:p w14:paraId="2310C601" w14:textId="77777777" w:rsidR="005C6B47" w:rsidRDefault="00B31150">
            <w:r>
              <w:rPr>
                <w:sz w:val="17"/>
                <w:szCs w:val="17"/>
              </w:rPr>
              <w:t>Filter-to-chart consistency</w:t>
            </w:r>
          </w:p>
        </w:tc>
        <w:tc>
          <w:tcPr>
            <w:tcW w:w="3500" w:type="dxa"/>
            <w:shd w:val="clear" w:color="auto" w:fill="FFFFFF"/>
            <w:tcMar>
              <w:top w:w="60" w:type="dxa"/>
              <w:left w:w="80" w:type="dxa"/>
              <w:bottom w:w="60" w:type="dxa"/>
              <w:right w:w="80" w:type="dxa"/>
            </w:tcMar>
            <w:vAlign w:val="center"/>
          </w:tcPr>
          <w:p w14:paraId="5588E177" w14:textId="77777777" w:rsidR="005C6B47" w:rsidRDefault="00B31150">
            <w:r>
              <w:rPr>
                <w:sz w:val="17"/>
                <w:szCs w:val="17"/>
              </w:rPr>
              <w:t>Apply Category = Furniture on Superstore; confirm KPI panel, Sales Trend, Region, Segment, and Discount charts all reflect the same 9,876-record subset</w:t>
            </w:r>
          </w:p>
        </w:tc>
        <w:tc>
          <w:tcPr>
            <w:tcW w:w="3200" w:type="dxa"/>
            <w:shd w:val="clear" w:color="auto" w:fill="FFFFFF"/>
            <w:tcMar>
              <w:top w:w="60" w:type="dxa"/>
              <w:left w:w="80" w:type="dxa"/>
              <w:bottom w:w="60" w:type="dxa"/>
              <w:right w:w="80" w:type="dxa"/>
            </w:tcMar>
            <w:vAlign w:val="center"/>
          </w:tcPr>
          <w:p w14:paraId="7F3E688B" w14:textId="77777777" w:rsidR="005C6B47" w:rsidRDefault="00B31150">
            <w:r>
              <w:rPr>
                <w:sz w:val="17"/>
                <w:szCs w:val="17"/>
              </w:rPr>
              <w:t>Passed — Fig. 3/4 values are mutually consistent (e.g., Profit by Category = 285,205 = Total Profit)</w:t>
            </w:r>
          </w:p>
        </w:tc>
      </w:tr>
      <w:tr w:rsidR="005C6B47" w14:paraId="40454145" w14:textId="77777777">
        <w:tc>
          <w:tcPr>
            <w:tcW w:w="2400" w:type="dxa"/>
            <w:shd w:val="clear" w:color="auto" w:fill="FFFFFF"/>
            <w:tcMar>
              <w:top w:w="60" w:type="dxa"/>
              <w:left w:w="80" w:type="dxa"/>
              <w:bottom w:w="60" w:type="dxa"/>
              <w:right w:w="80" w:type="dxa"/>
            </w:tcMar>
            <w:vAlign w:val="center"/>
          </w:tcPr>
          <w:p w14:paraId="10214039" w14:textId="77777777" w:rsidR="005C6B47" w:rsidRDefault="00B31150">
            <w:r>
              <w:rPr>
                <w:sz w:val="17"/>
                <w:szCs w:val="17"/>
              </w:rPr>
              <w:t>Unsupported filters correctly disabled</w:t>
            </w:r>
          </w:p>
        </w:tc>
        <w:tc>
          <w:tcPr>
            <w:tcW w:w="3500" w:type="dxa"/>
            <w:shd w:val="clear" w:color="auto" w:fill="FFFFFF"/>
            <w:tcMar>
              <w:top w:w="60" w:type="dxa"/>
              <w:left w:w="80" w:type="dxa"/>
              <w:bottom w:w="60" w:type="dxa"/>
              <w:right w:w="80" w:type="dxa"/>
            </w:tcMar>
            <w:vAlign w:val="center"/>
          </w:tcPr>
          <w:p w14:paraId="66A98E4A" w14:textId="77777777" w:rsidR="005C6B47" w:rsidRDefault="00B31150">
            <w:r>
              <w:rPr>
                <w:sz w:val="17"/>
                <w:szCs w:val="17"/>
              </w:rPr>
              <w:t>Attempt Year filter on Online Sales (no date field)</w:t>
            </w:r>
          </w:p>
        </w:tc>
        <w:tc>
          <w:tcPr>
            <w:tcW w:w="3200" w:type="dxa"/>
            <w:shd w:val="clear" w:color="auto" w:fill="FFFFFF"/>
            <w:tcMar>
              <w:top w:w="60" w:type="dxa"/>
              <w:left w:w="80" w:type="dxa"/>
              <w:bottom w:w="60" w:type="dxa"/>
              <w:right w:w="80" w:type="dxa"/>
            </w:tcMar>
            <w:vAlign w:val="center"/>
          </w:tcPr>
          <w:p w14:paraId="11C4A6F2" w14:textId="77777777" w:rsidR="005C6B47" w:rsidRDefault="00B31150">
            <w:r>
              <w:rPr>
                <w:sz w:val="17"/>
                <w:szCs w:val="17"/>
              </w:rPr>
              <w:t>Passed — Year filter disabled rather than showing empty/zero results</w:t>
            </w:r>
          </w:p>
        </w:tc>
      </w:tr>
      <w:tr w:rsidR="005C6B47" w14:paraId="49BEEC1E" w14:textId="77777777">
        <w:tc>
          <w:tcPr>
            <w:tcW w:w="2400" w:type="dxa"/>
            <w:shd w:val="clear" w:color="auto" w:fill="FFFFFF"/>
            <w:tcMar>
              <w:top w:w="60" w:type="dxa"/>
              <w:left w:w="80" w:type="dxa"/>
              <w:bottom w:w="60" w:type="dxa"/>
              <w:right w:w="80" w:type="dxa"/>
            </w:tcMar>
            <w:vAlign w:val="center"/>
          </w:tcPr>
          <w:p w14:paraId="3BE5C61D" w14:textId="77777777" w:rsidR="005C6B47" w:rsidRDefault="00B31150">
            <w:r>
              <w:rPr>
                <w:sz w:val="17"/>
                <w:szCs w:val="17"/>
              </w:rPr>
              <w:t>Missing KPIs marked, not estimated</w:t>
            </w:r>
          </w:p>
        </w:tc>
        <w:tc>
          <w:tcPr>
            <w:tcW w:w="3500" w:type="dxa"/>
            <w:shd w:val="clear" w:color="auto" w:fill="FFFFFF"/>
            <w:tcMar>
              <w:top w:w="60" w:type="dxa"/>
              <w:left w:w="80" w:type="dxa"/>
              <w:bottom w:w="60" w:type="dxa"/>
              <w:right w:w="80" w:type="dxa"/>
            </w:tcMar>
            <w:vAlign w:val="center"/>
          </w:tcPr>
          <w:p w14:paraId="78EE1C66" w14:textId="77777777" w:rsidR="005C6B47" w:rsidRDefault="00B31150">
            <w:r>
              <w:rPr>
                <w:sz w:val="17"/>
                <w:szCs w:val="17"/>
              </w:rPr>
              <w:t>Inspect Total Customers for Online Sales (no customer identifier)</w:t>
            </w:r>
          </w:p>
        </w:tc>
        <w:tc>
          <w:tcPr>
            <w:tcW w:w="3200" w:type="dxa"/>
            <w:shd w:val="clear" w:color="auto" w:fill="FFFFFF"/>
            <w:tcMar>
              <w:top w:w="60" w:type="dxa"/>
              <w:left w:w="80" w:type="dxa"/>
              <w:bottom w:w="60" w:type="dxa"/>
              <w:right w:w="80" w:type="dxa"/>
            </w:tcMar>
            <w:vAlign w:val="center"/>
          </w:tcPr>
          <w:p w14:paraId="61C47B66" w14:textId="77777777" w:rsidR="005C6B47" w:rsidRDefault="00B31150">
            <w:r>
              <w:rPr>
                <w:sz w:val="17"/>
                <w:szCs w:val="17"/>
              </w:rPr>
              <w:t>Passed — displayed as not available rather than approximated</w:t>
            </w:r>
          </w:p>
        </w:tc>
      </w:tr>
      <w:tr w:rsidR="005C6B47" w14:paraId="529740F4" w14:textId="77777777">
        <w:tc>
          <w:tcPr>
            <w:tcW w:w="2400" w:type="dxa"/>
            <w:shd w:val="clear" w:color="auto" w:fill="FFFFFF"/>
            <w:tcMar>
              <w:top w:w="60" w:type="dxa"/>
              <w:left w:w="80" w:type="dxa"/>
              <w:bottom w:w="60" w:type="dxa"/>
              <w:right w:w="80" w:type="dxa"/>
            </w:tcMar>
            <w:vAlign w:val="center"/>
          </w:tcPr>
          <w:p w14:paraId="3C75229A" w14:textId="77777777" w:rsidR="005C6B47" w:rsidRDefault="00B31150">
            <w:r>
              <w:rPr>
                <w:sz w:val="17"/>
                <w:szCs w:val="17"/>
              </w:rPr>
              <w:t>Dataset switch fully refreshes state</w:t>
            </w:r>
          </w:p>
        </w:tc>
        <w:tc>
          <w:tcPr>
            <w:tcW w:w="3500" w:type="dxa"/>
            <w:shd w:val="clear" w:color="auto" w:fill="FFFFFF"/>
            <w:tcMar>
              <w:top w:w="60" w:type="dxa"/>
              <w:left w:w="80" w:type="dxa"/>
              <w:bottom w:w="60" w:type="dxa"/>
              <w:right w:w="80" w:type="dxa"/>
            </w:tcMar>
            <w:vAlign w:val="center"/>
          </w:tcPr>
          <w:p w14:paraId="74BD3067" w14:textId="77777777" w:rsidR="005C6B47" w:rsidRDefault="00B31150">
            <w:r>
              <w:rPr>
                <w:sz w:val="17"/>
                <w:szCs w:val="17"/>
              </w:rPr>
              <w:t>Switch dataset selector between all four datasets in sequence</w:t>
            </w:r>
          </w:p>
        </w:tc>
        <w:tc>
          <w:tcPr>
            <w:tcW w:w="3200" w:type="dxa"/>
            <w:shd w:val="clear" w:color="auto" w:fill="FFFFFF"/>
            <w:tcMar>
              <w:top w:w="60" w:type="dxa"/>
              <w:left w:w="80" w:type="dxa"/>
              <w:bottom w:w="60" w:type="dxa"/>
              <w:right w:w="80" w:type="dxa"/>
            </w:tcMar>
            <w:vAlign w:val="center"/>
          </w:tcPr>
          <w:p w14:paraId="18F6E40B" w14:textId="77777777" w:rsidR="005C6B47" w:rsidRDefault="00B31150">
            <w:r>
              <w:rPr>
                <w:sz w:val="17"/>
                <w:szCs w:val="17"/>
              </w:rPr>
              <w:t>Passed — no stale KPI, chart, or narrative values observed from the previous dataset</w:t>
            </w:r>
          </w:p>
        </w:tc>
      </w:tr>
      <w:tr w:rsidR="005C6B47" w14:paraId="6006D96C" w14:textId="77777777">
        <w:tc>
          <w:tcPr>
            <w:tcW w:w="2400" w:type="dxa"/>
            <w:shd w:val="clear" w:color="auto" w:fill="FFFFFF"/>
            <w:tcMar>
              <w:top w:w="60" w:type="dxa"/>
              <w:left w:w="80" w:type="dxa"/>
              <w:bottom w:w="60" w:type="dxa"/>
              <w:right w:w="80" w:type="dxa"/>
            </w:tcMar>
            <w:vAlign w:val="center"/>
          </w:tcPr>
          <w:p w14:paraId="0FA3AB02" w14:textId="77777777" w:rsidR="005C6B47" w:rsidRDefault="00B31150">
            <w:r>
              <w:rPr>
                <w:sz w:val="17"/>
                <w:szCs w:val="17"/>
              </w:rPr>
              <w:t>Narrative–data consistency</w:t>
            </w:r>
          </w:p>
        </w:tc>
        <w:tc>
          <w:tcPr>
            <w:tcW w:w="3500" w:type="dxa"/>
            <w:shd w:val="clear" w:color="auto" w:fill="FFFFFF"/>
            <w:tcMar>
              <w:top w:w="60" w:type="dxa"/>
              <w:left w:w="80" w:type="dxa"/>
              <w:bottom w:w="60" w:type="dxa"/>
              <w:right w:w="80" w:type="dxa"/>
            </w:tcMar>
            <w:vAlign w:val="center"/>
          </w:tcPr>
          <w:p w14:paraId="14E42174" w14:textId="77777777" w:rsidR="005C6B47" w:rsidRDefault="00B31150">
            <w:r>
              <w:rPr>
                <w:sz w:val="17"/>
                <w:szCs w:val="17"/>
              </w:rPr>
              <w:t>Compare Data Story figures in Fig. 4 against KPI panel in Fig. 3 for the same filter</w:t>
            </w:r>
          </w:p>
        </w:tc>
        <w:tc>
          <w:tcPr>
            <w:tcW w:w="3200" w:type="dxa"/>
            <w:shd w:val="clear" w:color="auto" w:fill="FFFFFF"/>
            <w:tcMar>
              <w:top w:w="60" w:type="dxa"/>
              <w:left w:w="80" w:type="dxa"/>
              <w:bottom w:w="60" w:type="dxa"/>
              <w:right w:w="80" w:type="dxa"/>
            </w:tcMar>
            <w:vAlign w:val="center"/>
          </w:tcPr>
          <w:p w14:paraId="0EE41BB0" w14:textId="77777777" w:rsidR="005C6B47" w:rsidRDefault="00B31150">
            <w:r>
              <w:rPr>
                <w:sz w:val="17"/>
                <w:szCs w:val="17"/>
              </w:rPr>
              <w:t>Passed — narrative cites 9,876 records, 4,110,884 sales, 285,205 profit, 6.94% margin, matching the KPI panel exactly</w:t>
            </w:r>
          </w:p>
        </w:tc>
      </w:tr>
    </w:tbl>
    <w:p w14:paraId="01CFDDB4" w14:textId="77777777" w:rsidR="005C6B47" w:rsidRDefault="00B31150">
      <w:pPr>
        <w:spacing w:before="80" w:after="200"/>
        <w:jc w:val="center"/>
      </w:pPr>
      <w:r>
        <w:rPr>
          <w:i/>
          <w:iCs/>
          <w:sz w:val="18"/>
          <w:szCs w:val="18"/>
        </w:rPr>
        <w:t>Table 5. Validation and correctness results (the applicable form of performance evaluation for a descriptive dashboard).</w:t>
      </w:r>
    </w:p>
    <w:p w14:paraId="1E78F139" w14:textId="77777777" w:rsidR="005C6B47" w:rsidRDefault="00B31150">
      <w:pPr>
        <w:keepNext/>
        <w:spacing w:before="180" w:after="100"/>
      </w:pPr>
      <w:r>
        <w:rPr>
          <w:b/>
          <w:bCs/>
          <w:i/>
          <w:iCs/>
        </w:rPr>
        <w:t>5.12 Comparative Evaluation Against Existing Reporting Methods</w:t>
      </w:r>
    </w:p>
    <w:p w14:paraId="20CADF58" w14:textId="77777777" w:rsidR="005C6B47" w:rsidRDefault="00B31150">
      <w:pPr>
        <w:spacing w:after="140" w:line="252" w:lineRule="auto"/>
        <w:jc w:val="both"/>
      </w:pPr>
      <w:r>
        <w:rPr>
          <w:sz w:val="19"/>
          <w:szCs w:val="19"/>
        </w:rPr>
        <w:t>Table 6 compares the proposed dashboard, as a descriptive and decision-support tool, against existing reporting methods on capability dimensions grounded in the related-work review of Section 2, rather than on fabricated accuracy figures; this comparison concerns the descriptive and decision-analytics capability of the three approaches, not predictive accuracy, which for this project's own baseline and HSRE models is instead reported quantitatively in Table 7 (Section 5.13). The comparison in Table 6 is qualitative and feature-based, consistent with the descriptive dashboard's stated scope.</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1630"/>
        <w:gridCol w:w="2001"/>
        <w:gridCol w:w="1749"/>
      </w:tblGrid>
      <w:tr w:rsidR="005C6B47" w14:paraId="359927A2" w14:textId="77777777">
        <w:trPr>
          <w:tblHeader/>
        </w:trPr>
        <w:tc>
          <w:tcPr>
            <w:tcW w:w="2000" w:type="dxa"/>
            <w:shd w:val="clear" w:color="auto" w:fill="1F3864"/>
            <w:tcMar>
              <w:top w:w="60" w:type="dxa"/>
              <w:left w:w="80" w:type="dxa"/>
              <w:bottom w:w="60" w:type="dxa"/>
              <w:right w:w="80" w:type="dxa"/>
            </w:tcMar>
            <w:vAlign w:val="center"/>
          </w:tcPr>
          <w:p w14:paraId="21E6EFF6" w14:textId="77777777" w:rsidR="005C6B47" w:rsidRDefault="00B31150">
            <w:pPr>
              <w:jc w:val="center"/>
            </w:pPr>
            <w:r>
              <w:rPr>
                <w:b/>
                <w:bCs/>
                <w:color w:val="FFFFFF"/>
                <w:sz w:val="17"/>
                <w:szCs w:val="17"/>
              </w:rPr>
              <w:t>Dimension</w:t>
            </w:r>
          </w:p>
        </w:tc>
        <w:tc>
          <w:tcPr>
            <w:tcW w:w="2200" w:type="dxa"/>
            <w:shd w:val="clear" w:color="auto" w:fill="1F3864"/>
            <w:tcMar>
              <w:top w:w="60" w:type="dxa"/>
              <w:left w:w="80" w:type="dxa"/>
              <w:bottom w:w="60" w:type="dxa"/>
              <w:right w:w="80" w:type="dxa"/>
            </w:tcMar>
            <w:vAlign w:val="center"/>
          </w:tcPr>
          <w:p w14:paraId="339084AA" w14:textId="77777777" w:rsidR="005C6B47" w:rsidRDefault="00B31150">
            <w:pPr>
              <w:jc w:val="center"/>
            </w:pPr>
            <w:r>
              <w:rPr>
                <w:b/>
                <w:bCs/>
                <w:color w:val="FFFFFF"/>
                <w:sz w:val="17"/>
                <w:szCs w:val="17"/>
              </w:rPr>
              <w:t>Static Spreadsheet Reports</w:t>
            </w:r>
          </w:p>
        </w:tc>
        <w:tc>
          <w:tcPr>
            <w:tcW w:w="2500" w:type="dxa"/>
            <w:shd w:val="clear" w:color="auto" w:fill="1F3864"/>
            <w:tcMar>
              <w:top w:w="60" w:type="dxa"/>
              <w:left w:w="80" w:type="dxa"/>
              <w:bottom w:w="60" w:type="dxa"/>
              <w:right w:w="80" w:type="dxa"/>
            </w:tcMar>
            <w:vAlign w:val="center"/>
          </w:tcPr>
          <w:p w14:paraId="4A3E2E7F" w14:textId="77777777" w:rsidR="005C6B47" w:rsidRDefault="00B31150">
            <w:pPr>
              <w:jc w:val="center"/>
            </w:pPr>
            <w:r>
              <w:rPr>
                <w:b/>
                <w:bCs/>
                <w:color w:val="FFFFFF"/>
                <w:sz w:val="17"/>
                <w:szCs w:val="17"/>
              </w:rPr>
              <w:t>General-Purpose BI Tool (e.g., Power BI / Tableau)</w:t>
            </w:r>
          </w:p>
        </w:tc>
        <w:tc>
          <w:tcPr>
            <w:tcW w:w="2400" w:type="dxa"/>
            <w:shd w:val="clear" w:color="auto" w:fill="1F3864"/>
            <w:tcMar>
              <w:top w:w="60" w:type="dxa"/>
              <w:left w:w="80" w:type="dxa"/>
              <w:bottom w:w="60" w:type="dxa"/>
              <w:right w:w="80" w:type="dxa"/>
            </w:tcMar>
            <w:vAlign w:val="center"/>
          </w:tcPr>
          <w:p w14:paraId="4E8A9594" w14:textId="77777777" w:rsidR="005C6B47" w:rsidRDefault="00B31150">
            <w:pPr>
              <w:jc w:val="center"/>
            </w:pPr>
            <w:r>
              <w:rPr>
                <w:b/>
                <w:bCs/>
                <w:color w:val="FFFFFF"/>
                <w:sz w:val="17"/>
                <w:szCs w:val="17"/>
              </w:rPr>
              <w:t>Proposed Dashboard (This Project)</w:t>
            </w:r>
          </w:p>
        </w:tc>
      </w:tr>
      <w:tr w:rsidR="005C6B47" w14:paraId="3D20FAB8" w14:textId="77777777">
        <w:tc>
          <w:tcPr>
            <w:tcW w:w="2000" w:type="dxa"/>
            <w:shd w:val="clear" w:color="auto" w:fill="FFFFFF"/>
            <w:tcMar>
              <w:top w:w="60" w:type="dxa"/>
              <w:left w:w="80" w:type="dxa"/>
              <w:bottom w:w="60" w:type="dxa"/>
              <w:right w:w="80" w:type="dxa"/>
            </w:tcMar>
            <w:vAlign w:val="center"/>
          </w:tcPr>
          <w:p w14:paraId="4F9235A9" w14:textId="77777777" w:rsidR="005C6B47" w:rsidRDefault="00B31150">
            <w:r>
              <w:rPr>
                <w:sz w:val="17"/>
                <w:szCs w:val="17"/>
              </w:rPr>
              <w:t>Interactivity</w:t>
            </w:r>
          </w:p>
        </w:tc>
        <w:tc>
          <w:tcPr>
            <w:tcW w:w="2200" w:type="dxa"/>
            <w:shd w:val="clear" w:color="auto" w:fill="FFFFFF"/>
            <w:tcMar>
              <w:top w:w="60" w:type="dxa"/>
              <w:left w:w="80" w:type="dxa"/>
              <w:bottom w:w="60" w:type="dxa"/>
              <w:right w:w="80" w:type="dxa"/>
            </w:tcMar>
            <w:vAlign w:val="center"/>
          </w:tcPr>
          <w:p w14:paraId="37217CFF" w14:textId="77777777" w:rsidR="005C6B47" w:rsidRDefault="00B31150">
            <w:r>
              <w:rPr>
                <w:sz w:val="17"/>
                <w:szCs w:val="17"/>
              </w:rPr>
              <w:t>None — fixed snapshot per report</w:t>
            </w:r>
          </w:p>
        </w:tc>
        <w:tc>
          <w:tcPr>
            <w:tcW w:w="2500" w:type="dxa"/>
            <w:shd w:val="clear" w:color="auto" w:fill="FFFFFF"/>
            <w:tcMar>
              <w:top w:w="60" w:type="dxa"/>
              <w:left w:w="80" w:type="dxa"/>
              <w:bottom w:w="60" w:type="dxa"/>
              <w:right w:w="80" w:type="dxa"/>
            </w:tcMar>
            <w:vAlign w:val="center"/>
          </w:tcPr>
          <w:p w14:paraId="1AC50BFE" w14:textId="77777777" w:rsidR="005C6B47" w:rsidRDefault="00B31150">
            <w:r>
              <w:rPr>
                <w:sz w:val="17"/>
                <w:szCs w:val="17"/>
              </w:rPr>
              <w:t>High — general-purpose filtering and drill-down</w:t>
            </w:r>
          </w:p>
        </w:tc>
        <w:tc>
          <w:tcPr>
            <w:tcW w:w="2400" w:type="dxa"/>
            <w:shd w:val="clear" w:color="auto" w:fill="FFFFFF"/>
            <w:tcMar>
              <w:top w:w="60" w:type="dxa"/>
              <w:left w:w="80" w:type="dxa"/>
              <w:bottom w:w="60" w:type="dxa"/>
              <w:right w:w="80" w:type="dxa"/>
            </w:tcMar>
            <w:vAlign w:val="center"/>
          </w:tcPr>
          <w:p w14:paraId="1469E272" w14:textId="77777777" w:rsidR="005C6B47" w:rsidRDefault="00B31150">
            <w:r>
              <w:rPr>
                <w:sz w:val="17"/>
                <w:szCs w:val="17"/>
              </w:rPr>
              <w:t>High — dataset-aware filtering (Dataset, Year, Category, Region, Segment)</w:t>
            </w:r>
          </w:p>
        </w:tc>
      </w:tr>
      <w:tr w:rsidR="005C6B47" w14:paraId="256C8E55" w14:textId="77777777">
        <w:tc>
          <w:tcPr>
            <w:tcW w:w="2000" w:type="dxa"/>
            <w:shd w:val="clear" w:color="auto" w:fill="FFFFFF"/>
            <w:tcMar>
              <w:top w:w="60" w:type="dxa"/>
              <w:left w:w="80" w:type="dxa"/>
              <w:bottom w:w="60" w:type="dxa"/>
              <w:right w:w="80" w:type="dxa"/>
            </w:tcMar>
            <w:vAlign w:val="center"/>
          </w:tcPr>
          <w:p w14:paraId="353F2D60" w14:textId="77777777" w:rsidR="005C6B47" w:rsidRDefault="00B31150">
            <w:r>
              <w:rPr>
                <w:sz w:val="17"/>
                <w:szCs w:val="17"/>
              </w:rPr>
              <w:lastRenderedPageBreak/>
              <w:t>Handles schema-differing sources without fabrication</w:t>
            </w:r>
          </w:p>
        </w:tc>
        <w:tc>
          <w:tcPr>
            <w:tcW w:w="2200" w:type="dxa"/>
            <w:shd w:val="clear" w:color="auto" w:fill="FFFFFF"/>
            <w:tcMar>
              <w:top w:w="60" w:type="dxa"/>
              <w:left w:w="80" w:type="dxa"/>
              <w:bottom w:w="60" w:type="dxa"/>
              <w:right w:w="80" w:type="dxa"/>
            </w:tcMar>
            <w:vAlign w:val="center"/>
          </w:tcPr>
          <w:p w14:paraId="53BC8F1F" w14:textId="77777777" w:rsidR="005C6B47" w:rsidRDefault="00B31150">
            <w:r>
              <w:rPr>
                <w:sz w:val="17"/>
                <w:szCs w:val="17"/>
              </w:rPr>
              <w:t>Manual, ad hoc per report</w:t>
            </w:r>
          </w:p>
        </w:tc>
        <w:tc>
          <w:tcPr>
            <w:tcW w:w="2500" w:type="dxa"/>
            <w:shd w:val="clear" w:color="auto" w:fill="FFFFFF"/>
            <w:tcMar>
              <w:top w:w="60" w:type="dxa"/>
              <w:left w:w="80" w:type="dxa"/>
              <w:bottom w:w="60" w:type="dxa"/>
              <w:right w:w="80" w:type="dxa"/>
            </w:tcMar>
            <w:vAlign w:val="center"/>
          </w:tcPr>
          <w:p w14:paraId="03CB6A89" w14:textId="77777777" w:rsidR="005C6B47" w:rsidRDefault="00B31150">
            <w:r>
              <w:rPr>
                <w:sz w:val="17"/>
                <w:szCs w:val="17"/>
              </w:rPr>
              <w:t>Requires manual schema mapping/modelling by the analyst</w:t>
            </w:r>
          </w:p>
        </w:tc>
        <w:tc>
          <w:tcPr>
            <w:tcW w:w="2400" w:type="dxa"/>
            <w:shd w:val="clear" w:color="auto" w:fill="FFFFFF"/>
            <w:tcMar>
              <w:top w:w="60" w:type="dxa"/>
              <w:left w:w="80" w:type="dxa"/>
              <w:bottom w:w="60" w:type="dxa"/>
              <w:right w:w="80" w:type="dxa"/>
            </w:tcMar>
            <w:vAlign w:val="center"/>
          </w:tcPr>
          <w:p w14:paraId="2DC2CE2E" w14:textId="77777777" w:rsidR="005C6B47" w:rsidRDefault="00B31150">
            <w:r>
              <w:rPr>
                <w:sz w:val="17"/>
                <w:szCs w:val="17"/>
              </w:rPr>
              <w:t>Built-in — filters and KPIs adapt automatically per dataset (Section 3.8)</w:t>
            </w:r>
          </w:p>
        </w:tc>
      </w:tr>
      <w:tr w:rsidR="005C6B47" w14:paraId="0BA7564F" w14:textId="77777777">
        <w:tc>
          <w:tcPr>
            <w:tcW w:w="2000" w:type="dxa"/>
            <w:shd w:val="clear" w:color="auto" w:fill="FFFFFF"/>
            <w:tcMar>
              <w:top w:w="60" w:type="dxa"/>
              <w:left w:w="80" w:type="dxa"/>
              <w:bottom w:w="60" w:type="dxa"/>
              <w:right w:w="80" w:type="dxa"/>
            </w:tcMar>
            <w:vAlign w:val="center"/>
          </w:tcPr>
          <w:p w14:paraId="509D21A1" w14:textId="77777777" w:rsidR="005C6B47" w:rsidRDefault="00B31150">
            <w:r>
              <w:rPr>
                <w:sz w:val="17"/>
                <w:szCs w:val="17"/>
              </w:rPr>
              <w:t>Built-in decision narrative (Finding→Meaning→Decision→Recommendation)</w:t>
            </w:r>
          </w:p>
        </w:tc>
        <w:tc>
          <w:tcPr>
            <w:tcW w:w="2200" w:type="dxa"/>
            <w:shd w:val="clear" w:color="auto" w:fill="FFFFFF"/>
            <w:tcMar>
              <w:top w:w="60" w:type="dxa"/>
              <w:left w:w="80" w:type="dxa"/>
              <w:bottom w:w="60" w:type="dxa"/>
              <w:right w:w="80" w:type="dxa"/>
            </w:tcMar>
            <w:vAlign w:val="center"/>
          </w:tcPr>
          <w:p w14:paraId="371FF3A8" w14:textId="77777777" w:rsidR="005C6B47" w:rsidRDefault="00B31150">
            <w:r>
              <w:rPr>
                <w:sz w:val="17"/>
                <w:szCs w:val="17"/>
              </w:rPr>
              <w:t>Not present</w:t>
            </w:r>
          </w:p>
        </w:tc>
        <w:tc>
          <w:tcPr>
            <w:tcW w:w="2500" w:type="dxa"/>
            <w:shd w:val="clear" w:color="auto" w:fill="FFFFFF"/>
            <w:tcMar>
              <w:top w:w="60" w:type="dxa"/>
              <w:left w:w="80" w:type="dxa"/>
              <w:bottom w:w="60" w:type="dxa"/>
              <w:right w:w="80" w:type="dxa"/>
            </w:tcMar>
            <w:vAlign w:val="center"/>
          </w:tcPr>
          <w:p w14:paraId="5FD34986" w14:textId="77777777" w:rsidR="005C6B47" w:rsidRDefault="00B31150">
            <w:r>
              <w:rPr>
                <w:sz w:val="17"/>
                <w:szCs w:val="17"/>
              </w:rPr>
              <w:t>Not present by default; requires manual authoring</w:t>
            </w:r>
          </w:p>
        </w:tc>
        <w:tc>
          <w:tcPr>
            <w:tcW w:w="2400" w:type="dxa"/>
            <w:shd w:val="clear" w:color="auto" w:fill="FFFFFF"/>
            <w:tcMar>
              <w:top w:w="60" w:type="dxa"/>
              <w:left w:w="80" w:type="dxa"/>
              <w:bottom w:w="60" w:type="dxa"/>
              <w:right w:w="80" w:type="dxa"/>
            </w:tcMar>
            <w:vAlign w:val="center"/>
          </w:tcPr>
          <w:p w14:paraId="47B87D2F" w14:textId="77777777" w:rsidR="005C6B47" w:rsidRDefault="00B31150">
            <w:r>
              <w:rPr>
                <w:sz w:val="17"/>
                <w:szCs w:val="17"/>
              </w:rPr>
              <w:t>Present — generated live from filtered aggregates (Sections 3.9–3.10)</w:t>
            </w:r>
          </w:p>
        </w:tc>
      </w:tr>
      <w:tr w:rsidR="005C6B47" w14:paraId="10403429" w14:textId="77777777">
        <w:tc>
          <w:tcPr>
            <w:tcW w:w="2000" w:type="dxa"/>
            <w:shd w:val="clear" w:color="auto" w:fill="FFFFFF"/>
            <w:tcMar>
              <w:top w:w="60" w:type="dxa"/>
              <w:left w:w="80" w:type="dxa"/>
              <w:bottom w:w="60" w:type="dxa"/>
              <w:right w:w="80" w:type="dxa"/>
            </w:tcMar>
            <w:vAlign w:val="center"/>
          </w:tcPr>
          <w:p w14:paraId="2DA6CD32" w14:textId="77777777" w:rsidR="005C6B47" w:rsidRDefault="00B31150">
            <w:r>
              <w:rPr>
                <w:sz w:val="17"/>
                <w:szCs w:val="17"/>
              </w:rPr>
              <w:t>Setup cost / technical barrier for a student project</w:t>
            </w:r>
          </w:p>
        </w:tc>
        <w:tc>
          <w:tcPr>
            <w:tcW w:w="2200" w:type="dxa"/>
            <w:shd w:val="clear" w:color="auto" w:fill="FFFFFF"/>
            <w:tcMar>
              <w:top w:w="60" w:type="dxa"/>
              <w:left w:w="80" w:type="dxa"/>
              <w:bottom w:w="60" w:type="dxa"/>
              <w:right w:w="80" w:type="dxa"/>
            </w:tcMar>
            <w:vAlign w:val="center"/>
          </w:tcPr>
          <w:p w14:paraId="731ACF5A" w14:textId="77777777" w:rsidR="005C6B47" w:rsidRDefault="00B31150">
            <w:r>
              <w:rPr>
                <w:sz w:val="17"/>
                <w:szCs w:val="17"/>
              </w:rPr>
              <w:t>Very low</w:t>
            </w:r>
          </w:p>
        </w:tc>
        <w:tc>
          <w:tcPr>
            <w:tcW w:w="2500" w:type="dxa"/>
            <w:shd w:val="clear" w:color="auto" w:fill="FFFFFF"/>
            <w:tcMar>
              <w:top w:w="60" w:type="dxa"/>
              <w:left w:w="80" w:type="dxa"/>
              <w:bottom w:w="60" w:type="dxa"/>
              <w:right w:w="80" w:type="dxa"/>
            </w:tcMar>
            <w:vAlign w:val="center"/>
          </w:tcPr>
          <w:p w14:paraId="6691A7E1" w14:textId="77777777" w:rsidR="005C6B47" w:rsidRDefault="00B31150">
            <w:r>
              <w:rPr>
                <w:sz w:val="17"/>
                <w:szCs w:val="17"/>
              </w:rPr>
              <w:t>Moderate–high (licensing, modelling effort)</w:t>
            </w:r>
          </w:p>
        </w:tc>
        <w:tc>
          <w:tcPr>
            <w:tcW w:w="2400" w:type="dxa"/>
            <w:shd w:val="clear" w:color="auto" w:fill="FFFFFF"/>
            <w:tcMar>
              <w:top w:w="60" w:type="dxa"/>
              <w:left w:w="80" w:type="dxa"/>
              <w:bottom w:w="60" w:type="dxa"/>
              <w:right w:w="80" w:type="dxa"/>
            </w:tcMar>
            <w:vAlign w:val="center"/>
          </w:tcPr>
          <w:p w14:paraId="7CE24A10" w14:textId="77777777" w:rsidR="005C6B47" w:rsidRDefault="00B31150">
            <w:r>
              <w:rPr>
                <w:sz w:val="17"/>
                <w:szCs w:val="17"/>
              </w:rPr>
              <w:t>Moderate — open-source stack (Python, Flask, Plotly)</w:t>
            </w:r>
          </w:p>
        </w:tc>
      </w:tr>
      <w:tr w:rsidR="005C6B47" w14:paraId="2FDFFD3E" w14:textId="77777777">
        <w:tc>
          <w:tcPr>
            <w:tcW w:w="2000" w:type="dxa"/>
            <w:shd w:val="clear" w:color="auto" w:fill="FFFFFF"/>
            <w:tcMar>
              <w:top w:w="60" w:type="dxa"/>
              <w:left w:w="80" w:type="dxa"/>
              <w:bottom w:w="60" w:type="dxa"/>
              <w:right w:w="80" w:type="dxa"/>
            </w:tcMar>
            <w:vAlign w:val="center"/>
          </w:tcPr>
          <w:p w14:paraId="0A1DD58D" w14:textId="77777777" w:rsidR="005C6B47" w:rsidRDefault="00B31150">
            <w:r>
              <w:rPr>
                <w:sz w:val="17"/>
                <w:szCs w:val="17"/>
              </w:rPr>
              <w:t>Transparency about missing fields</w:t>
            </w:r>
          </w:p>
        </w:tc>
        <w:tc>
          <w:tcPr>
            <w:tcW w:w="2200" w:type="dxa"/>
            <w:shd w:val="clear" w:color="auto" w:fill="FFFFFF"/>
            <w:tcMar>
              <w:top w:w="60" w:type="dxa"/>
              <w:left w:w="80" w:type="dxa"/>
              <w:bottom w:w="60" w:type="dxa"/>
              <w:right w:w="80" w:type="dxa"/>
            </w:tcMar>
            <w:vAlign w:val="center"/>
          </w:tcPr>
          <w:p w14:paraId="35962EBB" w14:textId="77777777" w:rsidR="005C6B47" w:rsidRDefault="00B31150">
            <w:r>
              <w:rPr>
                <w:sz w:val="17"/>
                <w:szCs w:val="17"/>
              </w:rPr>
              <w:t>Depends entirely on report author</w:t>
            </w:r>
          </w:p>
        </w:tc>
        <w:tc>
          <w:tcPr>
            <w:tcW w:w="2500" w:type="dxa"/>
            <w:shd w:val="clear" w:color="auto" w:fill="FFFFFF"/>
            <w:tcMar>
              <w:top w:w="60" w:type="dxa"/>
              <w:left w:w="80" w:type="dxa"/>
              <w:bottom w:w="60" w:type="dxa"/>
              <w:right w:w="80" w:type="dxa"/>
            </w:tcMar>
            <w:vAlign w:val="center"/>
          </w:tcPr>
          <w:p w14:paraId="5D8B91BA" w14:textId="77777777" w:rsidR="005C6B47" w:rsidRDefault="00B31150">
            <w:r>
              <w:rPr>
                <w:sz w:val="17"/>
                <w:szCs w:val="17"/>
              </w:rPr>
              <w:t>Depends on model design</w:t>
            </w:r>
          </w:p>
        </w:tc>
        <w:tc>
          <w:tcPr>
            <w:tcW w:w="2400" w:type="dxa"/>
            <w:shd w:val="clear" w:color="auto" w:fill="FFFFFF"/>
            <w:tcMar>
              <w:top w:w="60" w:type="dxa"/>
              <w:left w:w="80" w:type="dxa"/>
              <w:bottom w:w="60" w:type="dxa"/>
              <w:right w:w="80" w:type="dxa"/>
            </w:tcMar>
            <w:vAlign w:val="center"/>
          </w:tcPr>
          <w:p w14:paraId="4E626596" w14:textId="77777777" w:rsidR="005C6B47" w:rsidRDefault="00B31150">
            <w:r>
              <w:rPr>
                <w:sz w:val="17"/>
                <w:szCs w:val="17"/>
              </w:rPr>
              <w:t>Explicit — shows “not available” rather than blank or fabricated values</w:t>
            </w:r>
          </w:p>
        </w:tc>
      </w:tr>
    </w:tbl>
    <w:p w14:paraId="3F02ED85" w14:textId="77777777" w:rsidR="005C6B47" w:rsidRDefault="00B31150">
      <w:pPr>
        <w:spacing w:before="80" w:after="200"/>
        <w:jc w:val="center"/>
      </w:pPr>
      <w:r>
        <w:rPr>
          <w:i/>
          <w:iCs/>
          <w:sz w:val="18"/>
          <w:szCs w:val="18"/>
        </w:rPr>
        <w:t>Table 6. Qualitative comparison of the proposed dashboard against existing reporting methods on capability dimensions.</w:t>
      </w:r>
    </w:p>
    <w:p w14:paraId="19B15312" w14:textId="77777777" w:rsidR="001D765E" w:rsidRPr="001D765E" w:rsidRDefault="001D765E" w:rsidP="001D765E">
      <w:pPr>
        <w:spacing w:after="140" w:line="252" w:lineRule="auto"/>
        <w:jc w:val="both"/>
        <w:rPr>
          <w:b/>
          <w:bCs/>
          <w:i/>
          <w:iCs/>
          <w:lang w:val="it-IT"/>
        </w:rPr>
      </w:pPr>
      <w:r w:rsidRPr="001D765E">
        <w:rPr>
          <w:b/>
          <w:bCs/>
          <w:i/>
          <w:iCs/>
          <w:lang w:val="it-IT"/>
        </w:rPr>
        <w:t>5.13 Comparative Regression Model Results – Superstore Dataset</w:t>
      </w:r>
    </w:p>
    <w:p w14:paraId="789E7480" w14:textId="77777777" w:rsidR="00FF7431" w:rsidRPr="00FF7431" w:rsidRDefault="00FF7431" w:rsidP="00FF7431">
      <w:pPr>
        <w:spacing w:after="140" w:line="252" w:lineRule="auto"/>
        <w:jc w:val="both"/>
        <w:rPr>
          <w:sz w:val="19"/>
          <w:szCs w:val="19"/>
        </w:rPr>
      </w:pPr>
      <w:r w:rsidRPr="00FF7431">
        <w:rPr>
          <w:sz w:val="19"/>
          <w:szCs w:val="19"/>
        </w:rPr>
        <w:t xml:space="preserve">Table 7 reports the measured R², MAE, and RMSE produced by the dashboard’s ML Model Comparative Analysis view for the </w:t>
      </w:r>
      <w:r w:rsidRPr="00FF7431">
        <w:rPr>
          <w:b/>
          <w:bCs/>
          <w:sz w:val="19"/>
          <w:szCs w:val="19"/>
        </w:rPr>
        <w:t>Superstore Dataset</w:t>
      </w:r>
      <w:r w:rsidRPr="00FF7431">
        <w:rPr>
          <w:sz w:val="19"/>
          <w:szCs w:val="19"/>
        </w:rPr>
        <w:t>. The four baseline regression models and the proposed HSRE were trained and evaluated under the same dataset, feature set, and 80:20 train/test split so that the values below are directly comparable to one another.</w:t>
      </w:r>
    </w:p>
    <w:p w14:paraId="0EDB1659" w14:textId="291DD5C3" w:rsidR="0001756B" w:rsidRDefault="009F3A69">
      <w:pPr>
        <w:spacing w:after="140" w:line="252" w:lineRule="auto"/>
        <w:jc w:val="both"/>
      </w:pPr>
      <w:r>
        <w:rPr>
          <w:sz w:val="19"/>
          <w:szCs w:val="19"/>
        </w:rPr>
        <w:t xml:space="preserve">. </w:t>
      </w:r>
    </w:p>
    <w:tbl>
      <w:tblPr>
        <w:tblW w:w="90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1000"/>
        <w:gridCol w:w="1000"/>
        <w:gridCol w:w="1000"/>
      </w:tblGrid>
      <w:tr w:rsidR="0001756B" w14:paraId="74902D7A" w14:textId="77777777">
        <w:trPr>
          <w:tblHeader/>
        </w:trPr>
        <w:tc>
          <w:tcPr>
            <w:tcW w:w="3400" w:type="dxa"/>
            <w:shd w:val="clear" w:color="auto" w:fill="1F3864"/>
            <w:tcMar>
              <w:top w:w="60" w:type="dxa"/>
              <w:left w:w="80" w:type="dxa"/>
              <w:bottom w:w="60" w:type="dxa"/>
              <w:right w:w="80" w:type="dxa"/>
            </w:tcMar>
            <w:vAlign w:val="center"/>
          </w:tcPr>
          <w:p w14:paraId="05F5118D" w14:textId="77777777" w:rsidR="0001756B" w:rsidRDefault="009F3A69">
            <w:pPr>
              <w:jc w:val="center"/>
            </w:pPr>
            <w:r>
              <w:rPr>
                <w:b/>
                <w:bCs/>
                <w:color w:val="FFFFFF"/>
                <w:sz w:val="17"/>
                <w:szCs w:val="17"/>
              </w:rPr>
              <w:t>Regression Model</w:t>
            </w:r>
          </w:p>
        </w:tc>
        <w:tc>
          <w:tcPr>
            <w:tcW w:w="2600" w:type="dxa"/>
            <w:shd w:val="clear" w:color="auto" w:fill="1F3864"/>
            <w:tcMar>
              <w:top w:w="60" w:type="dxa"/>
              <w:left w:w="80" w:type="dxa"/>
              <w:bottom w:w="60" w:type="dxa"/>
              <w:right w:w="80" w:type="dxa"/>
            </w:tcMar>
            <w:vAlign w:val="center"/>
          </w:tcPr>
          <w:p w14:paraId="25AF1110" w14:textId="77777777" w:rsidR="0001756B" w:rsidRDefault="009F3A69">
            <w:pPr>
              <w:jc w:val="center"/>
            </w:pPr>
            <w:r>
              <w:rPr>
                <w:b/>
                <w:bCs/>
                <w:color w:val="FFFFFF"/>
                <w:sz w:val="17"/>
                <w:szCs w:val="17"/>
              </w:rPr>
              <w:t>Role in Framework</w:t>
            </w:r>
          </w:p>
        </w:tc>
        <w:tc>
          <w:tcPr>
            <w:tcW w:w="1000" w:type="dxa"/>
            <w:shd w:val="clear" w:color="auto" w:fill="1F3864"/>
            <w:tcMar>
              <w:top w:w="60" w:type="dxa"/>
              <w:left w:w="80" w:type="dxa"/>
              <w:bottom w:w="60" w:type="dxa"/>
              <w:right w:w="80" w:type="dxa"/>
            </w:tcMar>
            <w:vAlign w:val="center"/>
          </w:tcPr>
          <w:p w14:paraId="482E4730" w14:textId="77777777" w:rsidR="0001756B" w:rsidRDefault="009F3A69">
            <w:pPr>
              <w:jc w:val="center"/>
            </w:pPr>
            <w:r>
              <w:rPr>
                <w:b/>
                <w:bCs/>
                <w:color w:val="FFFFFF"/>
                <w:sz w:val="17"/>
                <w:szCs w:val="17"/>
              </w:rPr>
              <w:t>R²</w:t>
            </w:r>
          </w:p>
        </w:tc>
        <w:tc>
          <w:tcPr>
            <w:tcW w:w="1000" w:type="dxa"/>
            <w:shd w:val="clear" w:color="auto" w:fill="1F3864"/>
            <w:tcMar>
              <w:top w:w="60" w:type="dxa"/>
              <w:left w:w="80" w:type="dxa"/>
              <w:bottom w:w="60" w:type="dxa"/>
              <w:right w:w="80" w:type="dxa"/>
            </w:tcMar>
            <w:vAlign w:val="center"/>
          </w:tcPr>
          <w:p w14:paraId="326DD501" w14:textId="77777777" w:rsidR="0001756B" w:rsidRDefault="009F3A69">
            <w:pPr>
              <w:jc w:val="center"/>
            </w:pPr>
            <w:r>
              <w:rPr>
                <w:b/>
                <w:bCs/>
                <w:color w:val="FFFFFF"/>
                <w:sz w:val="17"/>
                <w:szCs w:val="17"/>
              </w:rPr>
              <w:t>MAE</w:t>
            </w:r>
          </w:p>
        </w:tc>
        <w:tc>
          <w:tcPr>
            <w:tcW w:w="1000" w:type="dxa"/>
            <w:shd w:val="clear" w:color="auto" w:fill="1F3864"/>
            <w:tcMar>
              <w:top w:w="60" w:type="dxa"/>
              <w:left w:w="80" w:type="dxa"/>
              <w:bottom w:w="60" w:type="dxa"/>
              <w:right w:w="80" w:type="dxa"/>
            </w:tcMar>
            <w:vAlign w:val="center"/>
          </w:tcPr>
          <w:p w14:paraId="3A9155AA" w14:textId="77777777" w:rsidR="0001756B" w:rsidRDefault="009F3A69">
            <w:pPr>
              <w:jc w:val="center"/>
            </w:pPr>
            <w:r>
              <w:rPr>
                <w:b/>
                <w:bCs/>
                <w:color w:val="FFFFFF"/>
                <w:sz w:val="17"/>
                <w:szCs w:val="17"/>
              </w:rPr>
              <w:t>RMSE</w:t>
            </w:r>
          </w:p>
        </w:tc>
      </w:tr>
      <w:tr w:rsidR="0001756B" w14:paraId="520F03E2" w14:textId="77777777">
        <w:tc>
          <w:tcPr>
            <w:tcW w:w="3400" w:type="dxa"/>
            <w:shd w:val="clear" w:color="auto" w:fill="FFFFFF"/>
            <w:tcMar>
              <w:top w:w="60" w:type="dxa"/>
              <w:left w:w="80" w:type="dxa"/>
              <w:bottom w:w="60" w:type="dxa"/>
              <w:right w:w="80" w:type="dxa"/>
            </w:tcMar>
            <w:vAlign w:val="center"/>
          </w:tcPr>
          <w:p w14:paraId="5A2D8F8A" w14:textId="77777777" w:rsidR="0001756B" w:rsidRDefault="009F3A69">
            <w:pPr>
              <w:jc w:val="center"/>
            </w:pPr>
            <w:r>
              <w:rPr>
                <w:sz w:val="17"/>
                <w:szCs w:val="17"/>
              </w:rPr>
              <w:t>Linear Regression</w:t>
            </w:r>
          </w:p>
        </w:tc>
        <w:tc>
          <w:tcPr>
            <w:tcW w:w="2600" w:type="dxa"/>
            <w:shd w:val="clear" w:color="auto" w:fill="FFFFFF"/>
            <w:tcMar>
              <w:top w:w="60" w:type="dxa"/>
              <w:left w:w="80" w:type="dxa"/>
              <w:bottom w:w="60" w:type="dxa"/>
              <w:right w:w="80" w:type="dxa"/>
            </w:tcMar>
            <w:vAlign w:val="center"/>
          </w:tcPr>
          <w:p w14:paraId="20E88278" w14:textId="77777777" w:rsidR="0001756B" w:rsidRDefault="009F3A69">
            <w:pPr>
              <w:jc w:val="center"/>
            </w:pPr>
            <w:r>
              <w:rPr>
                <w:sz w:val="17"/>
                <w:szCs w:val="17"/>
              </w:rPr>
              <w:t>Literature base learner — best performer</w:t>
            </w:r>
          </w:p>
        </w:tc>
        <w:tc>
          <w:tcPr>
            <w:tcW w:w="1000" w:type="dxa"/>
            <w:shd w:val="clear" w:color="auto" w:fill="FFFFFF"/>
            <w:tcMar>
              <w:top w:w="60" w:type="dxa"/>
              <w:left w:w="80" w:type="dxa"/>
              <w:bottom w:w="60" w:type="dxa"/>
              <w:right w:w="80" w:type="dxa"/>
            </w:tcMar>
            <w:vAlign w:val="center"/>
          </w:tcPr>
          <w:p w14:paraId="12E1E733" w14:textId="77777777" w:rsidR="0001756B" w:rsidRDefault="009F3A69">
            <w:pPr>
              <w:jc w:val="center"/>
            </w:pPr>
            <w:r>
              <w:rPr>
                <w:sz w:val="17"/>
                <w:szCs w:val="17"/>
              </w:rPr>
              <w:t>0.2970</w:t>
            </w:r>
          </w:p>
        </w:tc>
        <w:tc>
          <w:tcPr>
            <w:tcW w:w="1000" w:type="dxa"/>
            <w:shd w:val="clear" w:color="auto" w:fill="FFFFFF"/>
            <w:tcMar>
              <w:top w:w="60" w:type="dxa"/>
              <w:left w:w="80" w:type="dxa"/>
              <w:bottom w:w="60" w:type="dxa"/>
              <w:right w:w="80" w:type="dxa"/>
            </w:tcMar>
            <w:vAlign w:val="center"/>
          </w:tcPr>
          <w:p w14:paraId="7F6F4C71" w14:textId="77777777" w:rsidR="0001756B" w:rsidRDefault="009F3A69">
            <w:pPr>
              <w:jc w:val="center"/>
            </w:pPr>
            <w:r>
              <w:rPr>
                <w:sz w:val="17"/>
                <w:szCs w:val="17"/>
              </w:rPr>
              <w:t>268.06</w:t>
            </w:r>
          </w:p>
        </w:tc>
        <w:tc>
          <w:tcPr>
            <w:tcW w:w="1000" w:type="dxa"/>
            <w:shd w:val="clear" w:color="auto" w:fill="FFFFFF"/>
            <w:tcMar>
              <w:top w:w="60" w:type="dxa"/>
              <w:left w:w="80" w:type="dxa"/>
              <w:bottom w:w="60" w:type="dxa"/>
              <w:right w:w="80" w:type="dxa"/>
            </w:tcMar>
            <w:vAlign w:val="center"/>
          </w:tcPr>
          <w:p w14:paraId="6BD47EBD" w14:textId="77777777" w:rsidR="0001756B" w:rsidRDefault="009F3A69">
            <w:pPr>
              <w:jc w:val="center"/>
            </w:pPr>
            <w:r>
              <w:rPr>
                <w:sz w:val="17"/>
                <w:szCs w:val="17"/>
              </w:rPr>
              <w:t>685.28</w:t>
            </w:r>
          </w:p>
        </w:tc>
      </w:tr>
      <w:tr w:rsidR="0001756B" w14:paraId="24051D7D" w14:textId="77777777">
        <w:tc>
          <w:tcPr>
            <w:tcW w:w="3400" w:type="dxa"/>
            <w:shd w:val="clear" w:color="auto" w:fill="FFFFFF"/>
            <w:tcMar>
              <w:top w:w="60" w:type="dxa"/>
              <w:left w:w="80" w:type="dxa"/>
              <w:bottom w:w="60" w:type="dxa"/>
              <w:right w:w="80" w:type="dxa"/>
            </w:tcMar>
            <w:vAlign w:val="center"/>
          </w:tcPr>
          <w:p w14:paraId="2514CC3F" w14:textId="77777777" w:rsidR="0001756B" w:rsidRDefault="009F3A69">
            <w:pPr>
              <w:jc w:val="center"/>
            </w:pPr>
            <w:r>
              <w:rPr>
                <w:sz w:val="17"/>
                <w:szCs w:val="17"/>
              </w:rPr>
              <w:t>Decision Tree Regressor</w:t>
            </w:r>
          </w:p>
        </w:tc>
        <w:tc>
          <w:tcPr>
            <w:tcW w:w="2600" w:type="dxa"/>
            <w:shd w:val="clear" w:color="auto" w:fill="FFFFFF"/>
            <w:tcMar>
              <w:top w:w="60" w:type="dxa"/>
              <w:left w:w="80" w:type="dxa"/>
              <w:bottom w:w="60" w:type="dxa"/>
              <w:right w:w="80" w:type="dxa"/>
            </w:tcMar>
            <w:vAlign w:val="center"/>
          </w:tcPr>
          <w:p w14:paraId="29EC49E1" w14:textId="77777777" w:rsidR="0001756B" w:rsidRDefault="009F3A69">
            <w:pPr>
              <w:jc w:val="center"/>
            </w:pPr>
            <w:r>
              <w:rPr>
                <w:sz w:val="17"/>
                <w:szCs w:val="17"/>
              </w:rPr>
              <w:t>Literature base learner</w:t>
            </w:r>
          </w:p>
        </w:tc>
        <w:tc>
          <w:tcPr>
            <w:tcW w:w="1000" w:type="dxa"/>
            <w:shd w:val="clear" w:color="auto" w:fill="FFFFFF"/>
            <w:tcMar>
              <w:top w:w="60" w:type="dxa"/>
              <w:left w:w="80" w:type="dxa"/>
              <w:bottom w:w="60" w:type="dxa"/>
              <w:right w:w="80" w:type="dxa"/>
            </w:tcMar>
            <w:vAlign w:val="center"/>
          </w:tcPr>
          <w:p w14:paraId="68DB1108" w14:textId="77777777" w:rsidR="0001756B" w:rsidRDefault="009F3A69">
            <w:pPr>
              <w:jc w:val="center"/>
            </w:pPr>
            <w:r>
              <w:rPr>
                <w:sz w:val="17"/>
                <w:szCs w:val="17"/>
              </w:rPr>
              <w:t>0.1253</w:t>
            </w:r>
          </w:p>
        </w:tc>
        <w:tc>
          <w:tcPr>
            <w:tcW w:w="1000" w:type="dxa"/>
            <w:shd w:val="clear" w:color="auto" w:fill="FFFFFF"/>
            <w:tcMar>
              <w:top w:w="60" w:type="dxa"/>
              <w:left w:w="80" w:type="dxa"/>
              <w:bottom w:w="60" w:type="dxa"/>
              <w:right w:w="80" w:type="dxa"/>
            </w:tcMar>
            <w:vAlign w:val="center"/>
          </w:tcPr>
          <w:p w14:paraId="37294702" w14:textId="77777777" w:rsidR="0001756B" w:rsidRDefault="009F3A69">
            <w:pPr>
              <w:jc w:val="center"/>
            </w:pPr>
            <w:r>
              <w:rPr>
                <w:sz w:val="17"/>
                <w:szCs w:val="17"/>
              </w:rPr>
              <w:t>248.31</w:t>
            </w:r>
          </w:p>
        </w:tc>
        <w:tc>
          <w:tcPr>
            <w:tcW w:w="1000" w:type="dxa"/>
            <w:shd w:val="clear" w:color="auto" w:fill="FFFFFF"/>
            <w:tcMar>
              <w:top w:w="60" w:type="dxa"/>
              <w:left w:w="80" w:type="dxa"/>
              <w:bottom w:w="60" w:type="dxa"/>
              <w:right w:w="80" w:type="dxa"/>
            </w:tcMar>
            <w:vAlign w:val="center"/>
          </w:tcPr>
          <w:p w14:paraId="4595EF2B" w14:textId="77777777" w:rsidR="0001756B" w:rsidRDefault="009F3A69">
            <w:pPr>
              <w:jc w:val="center"/>
            </w:pPr>
            <w:r>
              <w:rPr>
                <w:sz w:val="17"/>
                <w:szCs w:val="17"/>
              </w:rPr>
              <w:t>764.40</w:t>
            </w:r>
          </w:p>
        </w:tc>
      </w:tr>
      <w:tr w:rsidR="0001756B" w14:paraId="745336C3" w14:textId="77777777">
        <w:tc>
          <w:tcPr>
            <w:tcW w:w="3400" w:type="dxa"/>
            <w:shd w:val="clear" w:color="auto" w:fill="FFFFFF"/>
            <w:tcMar>
              <w:top w:w="60" w:type="dxa"/>
              <w:left w:w="80" w:type="dxa"/>
              <w:bottom w:w="60" w:type="dxa"/>
              <w:right w:w="80" w:type="dxa"/>
            </w:tcMar>
            <w:vAlign w:val="center"/>
          </w:tcPr>
          <w:p w14:paraId="73490838" w14:textId="77777777" w:rsidR="0001756B" w:rsidRDefault="009F3A69">
            <w:pPr>
              <w:jc w:val="center"/>
            </w:pPr>
            <w:r>
              <w:rPr>
                <w:sz w:val="17"/>
                <w:szCs w:val="17"/>
              </w:rPr>
              <w:t>Random Forest Regressor</w:t>
            </w:r>
          </w:p>
        </w:tc>
        <w:tc>
          <w:tcPr>
            <w:tcW w:w="2600" w:type="dxa"/>
            <w:shd w:val="clear" w:color="auto" w:fill="FFFFFF"/>
            <w:tcMar>
              <w:top w:w="60" w:type="dxa"/>
              <w:left w:w="80" w:type="dxa"/>
              <w:bottom w:w="60" w:type="dxa"/>
              <w:right w:w="80" w:type="dxa"/>
            </w:tcMar>
            <w:vAlign w:val="center"/>
          </w:tcPr>
          <w:p w14:paraId="53CD34F1" w14:textId="77777777" w:rsidR="0001756B" w:rsidRDefault="009F3A69">
            <w:pPr>
              <w:jc w:val="center"/>
            </w:pPr>
            <w:r>
              <w:rPr>
                <w:sz w:val="17"/>
                <w:szCs w:val="17"/>
              </w:rPr>
              <w:t>Literature base learner</w:t>
            </w:r>
          </w:p>
        </w:tc>
        <w:tc>
          <w:tcPr>
            <w:tcW w:w="1000" w:type="dxa"/>
            <w:shd w:val="clear" w:color="auto" w:fill="FFFFFF"/>
            <w:tcMar>
              <w:top w:w="60" w:type="dxa"/>
              <w:left w:w="80" w:type="dxa"/>
              <w:bottom w:w="60" w:type="dxa"/>
              <w:right w:w="80" w:type="dxa"/>
            </w:tcMar>
            <w:vAlign w:val="center"/>
          </w:tcPr>
          <w:p w14:paraId="0274F146" w14:textId="77777777" w:rsidR="0001756B" w:rsidRDefault="009F3A69">
            <w:pPr>
              <w:jc w:val="center"/>
            </w:pPr>
            <w:r>
              <w:rPr>
                <w:sz w:val="17"/>
                <w:szCs w:val="17"/>
              </w:rPr>
              <w:t>0.2586</w:t>
            </w:r>
          </w:p>
        </w:tc>
        <w:tc>
          <w:tcPr>
            <w:tcW w:w="1000" w:type="dxa"/>
            <w:shd w:val="clear" w:color="auto" w:fill="FFFFFF"/>
            <w:tcMar>
              <w:top w:w="60" w:type="dxa"/>
              <w:left w:w="80" w:type="dxa"/>
              <w:bottom w:w="60" w:type="dxa"/>
              <w:right w:w="80" w:type="dxa"/>
            </w:tcMar>
            <w:vAlign w:val="center"/>
          </w:tcPr>
          <w:p w14:paraId="5B58B73C" w14:textId="77777777" w:rsidR="0001756B" w:rsidRDefault="009F3A69">
            <w:pPr>
              <w:jc w:val="center"/>
            </w:pPr>
            <w:r>
              <w:rPr>
                <w:sz w:val="17"/>
                <w:szCs w:val="17"/>
              </w:rPr>
              <w:t>238.82</w:t>
            </w:r>
          </w:p>
        </w:tc>
        <w:tc>
          <w:tcPr>
            <w:tcW w:w="1000" w:type="dxa"/>
            <w:shd w:val="clear" w:color="auto" w:fill="FFFFFF"/>
            <w:tcMar>
              <w:top w:w="60" w:type="dxa"/>
              <w:left w:w="80" w:type="dxa"/>
              <w:bottom w:w="60" w:type="dxa"/>
              <w:right w:w="80" w:type="dxa"/>
            </w:tcMar>
            <w:vAlign w:val="center"/>
          </w:tcPr>
          <w:p w14:paraId="757A6A76" w14:textId="77777777" w:rsidR="0001756B" w:rsidRDefault="009F3A69">
            <w:pPr>
              <w:jc w:val="center"/>
            </w:pPr>
            <w:r>
              <w:rPr>
                <w:sz w:val="17"/>
                <w:szCs w:val="17"/>
              </w:rPr>
              <w:t>703.77</w:t>
            </w:r>
          </w:p>
        </w:tc>
      </w:tr>
      <w:tr w:rsidR="0001756B" w14:paraId="4F5B9904" w14:textId="77777777">
        <w:tc>
          <w:tcPr>
            <w:tcW w:w="3400" w:type="dxa"/>
            <w:shd w:val="clear" w:color="auto" w:fill="FFFFFF"/>
            <w:tcMar>
              <w:top w:w="60" w:type="dxa"/>
              <w:left w:w="80" w:type="dxa"/>
              <w:bottom w:w="60" w:type="dxa"/>
              <w:right w:w="80" w:type="dxa"/>
            </w:tcMar>
            <w:vAlign w:val="center"/>
          </w:tcPr>
          <w:p w14:paraId="3768C775" w14:textId="77777777" w:rsidR="0001756B" w:rsidRDefault="009F3A69">
            <w:pPr>
              <w:jc w:val="center"/>
            </w:pPr>
            <w:r>
              <w:rPr>
                <w:sz w:val="17"/>
                <w:szCs w:val="17"/>
              </w:rPr>
              <w:t>Gradient Boosting Regressor</w:t>
            </w:r>
          </w:p>
        </w:tc>
        <w:tc>
          <w:tcPr>
            <w:tcW w:w="2600" w:type="dxa"/>
            <w:shd w:val="clear" w:color="auto" w:fill="FFFFFF"/>
            <w:tcMar>
              <w:top w:w="60" w:type="dxa"/>
              <w:left w:w="80" w:type="dxa"/>
              <w:bottom w:w="60" w:type="dxa"/>
              <w:right w:w="80" w:type="dxa"/>
            </w:tcMar>
            <w:vAlign w:val="center"/>
          </w:tcPr>
          <w:p w14:paraId="49B8ADA4" w14:textId="77777777" w:rsidR="0001756B" w:rsidRDefault="009F3A69">
            <w:pPr>
              <w:jc w:val="center"/>
            </w:pPr>
            <w:r>
              <w:rPr>
                <w:sz w:val="17"/>
                <w:szCs w:val="17"/>
              </w:rPr>
              <w:t>Literature base learner</w:t>
            </w:r>
          </w:p>
        </w:tc>
        <w:tc>
          <w:tcPr>
            <w:tcW w:w="1000" w:type="dxa"/>
            <w:shd w:val="clear" w:color="auto" w:fill="FFFFFF"/>
            <w:tcMar>
              <w:top w:w="60" w:type="dxa"/>
              <w:left w:w="80" w:type="dxa"/>
              <w:bottom w:w="60" w:type="dxa"/>
              <w:right w:w="80" w:type="dxa"/>
            </w:tcMar>
            <w:vAlign w:val="center"/>
          </w:tcPr>
          <w:p w14:paraId="4CEA5A1F" w14:textId="77777777" w:rsidR="0001756B" w:rsidRDefault="009F3A69">
            <w:pPr>
              <w:jc w:val="center"/>
            </w:pPr>
            <w:r>
              <w:rPr>
                <w:sz w:val="17"/>
                <w:szCs w:val="17"/>
              </w:rPr>
              <w:t>0.1162</w:t>
            </w:r>
          </w:p>
        </w:tc>
        <w:tc>
          <w:tcPr>
            <w:tcW w:w="1000" w:type="dxa"/>
            <w:shd w:val="clear" w:color="auto" w:fill="FFFFFF"/>
            <w:tcMar>
              <w:top w:w="60" w:type="dxa"/>
              <w:left w:w="80" w:type="dxa"/>
              <w:bottom w:w="60" w:type="dxa"/>
              <w:right w:w="80" w:type="dxa"/>
            </w:tcMar>
            <w:vAlign w:val="center"/>
          </w:tcPr>
          <w:p w14:paraId="55904687" w14:textId="77777777" w:rsidR="0001756B" w:rsidRDefault="009F3A69">
            <w:pPr>
              <w:jc w:val="center"/>
            </w:pPr>
            <w:r>
              <w:rPr>
                <w:sz w:val="17"/>
                <w:szCs w:val="17"/>
              </w:rPr>
              <w:t>260.67</w:t>
            </w:r>
          </w:p>
        </w:tc>
        <w:tc>
          <w:tcPr>
            <w:tcW w:w="1000" w:type="dxa"/>
            <w:shd w:val="clear" w:color="auto" w:fill="FFFFFF"/>
            <w:tcMar>
              <w:top w:w="60" w:type="dxa"/>
              <w:left w:w="80" w:type="dxa"/>
              <w:bottom w:w="60" w:type="dxa"/>
              <w:right w:w="80" w:type="dxa"/>
            </w:tcMar>
            <w:vAlign w:val="center"/>
          </w:tcPr>
          <w:p w14:paraId="1AEE9F22" w14:textId="77777777" w:rsidR="0001756B" w:rsidRDefault="009F3A69">
            <w:pPr>
              <w:jc w:val="center"/>
            </w:pPr>
            <w:r>
              <w:rPr>
                <w:sz w:val="17"/>
                <w:szCs w:val="17"/>
              </w:rPr>
              <w:t>768.36</w:t>
            </w:r>
          </w:p>
        </w:tc>
      </w:tr>
      <w:tr w:rsidR="0001756B" w14:paraId="56FA4FF4" w14:textId="77777777">
        <w:tc>
          <w:tcPr>
            <w:tcW w:w="3400" w:type="dxa"/>
            <w:shd w:val="clear" w:color="auto" w:fill="FFFFFF"/>
            <w:tcMar>
              <w:top w:w="60" w:type="dxa"/>
              <w:left w:w="80" w:type="dxa"/>
              <w:bottom w:w="60" w:type="dxa"/>
              <w:right w:w="80" w:type="dxa"/>
            </w:tcMar>
            <w:vAlign w:val="center"/>
          </w:tcPr>
          <w:p w14:paraId="080A1B1A" w14:textId="31D487F6" w:rsidR="0001756B" w:rsidRDefault="009F3A69">
            <w:pPr>
              <w:jc w:val="center"/>
            </w:pPr>
            <w:r>
              <w:rPr>
                <w:sz w:val="17"/>
                <w:szCs w:val="17"/>
              </w:rPr>
              <w:t>Proposed HSRE</w:t>
            </w:r>
          </w:p>
        </w:tc>
        <w:tc>
          <w:tcPr>
            <w:tcW w:w="2600" w:type="dxa"/>
            <w:shd w:val="clear" w:color="auto" w:fill="FFFFFF"/>
            <w:tcMar>
              <w:top w:w="60" w:type="dxa"/>
              <w:left w:w="80" w:type="dxa"/>
              <w:bottom w:w="60" w:type="dxa"/>
              <w:right w:w="80" w:type="dxa"/>
            </w:tcMar>
            <w:vAlign w:val="center"/>
          </w:tcPr>
          <w:p w14:paraId="06BE7676" w14:textId="77777777" w:rsidR="0001756B" w:rsidRDefault="009F3A69">
            <w:pPr>
              <w:jc w:val="center"/>
            </w:pPr>
            <w:r>
              <w:rPr>
                <w:sz w:val="17"/>
                <w:szCs w:val="17"/>
              </w:rPr>
              <w:t>Proposed ensemble (meta-stacking)</w:t>
            </w:r>
          </w:p>
        </w:tc>
        <w:tc>
          <w:tcPr>
            <w:tcW w:w="1000" w:type="dxa"/>
            <w:shd w:val="clear" w:color="auto" w:fill="FFFFFF"/>
            <w:tcMar>
              <w:top w:w="60" w:type="dxa"/>
              <w:left w:w="80" w:type="dxa"/>
              <w:bottom w:w="60" w:type="dxa"/>
              <w:right w:w="80" w:type="dxa"/>
            </w:tcMar>
            <w:vAlign w:val="center"/>
          </w:tcPr>
          <w:p w14:paraId="53D34151" w14:textId="77777777" w:rsidR="0001756B" w:rsidRDefault="009F3A69">
            <w:pPr>
              <w:jc w:val="center"/>
            </w:pPr>
            <w:r>
              <w:rPr>
                <w:sz w:val="17"/>
                <w:szCs w:val="17"/>
              </w:rPr>
              <w:t>0.2307</w:t>
            </w:r>
          </w:p>
        </w:tc>
        <w:tc>
          <w:tcPr>
            <w:tcW w:w="1000" w:type="dxa"/>
            <w:shd w:val="clear" w:color="auto" w:fill="FFFFFF"/>
            <w:tcMar>
              <w:top w:w="60" w:type="dxa"/>
              <w:left w:w="80" w:type="dxa"/>
              <w:bottom w:w="60" w:type="dxa"/>
              <w:right w:w="80" w:type="dxa"/>
            </w:tcMar>
            <w:vAlign w:val="center"/>
          </w:tcPr>
          <w:p w14:paraId="6A7D9FF5" w14:textId="77777777" w:rsidR="0001756B" w:rsidRDefault="009F3A69">
            <w:pPr>
              <w:jc w:val="center"/>
            </w:pPr>
            <w:r>
              <w:rPr>
                <w:sz w:val="17"/>
                <w:szCs w:val="17"/>
              </w:rPr>
              <w:t>254.76</w:t>
            </w:r>
          </w:p>
        </w:tc>
        <w:tc>
          <w:tcPr>
            <w:tcW w:w="1000" w:type="dxa"/>
            <w:shd w:val="clear" w:color="auto" w:fill="FFFFFF"/>
            <w:tcMar>
              <w:top w:w="60" w:type="dxa"/>
              <w:left w:w="80" w:type="dxa"/>
              <w:bottom w:w="60" w:type="dxa"/>
              <w:right w:w="80" w:type="dxa"/>
            </w:tcMar>
            <w:vAlign w:val="center"/>
          </w:tcPr>
          <w:p w14:paraId="706E6A8B" w14:textId="77777777" w:rsidR="0001756B" w:rsidRDefault="009F3A69">
            <w:pPr>
              <w:jc w:val="center"/>
            </w:pPr>
            <w:r>
              <w:rPr>
                <w:sz w:val="17"/>
                <w:szCs w:val="17"/>
              </w:rPr>
              <w:t>716.85</w:t>
            </w:r>
          </w:p>
        </w:tc>
      </w:tr>
    </w:tbl>
    <w:p w14:paraId="3E779575" w14:textId="77777777" w:rsidR="0025259A" w:rsidRDefault="0025259A" w:rsidP="0025259A">
      <w:pPr>
        <w:spacing w:after="140" w:line="252" w:lineRule="auto"/>
        <w:jc w:val="both"/>
        <w:rPr>
          <w:i/>
          <w:iCs/>
          <w:sz w:val="18"/>
          <w:szCs w:val="18"/>
        </w:rPr>
      </w:pPr>
      <w:r w:rsidRPr="0025259A">
        <w:rPr>
          <w:b/>
          <w:bCs/>
          <w:i/>
          <w:iCs/>
          <w:sz w:val="18"/>
          <w:szCs w:val="18"/>
        </w:rPr>
        <w:t>Table 7.</w:t>
      </w:r>
      <w:r w:rsidRPr="0025259A">
        <w:rPr>
          <w:i/>
          <w:iCs/>
          <w:sz w:val="18"/>
          <w:szCs w:val="18"/>
        </w:rPr>
        <w:t xml:space="preserve"> Measured comparative regression results (R², MAE, RMSE) for the Superstore Dataset using the four baseline models and the proposed HSRE. Higher R² and lower MAE/RMSE indicate stronger predictive performance.</w:t>
      </w:r>
    </w:p>
    <w:p w14:paraId="36CD13BD" w14:textId="77777777" w:rsidR="00BF295D" w:rsidRPr="00BF295D" w:rsidRDefault="00BF295D" w:rsidP="00BF295D">
      <w:pPr>
        <w:spacing w:after="140" w:line="252" w:lineRule="auto"/>
        <w:jc w:val="both"/>
        <w:rPr>
          <w:i/>
          <w:iCs/>
          <w:sz w:val="18"/>
          <w:szCs w:val="18"/>
        </w:rPr>
      </w:pPr>
      <w:r w:rsidRPr="00BF295D">
        <w:rPr>
          <w:i/>
          <w:iCs/>
          <w:sz w:val="18"/>
          <w:szCs w:val="18"/>
        </w:rPr>
        <w:t>For the Superstore Dataset, Linear Regression achieved the highest R² (0.2970) and the lowest RMSE (685.28), while Random Forest achieved the lowest MAE (238.82).</w:t>
      </w:r>
    </w:p>
    <w:p w14:paraId="043C2C55" w14:textId="77777777" w:rsidR="00BF295D" w:rsidRPr="0025259A" w:rsidRDefault="00BF295D" w:rsidP="0025259A">
      <w:pPr>
        <w:spacing w:after="140" w:line="252" w:lineRule="auto"/>
        <w:jc w:val="both"/>
        <w:rPr>
          <w:i/>
          <w:iCs/>
          <w:sz w:val="18"/>
          <w:szCs w:val="18"/>
        </w:rPr>
      </w:pPr>
    </w:p>
    <w:p w14:paraId="12445E1D" w14:textId="77777777" w:rsidR="004C7F4B" w:rsidRDefault="004C7F4B" w:rsidP="004C7F4B">
      <w:pPr>
        <w:spacing w:after="140" w:line="252" w:lineRule="auto"/>
        <w:jc w:val="both"/>
      </w:pPr>
      <w:r>
        <w:rPr>
          <w:i/>
          <w:iCs/>
          <w:sz w:val="18"/>
          <w:szCs w:val="18"/>
        </w:rPr>
        <w:t>Fig. 6–9. R², MAE, and RMSE comparisons across the four baseline models and the proposed HSRE, and HSRE's actual-versus-predicted sales on the held-out evaluation test samples, as produced by the dashboard.</w:t>
      </w:r>
    </w:p>
    <w:p w14:paraId="3038DB0A" w14:textId="77777777" w:rsidR="004C7F4B" w:rsidRDefault="004C7F4B" w:rsidP="00FF7431">
      <w:pPr>
        <w:spacing w:after="140" w:line="252" w:lineRule="auto"/>
        <w:jc w:val="both"/>
        <w:rPr>
          <w:i/>
          <w:iCs/>
          <w:sz w:val="18"/>
          <w:szCs w:val="18"/>
        </w:rPr>
      </w:pPr>
    </w:p>
    <w:p w14:paraId="0484639D" w14:textId="77777777" w:rsidR="00B36D54" w:rsidRPr="00B36D54" w:rsidRDefault="00B36D54" w:rsidP="00B36D54">
      <w:pPr>
        <w:spacing w:after="140" w:line="252" w:lineRule="auto"/>
        <w:jc w:val="both"/>
        <w:rPr>
          <w:b/>
          <w:bCs/>
          <w:i/>
          <w:iCs/>
          <w:sz w:val="18"/>
          <w:szCs w:val="18"/>
        </w:rPr>
      </w:pPr>
      <w:r w:rsidRPr="00B36D54">
        <w:rPr>
          <w:b/>
          <w:bCs/>
          <w:i/>
          <w:iCs/>
          <w:sz w:val="18"/>
          <w:szCs w:val="18"/>
        </w:rPr>
        <w:t>5.14 Comparative Results Across All Four Datasets</w:t>
      </w:r>
    </w:p>
    <w:p w14:paraId="65EE1FAD" w14:textId="77777777" w:rsidR="00B36D54" w:rsidRPr="00B36D54" w:rsidRDefault="00B36D54" w:rsidP="00B36D54">
      <w:pPr>
        <w:spacing w:after="140" w:line="252" w:lineRule="auto"/>
        <w:jc w:val="both"/>
        <w:rPr>
          <w:i/>
          <w:iCs/>
          <w:sz w:val="18"/>
          <w:szCs w:val="18"/>
        </w:rPr>
      </w:pPr>
      <w:r w:rsidRPr="00B36D54">
        <w:rPr>
          <w:i/>
          <w:iCs/>
          <w:sz w:val="18"/>
          <w:szCs w:val="18"/>
        </w:rPr>
        <w:t>To evaluate the consistency of the regression models across different sales datasets, the comparative analysis was extended to all four datasets used in the proposed dashboard. Table 8 summarizes the best-performing model for each dataset based on R², MAE, and RMSE. Higher R² and lower MAE/RMSE indicate better predictive performance.</w:t>
      </w:r>
    </w:p>
    <w:p w14:paraId="7B421F0A" w14:textId="77777777" w:rsidR="00B36D54" w:rsidRPr="00B36D54" w:rsidRDefault="00B36D54" w:rsidP="00B36D54">
      <w:pPr>
        <w:spacing w:after="140" w:line="252" w:lineRule="auto"/>
        <w:jc w:val="both"/>
        <w:rPr>
          <w:i/>
          <w:iCs/>
          <w:sz w:val="18"/>
          <w:szCs w:val="18"/>
        </w:rPr>
      </w:pPr>
      <w:r w:rsidRPr="00B36D54">
        <w:rPr>
          <w:b/>
          <w:bCs/>
          <w:i/>
          <w:iCs/>
          <w:sz w:val="18"/>
          <w:szCs w:val="18"/>
        </w:rPr>
        <w:t>Table 8. Dataset-wise summary of comparative regression model performance</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top w:w="15" w:type="dxa"/>
          <w:left w:w="15" w:type="dxa"/>
          <w:bottom w:w="15" w:type="dxa"/>
          <w:right w:w="15" w:type="dxa"/>
        </w:tblCellMar>
        <w:tblLook w:val="04A0" w:firstRow="1" w:lastRow="0" w:firstColumn="1" w:lastColumn="0" w:noHBand="0" w:noVBand="1"/>
      </w:tblPr>
      <w:tblGrid>
        <w:gridCol w:w="1420"/>
        <w:gridCol w:w="1415"/>
        <w:gridCol w:w="620"/>
        <w:gridCol w:w="1415"/>
        <w:gridCol w:w="846"/>
        <w:gridCol w:w="1461"/>
        <w:gridCol w:w="961"/>
      </w:tblGrid>
      <w:tr w:rsidR="00B36D54" w:rsidRPr="00B36D54" w14:paraId="736FF0A5" w14:textId="77777777" w:rsidTr="00B36D54">
        <w:trPr>
          <w:tblCellSpacing w:w="15" w:type="dxa"/>
        </w:trPr>
        <w:tc>
          <w:tcPr>
            <w:tcW w:w="0" w:type="auto"/>
            <w:vAlign w:val="center"/>
            <w:hideMark/>
          </w:tcPr>
          <w:p w14:paraId="32ADB1C1" w14:textId="77777777" w:rsidR="00B36D54" w:rsidRPr="00B36D54" w:rsidRDefault="00B36D54" w:rsidP="00B36D54">
            <w:pPr>
              <w:spacing w:after="140" w:line="252" w:lineRule="auto"/>
              <w:jc w:val="both"/>
              <w:rPr>
                <w:b/>
                <w:bCs/>
                <w:i/>
                <w:iCs/>
                <w:sz w:val="18"/>
                <w:szCs w:val="18"/>
              </w:rPr>
            </w:pPr>
            <w:r w:rsidRPr="00B36D54">
              <w:rPr>
                <w:b/>
                <w:bCs/>
                <w:i/>
                <w:iCs/>
                <w:sz w:val="18"/>
                <w:szCs w:val="18"/>
              </w:rPr>
              <w:t>Dataset</w:t>
            </w:r>
          </w:p>
        </w:tc>
        <w:tc>
          <w:tcPr>
            <w:tcW w:w="0" w:type="auto"/>
            <w:vAlign w:val="center"/>
            <w:hideMark/>
          </w:tcPr>
          <w:p w14:paraId="4C88FAFA"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R² Model</w:t>
            </w:r>
          </w:p>
        </w:tc>
        <w:tc>
          <w:tcPr>
            <w:tcW w:w="0" w:type="auto"/>
            <w:vAlign w:val="center"/>
            <w:hideMark/>
          </w:tcPr>
          <w:p w14:paraId="3E1115B2"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R²</w:t>
            </w:r>
          </w:p>
        </w:tc>
        <w:tc>
          <w:tcPr>
            <w:tcW w:w="0" w:type="auto"/>
            <w:vAlign w:val="center"/>
            <w:hideMark/>
          </w:tcPr>
          <w:p w14:paraId="307A3571"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MAE Model</w:t>
            </w:r>
          </w:p>
        </w:tc>
        <w:tc>
          <w:tcPr>
            <w:tcW w:w="0" w:type="auto"/>
            <w:vAlign w:val="center"/>
            <w:hideMark/>
          </w:tcPr>
          <w:p w14:paraId="5B60F97B"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MAE</w:t>
            </w:r>
          </w:p>
        </w:tc>
        <w:tc>
          <w:tcPr>
            <w:tcW w:w="0" w:type="auto"/>
            <w:vAlign w:val="center"/>
            <w:hideMark/>
          </w:tcPr>
          <w:p w14:paraId="324FBDD3"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RMSE Model</w:t>
            </w:r>
          </w:p>
        </w:tc>
        <w:tc>
          <w:tcPr>
            <w:tcW w:w="0" w:type="auto"/>
            <w:vAlign w:val="center"/>
            <w:hideMark/>
          </w:tcPr>
          <w:p w14:paraId="38320ED6" w14:textId="77777777" w:rsidR="00B36D54" w:rsidRPr="00B36D54" w:rsidRDefault="00B36D54" w:rsidP="00B36D54">
            <w:pPr>
              <w:spacing w:after="140" w:line="252" w:lineRule="auto"/>
              <w:jc w:val="both"/>
              <w:rPr>
                <w:b/>
                <w:bCs/>
                <w:i/>
                <w:iCs/>
                <w:sz w:val="18"/>
                <w:szCs w:val="18"/>
              </w:rPr>
            </w:pPr>
            <w:r w:rsidRPr="00B36D54">
              <w:rPr>
                <w:b/>
                <w:bCs/>
                <w:i/>
                <w:iCs/>
                <w:sz w:val="18"/>
                <w:szCs w:val="18"/>
              </w:rPr>
              <w:t>Best RMSE</w:t>
            </w:r>
          </w:p>
        </w:tc>
      </w:tr>
      <w:tr w:rsidR="00B36D54" w:rsidRPr="00B36D54" w14:paraId="21E7ED07" w14:textId="77777777" w:rsidTr="00B36D54">
        <w:trPr>
          <w:tblCellSpacing w:w="15" w:type="dxa"/>
        </w:trPr>
        <w:tc>
          <w:tcPr>
            <w:tcW w:w="0" w:type="auto"/>
            <w:vAlign w:val="center"/>
            <w:hideMark/>
          </w:tcPr>
          <w:p w14:paraId="286FE008" w14:textId="77777777" w:rsidR="00B36D54" w:rsidRPr="00B36D54" w:rsidRDefault="00B36D54" w:rsidP="00B36D54">
            <w:pPr>
              <w:spacing w:after="140" w:line="252" w:lineRule="auto"/>
              <w:jc w:val="both"/>
              <w:rPr>
                <w:i/>
                <w:iCs/>
                <w:sz w:val="18"/>
                <w:szCs w:val="18"/>
              </w:rPr>
            </w:pPr>
            <w:r w:rsidRPr="00B36D54">
              <w:rPr>
                <w:i/>
                <w:iCs/>
                <w:sz w:val="18"/>
                <w:szCs w:val="18"/>
              </w:rPr>
              <w:t>Superstore</w:t>
            </w:r>
          </w:p>
        </w:tc>
        <w:tc>
          <w:tcPr>
            <w:tcW w:w="0" w:type="auto"/>
            <w:vAlign w:val="center"/>
            <w:hideMark/>
          </w:tcPr>
          <w:p w14:paraId="66F25092" w14:textId="77777777" w:rsidR="00B36D54" w:rsidRPr="00B36D54" w:rsidRDefault="00B36D54" w:rsidP="00B36D54">
            <w:pPr>
              <w:spacing w:after="140" w:line="252" w:lineRule="auto"/>
              <w:jc w:val="both"/>
              <w:rPr>
                <w:i/>
                <w:iCs/>
                <w:sz w:val="18"/>
                <w:szCs w:val="18"/>
              </w:rPr>
            </w:pPr>
            <w:r w:rsidRPr="00B36D54">
              <w:rPr>
                <w:i/>
                <w:iCs/>
                <w:sz w:val="18"/>
                <w:szCs w:val="18"/>
              </w:rPr>
              <w:t>Linear Regression</w:t>
            </w:r>
          </w:p>
        </w:tc>
        <w:tc>
          <w:tcPr>
            <w:tcW w:w="0" w:type="auto"/>
            <w:vAlign w:val="center"/>
            <w:hideMark/>
          </w:tcPr>
          <w:p w14:paraId="7909DDAF" w14:textId="77777777" w:rsidR="00B36D54" w:rsidRPr="00B36D54" w:rsidRDefault="00B36D54" w:rsidP="00B36D54">
            <w:pPr>
              <w:spacing w:after="140" w:line="252" w:lineRule="auto"/>
              <w:jc w:val="both"/>
              <w:rPr>
                <w:i/>
                <w:iCs/>
                <w:sz w:val="18"/>
                <w:szCs w:val="18"/>
              </w:rPr>
            </w:pPr>
            <w:r w:rsidRPr="00B36D54">
              <w:rPr>
                <w:i/>
                <w:iCs/>
                <w:sz w:val="18"/>
                <w:szCs w:val="18"/>
              </w:rPr>
              <w:t>0.2970</w:t>
            </w:r>
          </w:p>
        </w:tc>
        <w:tc>
          <w:tcPr>
            <w:tcW w:w="0" w:type="auto"/>
            <w:vAlign w:val="center"/>
            <w:hideMark/>
          </w:tcPr>
          <w:p w14:paraId="0A8A6AF4" w14:textId="77777777" w:rsidR="00B36D54" w:rsidRPr="00B36D54" w:rsidRDefault="00B36D54" w:rsidP="00B36D54">
            <w:pPr>
              <w:spacing w:after="140" w:line="252" w:lineRule="auto"/>
              <w:jc w:val="both"/>
              <w:rPr>
                <w:i/>
                <w:iCs/>
                <w:sz w:val="18"/>
                <w:szCs w:val="18"/>
              </w:rPr>
            </w:pPr>
            <w:r w:rsidRPr="00B36D54">
              <w:rPr>
                <w:i/>
                <w:iCs/>
                <w:sz w:val="18"/>
                <w:szCs w:val="18"/>
              </w:rPr>
              <w:t>Random Forest</w:t>
            </w:r>
          </w:p>
        </w:tc>
        <w:tc>
          <w:tcPr>
            <w:tcW w:w="0" w:type="auto"/>
            <w:vAlign w:val="center"/>
            <w:hideMark/>
          </w:tcPr>
          <w:p w14:paraId="7B35C729" w14:textId="77777777" w:rsidR="00B36D54" w:rsidRPr="00B36D54" w:rsidRDefault="00B36D54" w:rsidP="00B36D54">
            <w:pPr>
              <w:spacing w:after="140" w:line="252" w:lineRule="auto"/>
              <w:jc w:val="both"/>
              <w:rPr>
                <w:i/>
                <w:iCs/>
                <w:sz w:val="18"/>
                <w:szCs w:val="18"/>
              </w:rPr>
            </w:pPr>
            <w:r w:rsidRPr="00B36D54">
              <w:rPr>
                <w:i/>
                <w:iCs/>
                <w:sz w:val="18"/>
                <w:szCs w:val="18"/>
              </w:rPr>
              <w:t>238.82</w:t>
            </w:r>
          </w:p>
        </w:tc>
        <w:tc>
          <w:tcPr>
            <w:tcW w:w="0" w:type="auto"/>
            <w:vAlign w:val="center"/>
            <w:hideMark/>
          </w:tcPr>
          <w:p w14:paraId="59267CC2" w14:textId="77777777" w:rsidR="00B36D54" w:rsidRPr="00B36D54" w:rsidRDefault="00B36D54" w:rsidP="00B36D54">
            <w:pPr>
              <w:spacing w:after="140" w:line="252" w:lineRule="auto"/>
              <w:jc w:val="both"/>
              <w:rPr>
                <w:i/>
                <w:iCs/>
                <w:sz w:val="18"/>
                <w:szCs w:val="18"/>
              </w:rPr>
            </w:pPr>
            <w:r w:rsidRPr="00B36D54">
              <w:rPr>
                <w:i/>
                <w:iCs/>
                <w:sz w:val="18"/>
                <w:szCs w:val="18"/>
              </w:rPr>
              <w:t>Linear Regression</w:t>
            </w:r>
          </w:p>
        </w:tc>
        <w:tc>
          <w:tcPr>
            <w:tcW w:w="0" w:type="auto"/>
            <w:vAlign w:val="center"/>
            <w:hideMark/>
          </w:tcPr>
          <w:p w14:paraId="348D0AE6" w14:textId="77777777" w:rsidR="00B36D54" w:rsidRPr="00B36D54" w:rsidRDefault="00B36D54" w:rsidP="00B36D54">
            <w:pPr>
              <w:spacing w:after="140" w:line="252" w:lineRule="auto"/>
              <w:jc w:val="both"/>
              <w:rPr>
                <w:i/>
                <w:iCs/>
                <w:sz w:val="18"/>
                <w:szCs w:val="18"/>
              </w:rPr>
            </w:pPr>
            <w:r w:rsidRPr="00B36D54">
              <w:rPr>
                <w:i/>
                <w:iCs/>
                <w:sz w:val="18"/>
                <w:szCs w:val="18"/>
              </w:rPr>
              <w:t>685.28</w:t>
            </w:r>
          </w:p>
        </w:tc>
      </w:tr>
      <w:tr w:rsidR="00B36D54" w:rsidRPr="00B36D54" w14:paraId="3F256289" w14:textId="77777777" w:rsidTr="00B36D54">
        <w:trPr>
          <w:tblCellSpacing w:w="15" w:type="dxa"/>
        </w:trPr>
        <w:tc>
          <w:tcPr>
            <w:tcW w:w="0" w:type="auto"/>
            <w:vAlign w:val="center"/>
            <w:hideMark/>
          </w:tcPr>
          <w:p w14:paraId="597CE65B" w14:textId="77777777" w:rsidR="00B36D54" w:rsidRPr="00B36D54" w:rsidRDefault="00B36D54" w:rsidP="00B36D54">
            <w:pPr>
              <w:spacing w:after="140" w:line="252" w:lineRule="auto"/>
              <w:jc w:val="both"/>
              <w:rPr>
                <w:i/>
                <w:iCs/>
                <w:sz w:val="18"/>
                <w:szCs w:val="18"/>
              </w:rPr>
            </w:pPr>
            <w:r w:rsidRPr="00B36D54">
              <w:rPr>
                <w:i/>
                <w:iCs/>
                <w:sz w:val="18"/>
                <w:szCs w:val="18"/>
              </w:rPr>
              <w:t>Global Superstore</w:t>
            </w:r>
          </w:p>
        </w:tc>
        <w:tc>
          <w:tcPr>
            <w:tcW w:w="0" w:type="auto"/>
            <w:vAlign w:val="center"/>
            <w:hideMark/>
          </w:tcPr>
          <w:p w14:paraId="279E0F78" w14:textId="77777777" w:rsidR="00B36D54" w:rsidRPr="00B36D54" w:rsidRDefault="00B36D54" w:rsidP="00B36D54">
            <w:pPr>
              <w:spacing w:after="140" w:line="252" w:lineRule="auto"/>
              <w:jc w:val="both"/>
              <w:rPr>
                <w:i/>
                <w:iCs/>
                <w:sz w:val="18"/>
                <w:szCs w:val="18"/>
              </w:rPr>
            </w:pPr>
            <w:r w:rsidRPr="00B36D54">
              <w:rPr>
                <w:i/>
                <w:iCs/>
                <w:sz w:val="18"/>
                <w:szCs w:val="18"/>
              </w:rPr>
              <w:t>Gradient Boosting</w:t>
            </w:r>
          </w:p>
        </w:tc>
        <w:tc>
          <w:tcPr>
            <w:tcW w:w="0" w:type="auto"/>
            <w:vAlign w:val="center"/>
            <w:hideMark/>
          </w:tcPr>
          <w:p w14:paraId="75C44356" w14:textId="77777777" w:rsidR="00B36D54" w:rsidRPr="00B36D54" w:rsidRDefault="00B36D54" w:rsidP="00B36D54">
            <w:pPr>
              <w:spacing w:after="140" w:line="252" w:lineRule="auto"/>
              <w:jc w:val="both"/>
              <w:rPr>
                <w:i/>
                <w:iCs/>
                <w:sz w:val="18"/>
                <w:szCs w:val="18"/>
              </w:rPr>
            </w:pPr>
            <w:r w:rsidRPr="00B36D54">
              <w:rPr>
                <w:i/>
                <w:iCs/>
                <w:sz w:val="18"/>
                <w:szCs w:val="18"/>
              </w:rPr>
              <w:t>0.4568</w:t>
            </w:r>
          </w:p>
        </w:tc>
        <w:tc>
          <w:tcPr>
            <w:tcW w:w="0" w:type="auto"/>
            <w:vAlign w:val="center"/>
            <w:hideMark/>
          </w:tcPr>
          <w:p w14:paraId="055824CB" w14:textId="77777777" w:rsidR="00B36D54" w:rsidRPr="00B36D54" w:rsidRDefault="00B36D54" w:rsidP="00B36D54">
            <w:pPr>
              <w:spacing w:after="140" w:line="252" w:lineRule="auto"/>
              <w:jc w:val="both"/>
              <w:rPr>
                <w:i/>
                <w:iCs/>
                <w:sz w:val="18"/>
                <w:szCs w:val="18"/>
              </w:rPr>
            </w:pPr>
            <w:r w:rsidRPr="00B36D54">
              <w:rPr>
                <w:i/>
                <w:iCs/>
                <w:sz w:val="18"/>
                <w:szCs w:val="18"/>
              </w:rPr>
              <w:t>Gradient Boosting</w:t>
            </w:r>
          </w:p>
        </w:tc>
        <w:tc>
          <w:tcPr>
            <w:tcW w:w="0" w:type="auto"/>
            <w:vAlign w:val="center"/>
            <w:hideMark/>
          </w:tcPr>
          <w:p w14:paraId="21883E9D" w14:textId="77777777" w:rsidR="00B36D54" w:rsidRPr="00B36D54" w:rsidRDefault="00B36D54" w:rsidP="00B36D54">
            <w:pPr>
              <w:spacing w:after="140" w:line="252" w:lineRule="auto"/>
              <w:jc w:val="both"/>
              <w:rPr>
                <w:i/>
                <w:iCs/>
                <w:sz w:val="18"/>
                <w:szCs w:val="18"/>
              </w:rPr>
            </w:pPr>
            <w:r w:rsidRPr="00B36D54">
              <w:rPr>
                <w:i/>
                <w:iCs/>
                <w:sz w:val="18"/>
                <w:szCs w:val="18"/>
              </w:rPr>
              <w:t>168.6</w:t>
            </w:r>
          </w:p>
        </w:tc>
        <w:tc>
          <w:tcPr>
            <w:tcW w:w="0" w:type="auto"/>
            <w:vAlign w:val="center"/>
            <w:hideMark/>
          </w:tcPr>
          <w:p w14:paraId="02D6CFBA" w14:textId="77777777" w:rsidR="00B36D54" w:rsidRPr="00B36D54" w:rsidRDefault="00B36D54" w:rsidP="00B36D54">
            <w:pPr>
              <w:spacing w:after="140" w:line="252" w:lineRule="auto"/>
              <w:jc w:val="both"/>
              <w:rPr>
                <w:i/>
                <w:iCs/>
                <w:sz w:val="18"/>
                <w:szCs w:val="18"/>
              </w:rPr>
            </w:pPr>
            <w:r w:rsidRPr="00B36D54">
              <w:rPr>
                <w:i/>
                <w:iCs/>
                <w:sz w:val="18"/>
                <w:szCs w:val="18"/>
              </w:rPr>
              <w:t>Gradient Boosting</w:t>
            </w:r>
          </w:p>
        </w:tc>
        <w:tc>
          <w:tcPr>
            <w:tcW w:w="0" w:type="auto"/>
            <w:vAlign w:val="center"/>
            <w:hideMark/>
          </w:tcPr>
          <w:p w14:paraId="05EBB903" w14:textId="77777777" w:rsidR="00B36D54" w:rsidRPr="00B36D54" w:rsidRDefault="00B36D54" w:rsidP="00B36D54">
            <w:pPr>
              <w:spacing w:after="140" w:line="252" w:lineRule="auto"/>
              <w:jc w:val="both"/>
              <w:rPr>
                <w:i/>
                <w:iCs/>
                <w:sz w:val="18"/>
                <w:szCs w:val="18"/>
              </w:rPr>
            </w:pPr>
            <w:r w:rsidRPr="00B36D54">
              <w:rPr>
                <w:i/>
                <w:iCs/>
                <w:sz w:val="18"/>
                <w:szCs w:val="18"/>
              </w:rPr>
              <w:t>313.7</w:t>
            </w:r>
          </w:p>
        </w:tc>
      </w:tr>
      <w:tr w:rsidR="00B36D54" w:rsidRPr="00B36D54" w14:paraId="60C3A350" w14:textId="77777777" w:rsidTr="00B36D54">
        <w:trPr>
          <w:tblCellSpacing w:w="15" w:type="dxa"/>
        </w:trPr>
        <w:tc>
          <w:tcPr>
            <w:tcW w:w="0" w:type="auto"/>
            <w:vAlign w:val="center"/>
            <w:hideMark/>
          </w:tcPr>
          <w:p w14:paraId="18420651" w14:textId="77777777" w:rsidR="00B36D54" w:rsidRPr="00B36D54" w:rsidRDefault="00B36D54" w:rsidP="00B36D54">
            <w:pPr>
              <w:spacing w:after="140" w:line="252" w:lineRule="auto"/>
              <w:jc w:val="both"/>
              <w:rPr>
                <w:i/>
                <w:iCs/>
                <w:sz w:val="18"/>
                <w:szCs w:val="18"/>
              </w:rPr>
            </w:pPr>
            <w:r w:rsidRPr="00B36D54">
              <w:rPr>
                <w:i/>
                <w:iCs/>
                <w:sz w:val="18"/>
                <w:szCs w:val="18"/>
              </w:rPr>
              <w:lastRenderedPageBreak/>
              <w:t>Online Sales</w:t>
            </w:r>
          </w:p>
        </w:tc>
        <w:tc>
          <w:tcPr>
            <w:tcW w:w="0" w:type="auto"/>
            <w:vAlign w:val="center"/>
            <w:hideMark/>
          </w:tcPr>
          <w:p w14:paraId="37F912D7" w14:textId="77777777" w:rsidR="00B36D54" w:rsidRPr="00B36D54" w:rsidRDefault="00B36D54" w:rsidP="00B36D54">
            <w:pPr>
              <w:spacing w:after="140" w:line="252" w:lineRule="auto"/>
              <w:jc w:val="both"/>
              <w:rPr>
                <w:i/>
                <w:iCs/>
                <w:sz w:val="18"/>
                <w:szCs w:val="18"/>
              </w:rPr>
            </w:pPr>
            <w:r w:rsidRPr="00B36D54">
              <w:rPr>
                <w:i/>
                <w:iCs/>
                <w:sz w:val="18"/>
                <w:szCs w:val="18"/>
              </w:rPr>
              <w:t>HSRE</w:t>
            </w:r>
          </w:p>
        </w:tc>
        <w:tc>
          <w:tcPr>
            <w:tcW w:w="0" w:type="auto"/>
            <w:vAlign w:val="center"/>
            <w:hideMark/>
          </w:tcPr>
          <w:p w14:paraId="69548B88" w14:textId="77777777" w:rsidR="00B36D54" w:rsidRPr="00B36D54" w:rsidRDefault="00B36D54" w:rsidP="00B36D54">
            <w:pPr>
              <w:spacing w:after="140" w:line="252" w:lineRule="auto"/>
              <w:jc w:val="both"/>
              <w:rPr>
                <w:i/>
                <w:iCs/>
                <w:sz w:val="18"/>
                <w:szCs w:val="18"/>
              </w:rPr>
            </w:pPr>
            <w:r w:rsidRPr="00B36D54">
              <w:rPr>
                <w:i/>
                <w:iCs/>
                <w:sz w:val="18"/>
                <w:szCs w:val="18"/>
              </w:rPr>
              <w:t>0.2726</w:t>
            </w:r>
          </w:p>
        </w:tc>
        <w:tc>
          <w:tcPr>
            <w:tcW w:w="0" w:type="auto"/>
            <w:vAlign w:val="center"/>
            <w:hideMark/>
          </w:tcPr>
          <w:p w14:paraId="6B79E0E8" w14:textId="77777777" w:rsidR="00B36D54" w:rsidRPr="00B36D54" w:rsidRDefault="00B36D54" w:rsidP="00B36D54">
            <w:pPr>
              <w:spacing w:after="140" w:line="252" w:lineRule="auto"/>
              <w:jc w:val="both"/>
              <w:rPr>
                <w:i/>
                <w:iCs/>
                <w:sz w:val="18"/>
                <w:szCs w:val="18"/>
              </w:rPr>
            </w:pPr>
            <w:r w:rsidRPr="00B36D54">
              <w:rPr>
                <w:i/>
                <w:iCs/>
                <w:sz w:val="18"/>
                <w:szCs w:val="18"/>
              </w:rPr>
              <w:t>Decision Tree</w:t>
            </w:r>
          </w:p>
        </w:tc>
        <w:tc>
          <w:tcPr>
            <w:tcW w:w="0" w:type="auto"/>
            <w:vAlign w:val="center"/>
            <w:hideMark/>
          </w:tcPr>
          <w:p w14:paraId="3DB611D4" w14:textId="77777777" w:rsidR="00B36D54" w:rsidRPr="00B36D54" w:rsidRDefault="00B36D54" w:rsidP="00B36D54">
            <w:pPr>
              <w:spacing w:after="140" w:line="252" w:lineRule="auto"/>
              <w:jc w:val="both"/>
              <w:rPr>
                <w:i/>
                <w:iCs/>
                <w:sz w:val="18"/>
                <w:szCs w:val="18"/>
              </w:rPr>
            </w:pPr>
            <w:r w:rsidRPr="00B36D54">
              <w:rPr>
                <w:i/>
                <w:iCs/>
                <w:sz w:val="18"/>
                <w:szCs w:val="18"/>
              </w:rPr>
              <w:t>180.37</w:t>
            </w:r>
          </w:p>
        </w:tc>
        <w:tc>
          <w:tcPr>
            <w:tcW w:w="0" w:type="auto"/>
            <w:vAlign w:val="center"/>
            <w:hideMark/>
          </w:tcPr>
          <w:p w14:paraId="0CD6BB13" w14:textId="77777777" w:rsidR="00B36D54" w:rsidRPr="00B36D54" w:rsidRDefault="00B36D54" w:rsidP="00B36D54">
            <w:pPr>
              <w:spacing w:after="140" w:line="252" w:lineRule="auto"/>
              <w:jc w:val="both"/>
              <w:rPr>
                <w:i/>
                <w:iCs/>
                <w:sz w:val="18"/>
                <w:szCs w:val="18"/>
              </w:rPr>
            </w:pPr>
            <w:r w:rsidRPr="00B36D54">
              <w:rPr>
                <w:i/>
                <w:iCs/>
                <w:sz w:val="18"/>
                <w:szCs w:val="18"/>
              </w:rPr>
              <w:t>HSRE</w:t>
            </w:r>
          </w:p>
        </w:tc>
        <w:tc>
          <w:tcPr>
            <w:tcW w:w="0" w:type="auto"/>
            <w:vAlign w:val="center"/>
            <w:hideMark/>
          </w:tcPr>
          <w:p w14:paraId="24D37F34" w14:textId="77777777" w:rsidR="00B36D54" w:rsidRPr="00B36D54" w:rsidRDefault="00B36D54" w:rsidP="00B36D54">
            <w:pPr>
              <w:spacing w:after="140" w:line="252" w:lineRule="auto"/>
              <w:jc w:val="both"/>
              <w:rPr>
                <w:i/>
                <w:iCs/>
                <w:sz w:val="18"/>
                <w:szCs w:val="18"/>
              </w:rPr>
            </w:pPr>
            <w:r w:rsidRPr="00B36D54">
              <w:rPr>
                <w:i/>
                <w:iCs/>
                <w:sz w:val="18"/>
                <w:szCs w:val="18"/>
              </w:rPr>
              <w:t>403.77</w:t>
            </w:r>
          </w:p>
        </w:tc>
      </w:tr>
      <w:tr w:rsidR="00B36D54" w:rsidRPr="00B36D54" w14:paraId="4E57FE4A" w14:textId="77777777" w:rsidTr="00B36D54">
        <w:trPr>
          <w:tblCellSpacing w:w="15" w:type="dxa"/>
        </w:trPr>
        <w:tc>
          <w:tcPr>
            <w:tcW w:w="0" w:type="auto"/>
            <w:vAlign w:val="center"/>
            <w:hideMark/>
          </w:tcPr>
          <w:p w14:paraId="4C5D2175" w14:textId="77777777" w:rsidR="00B36D54" w:rsidRPr="00B36D54" w:rsidRDefault="00B36D54" w:rsidP="00B36D54">
            <w:pPr>
              <w:spacing w:after="140" w:line="252" w:lineRule="auto"/>
              <w:jc w:val="both"/>
              <w:rPr>
                <w:i/>
                <w:iCs/>
                <w:sz w:val="18"/>
                <w:szCs w:val="18"/>
              </w:rPr>
            </w:pPr>
            <w:r w:rsidRPr="00B36D54">
              <w:rPr>
                <w:i/>
                <w:iCs/>
                <w:sz w:val="18"/>
                <w:szCs w:val="18"/>
              </w:rPr>
              <w:t>Supermarket</w:t>
            </w:r>
          </w:p>
        </w:tc>
        <w:tc>
          <w:tcPr>
            <w:tcW w:w="0" w:type="auto"/>
            <w:vAlign w:val="center"/>
            <w:hideMark/>
          </w:tcPr>
          <w:p w14:paraId="2BD966D6" w14:textId="77777777" w:rsidR="00B36D54" w:rsidRPr="00B36D54" w:rsidRDefault="00B36D54" w:rsidP="00B36D54">
            <w:pPr>
              <w:spacing w:after="140" w:line="252" w:lineRule="auto"/>
              <w:jc w:val="both"/>
              <w:rPr>
                <w:i/>
                <w:iCs/>
                <w:sz w:val="18"/>
                <w:szCs w:val="18"/>
              </w:rPr>
            </w:pPr>
            <w:r w:rsidRPr="00B36D54">
              <w:rPr>
                <w:i/>
                <w:iCs/>
                <w:sz w:val="18"/>
                <w:szCs w:val="18"/>
              </w:rPr>
              <w:t>HSRE</w:t>
            </w:r>
          </w:p>
        </w:tc>
        <w:tc>
          <w:tcPr>
            <w:tcW w:w="0" w:type="auto"/>
            <w:vAlign w:val="center"/>
            <w:hideMark/>
          </w:tcPr>
          <w:p w14:paraId="4E4AF7B5" w14:textId="77777777" w:rsidR="00B36D54" w:rsidRPr="00B36D54" w:rsidRDefault="00B36D54" w:rsidP="00B36D54">
            <w:pPr>
              <w:spacing w:after="140" w:line="252" w:lineRule="auto"/>
              <w:jc w:val="both"/>
              <w:rPr>
                <w:i/>
                <w:iCs/>
                <w:sz w:val="18"/>
                <w:szCs w:val="18"/>
              </w:rPr>
            </w:pPr>
            <w:r w:rsidRPr="00B36D54">
              <w:rPr>
                <w:i/>
                <w:iCs/>
                <w:sz w:val="18"/>
                <w:szCs w:val="18"/>
              </w:rPr>
              <w:t>0.5574</w:t>
            </w:r>
          </w:p>
        </w:tc>
        <w:tc>
          <w:tcPr>
            <w:tcW w:w="0" w:type="auto"/>
            <w:vAlign w:val="center"/>
            <w:hideMark/>
          </w:tcPr>
          <w:p w14:paraId="2D0DBE09" w14:textId="77777777" w:rsidR="00B36D54" w:rsidRPr="00B36D54" w:rsidRDefault="00B36D54" w:rsidP="00B36D54">
            <w:pPr>
              <w:spacing w:after="140" w:line="252" w:lineRule="auto"/>
              <w:jc w:val="both"/>
              <w:rPr>
                <w:i/>
                <w:iCs/>
                <w:sz w:val="18"/>
                <w:szCs w:val="18"/>
              </w:rPr>
            </w:pPr>
            <w:r w:rsidRPr="00B36D54">
              <w:rPr>
                <w:i/>
                <w:iCs/>
                <w:sz w:val="18"/>
                <w:szCs w:val="18"/>
              </w:rPr>
              <w:t>Random Forest</w:t>
            </w:r>
          </w:p>
        </w:tc>
        <w:tc>
          <w:tcPr>
            <w:tcW w:w="0" w:type="auto"/>
            <w:vAlign w:val="center"/>
            <w:hideMark/>
          </w:tcPr>
          <w:p w14:paraId="03402C99" w14:textId="77777777" w:rsidR="00B36D54" w:rsidRPr="00B36D54" w:rsidRDefault="00B36D54" w:rsidP="00B36D54">
            <w:pPr>
              <w:spacing w:after="140" w:line="252" w:lineRule="auto"/>
              <w:jc w:val="both"/>
              <w:rPr>
                <w:i/>
                <w:iCs/>
                <w:sz w:val="18"/>
                <w:szCs w:val="18"/>
              </w:rPr>
            </w:pPr>
            <w:r w:rsidRPr="00B36D54">
              <w:rPr>
                <w:i/>
                <w:iCs/>
                <w:sz w:val="18"/>
                <w:szCs w:val="18"/>
              </w:rPr>
              <w:t>156.1</w:t>
            </w:r>
          </w:p>
        </w:tc>
        <w:tc>
          <w:tcPr>
            <w:tcW w:w="0" w:type="auto"/>
            <w:vAlign w:val="center"/>
            <w:hideMark/>
          </w:tcPr>
          <w:p w14:paraId="4FFBAE71" w14:textId="77777777" w:rsidR="00B36D54" w:rsidRPr="00B36D54" w:rsidRDefault="00B36D54" w:rsidP="00B36D54">
            <w:pPr>
              <w:spacing w:after="140" w:line="252" w:lineRule="auto"/>
              <w:jc w:val="both"/>
              <w:rPr>
                <w:i/>
                <w:iCs/>
                <w:sz w:val="18"/>
                <w:szCs w:val="18"/>
              </w:rPr>
            </w:pPr>
            <w:r w:rsidRPr="00B36D54">
              <w:rPr>
                <w:i/>
                <w:iCs/>
                <w:sz w:val="18"/>
                <w:szCs w:val="18"/>
              </w:rPr>
              <w:t>HSRE</w:t>
            </w:r>
          </w:p>
        </w:tc>
        <w:tc>
          <w:tcPr>
            <w:tcW w:w="0" w:type="auto"/>
            <w:vAlign w:val="center"/>
            <w:hideMark/>
          </w:tcPr>
          <w:p w14:paraId="055FFC20" w14:textId="77777777" w:rsidR="00B36D54" w:rsidRPr="00B36D54" w:rsidRDefault="00B36D54" w:rsidP="00B36D54">
            <w:pPr>
              <w:spacing w:after="140" w:line="252" w:lineRule="auto"/>
              <w:jc w:val="both"/>
              <w:rPr>
                <w:i/>
                <w:iCs/>
                <w:sz w:val="18"/>
                <w:szCs w:val="18"/>
              </w:rPr>
            </w:pPr>
            <w:r w:rsidRPr="00B36D54">
              <w:rPr>
                <w:i/>
                <w:iCs/>
                <w:sz w:val="18"/>
                <w:szCs w:val="18"/>
              </w:rPr>
              <w:t>255.5</w:t>
            </w:r>
          </w:p>
        </w:tc>
      </w:tr>
    </w:tbl>
    <w:p w14:paraId="20C32C3C" w14:textId="77777777" w:rsidR="00B36D54" w:rsidRPr="00B36D54" w:rsidRDefault="00B36D54" w:rsidP="00B36D54">
      <w:pPr>
        <w:spacing w:after="140" w:line="252" w:lineRule="auto"/>
        <w:jc w:val="both"/>
        <w:rPr>
          <w:i/>
          <w:iCs/>
          <w:sz w:val="18"/>
          <w:szCs w:val="18"/>
        </w:rPr>
      </w:pPr>
      <w:r w:rsidRPr="00B36D54">
        <w:rPr>
          <w:i/>
          <w:iCs/>
          <w:sz w:val="18"/>
          <w:szCs w:val="18"/>
        </w:rPr>
        <w:t>The results demonstrate that model performance varies across datasets. Linear Regression performs best in terms of R² and RMSE for the Superstore Dataset, while Gradient Boosting provides the strongest performance for the Global Superstore Dataset. The proposed HSRE achieves the highest R² and lowest RMSE for both the Online Sales and Supermarket datasets. This variation indicates that the effectiveness of a regression model depends on the characteristics, structure, and predictive features available in each dataset.</w:t>
      </w:r>
    </w:p>
    <w:p w14:paraId="73F415C0" w14:textId="77777777" w:rsidR="00B36D54" w:rsidRDefault="00B36D54" w:rsidP="00FF7431">
      <w:pPr>
        <w:spacing w:after="140" w:line="252" w:lineRule="auto"/>
        <w:jc w:val="both"/>
        <w:rPr>
          <w:i/>
          <w:iCs/>
          <w:sz w:val="18"/>
          <w:szCs w:val="18"/>
        </w:rPr>
      </w:pPr>
    </w:p>
    <w:p w14:paraId="73FC8F0D" w14:textId="77777777" w:rsidR="004C7F4B" w:rsidRPr="004C7F4B" w:rsidRDefault="004C7F4B" w:rsidP="004C7F4B">
      <w:pPr>
        <w:spacing w:after="140" w:line="252" w:lineRule="auto"/>
        <w:jc w:val="both"/>
        <w:rPr>
          <w:b/>
          <w:bCs/>
          <w:i/>
          <w:iCs/>
          <w:sz w:val="18"/>
          <w:szCs w:val="18"/>
        </w:rPr>
      </w:pPr>
      <w:r w:rsidRPr="004C7F4B">
        <w:rPr>
          <w:b/>
          <w:bCs/>
          <w:i/>
          <w:iCs/>
          <w:sz w:val="18"/>
          <w:szCs w:val="18"/>
        </w:rPr>
        <w:t>5.15 Discussion of Comparative Results</w:t>
      </w:r>
    </w:p>
    <w:p w14:paraId="3B08CEFF" w14:textId="77777777" w:rsidR="004C7F4B" w:rsidRPr="004C7F4B" w:rsidRDefault="004C7F4B" w:rsidP="004C7F4B">
      <w:pPr>
        <w:spacing w:after="140" w:line="252" w:lineRule="auto"/>
        <w:jc w:val="both"/>
        <w:rPr>
          <w:i/>
          <w:iCs/>
          <w:sz w:val="18"/>
          <w:szCs w:val="18"/>
        </w:rPr>
      </w:pPr>
      <w:r w:rsidRPr="004C7F4B">
        <w:rPr>
          <w:i/>
          <w:iCs/>
          <w:sz w:val="18"/>
          <w:szCs w:val="18"/>
        </w:rPr>
        <w:t>The comparative evaluation shows that no single model consistently outperforms all other models across the four datasets. The proposed HSRE achieved the strongest R² performance on the Online Sales and Supermarket datasets, demonstrating the benefit of combining multiple base learners through a meta-learning stage for these datasets. However, Linear Regression performed best on the Superstore Dataset, while Gradient Boosting performed best on the Global Superstore Dataset.</w:t>
      </w:r>
    </w:p>
    <w:p w14:paraId="3BC7FCBD" w14:textId="1253025D" w:rsidR="0001756B" w:rsidRDefault="004C7F4B" w:rsidP="004C7F4B">
      <w:pPr>
        <w:spacing w:after="140" w:line="252" w:lineRule="auto"/>
        <w:jc w:val="both"/>
        <w:rPr>
          <w:i/>
          <w:iCs/>
          <w:sz w:val="18"/>
          <w:szCs w:val="18"/>
        </w:rPr>
      </w:pPr>
      <w:r w:rsidRPr="004C7F4B">
        <w:rPr>
          <w:i/>
          <w:iCs/>
          <w:sz w:val="18"/>
          <w:szCs w:val="18"/>
        </w:rPr>
        <w:t>These findings support the use of comparative model evaluation rather than selecting a single regression algorithm in advance. The dashboard therefore presents the performance of multiple models using R², MAE, and RMSE, allowing the user to identify the most suitable model for the selected dataset.</w:t>
      </w:r>
    </w:p>
    <w:p w14:paraId="46584374" w14:textId="2FC14B2A" w:rsidR="0049067D" w:rsidRDefault="0049067D" w:rsidP="0049067D">
      <w:pPr>
        <w:spacing w:after="140" w:line="252" w:lineRule="auto"/>
        <w:jc w:val="both"/>
        <w:rPr>
          <w:b/>
          <w:bCs/>
          <w:i/>
          <w:iCs/>
          <w:sz w:val="18"/>
          <w:szCs w:val="18"/>
        </w:rPr>
      </w:pPr>
      <w:r w:rsidRPr="004C7F4B">
        <w:rPr>
          <w:b/>
          <w:bCs/>
          <w:i/>
          <w:iCs/>
          <w:sz w:val="18"/>
          <w:szCs w:val="18"/>
        </w:rPr>
        <w:t>5.1</w:t>
      </w:r>
      <w:r>
        <w:rPr>
          <w:b/>
          <w:bCs/>
          <w:i/>
          <w:iCs/>
          <w:sz w:val="18"/>
          <w:szCs w:val="18"/>
        </w:rPr>
        <w:t>6 Final</w:t>
      </w:r>
      <w:r w:rsidRPr="004C7F4B">
        <w:rPr>
          <w:b/>
          <w:bCs/>
          <w:i/>
          <w:iCs/>
          <w:sz w:val="18"/>
          <w:szCs w:val="18"/>
        </w:rPr>
        <w:t xml:space="preserve"> Results</w:t>
      </w:r>
      <w:r w:rsidR="008E7D88">
        <w:rPr>
          <w:b/>
          <w:bCs/>
          <w:i/>
          <w:iCs/>
          <w:sz w:val="18"/>
          <w:szCs w:val="18"/>
        </w:rPr>
        <w:t>-</w:t>
      </w:r>
    </w:p>
    <w:p w14:paraId="13C3D815" w14:textId="63ED308A" w:rsidR="00294F54" w:rsidRDefault="00294F54" w:rsidP="0049067D">
      <w:pPr>
        <w:spacing w:after="140" w:line="252" w:lineRule="auto"/>
        <w:jc w:val="both"/>
        <w:rPr>
          <w:b/>
          <w:bCs/>
          <w:i/>
          <w:iCs/>
          <w:sz w:val="28"/>
          <w:szCs w:val="28"/>
        </w:rPr>
      </w:pPr>
      <w:r w:rsidRPr="00111421">
        <w:rPr>
          <w:b/>
          <w:bCs/>
          <w:i/>
          <w:iCs/>
          <w:sz w:val="28"/>
          <w:szCs w:val="28"/>
        </w:rPr>
        <w:t>1)Super Store Dataset-</w:t>
      </w:r>
    </w:p>
    <w:p w14:paraId="7FDFEB73" w14:textId="77777777" w:rsidR="00111421" w:rsidRPr="00111421" w:rsidRDefault="00111421" w:rsidP="00111421">
      <w:pPr>
        <w:spacing w:after="140" w:line="252" w:lineRule="auto"/>
        <w:jc w:val="both"/>
        <w:rPr>
          <w:i/>
          <w:iCs/>
          <w:sz w:val="28"/>
          <w:szCs w:val="28"/>
        </w:rPr>
      </w:pPr>
      <w:r w:rsidRPr="00111421">
        <w:rPr>
          <w:i/>
          <w:iCs/>
          <w:sz w:val="28"/>
          <w:szCs w:val="28"/>
        </w:rPr>
        <w:t>The dashboard displays sales trends, category performance, regional sales, and key business indicators for the Superstore dataset. These visualizations help identify sales patterns and compare business performance across categories and regions.</w:t>
      </w:r>
    </w:p>
    <w:p w14:paraId="5C71B21B" w14:textId="77777777" w:rsidR="00111421" w:rsidRPr="00111421" w:rsidRDefault="00111421" w:rsidP="0049067D">
      <w:pPr>
        <w:spacing w:after="140" w:line="252" w:lineRule="auto"/>
        <w:jc w:val="both"/>
        <w:rPr>
          <w:b/>
          <w:bCs/>
          <w:i/>
          <w:iCs/>
          <w:sz w:val="28"/>
          <w:szCs w:val="28"/>
        </w:rPr>
      </w:pPr>
    </w:p>
    <w:p w14:paraId="047860EC" w14:textId="77777777" w:rsidR="00B96BEA" w:rsidRDefault="008E7D88" w:rsidP="0049067D">
      <w:pPr>
        <w:spacing w:after="140" w:line="252" w:lineRule="auto"/>
        <w:jc w:val="both"/>
        <w:rPr>
          <w:b/>
          <w:bCs/>
          <w:i/>
          <w:iCs/>
          <w:sz w:val="18"/>
          <w:szCs w:val="18"/>
        </w:rPr>
      </w:pPr>
      <w:r w:rsidRPr="008E7D88">
        <w:rPr>
          <w:b/>
          <w:bCs/>
          <w:i/>
          <w:iCs/>
          <w:noProof/>
          <w:sz w:val="18"/>
          <w:szCs w:val="18"/>
        </w:rPr>
        <w:lastRenderedPageBreak/>
        <w:drawing>
          <wp:inline distT="0" distB="0" distL="0" distR="0" wp14:anchorId="534A1EED" wp14:editId="38BEE7F2">
            <wp:extent cx="6400800" cy="4359910"/>
            <wp:effectExtent l="0" t="0" r="0" b="2540"/>
            <wp:docPr id="63799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93031" name=""/>
                    <pic:cNvPicPr/>
                  </pic:nvPicPr>
                  <pic:blipFill>
                    <a:blip r:embed="rId11"/>
                    <a:stretch>
                      <a:fillRect/>
                    </a:stretch>
                  </pic:blipFill>
                  <pic:spPr>
                    <a:xfrm>
                      <a:off x="0" y="0"/>
                      <a:ext cx="6400800" cy="4359910"/>
                    </a:xfrm>
                    <a:prstGeom prst="rect">
                      <a:avLst/>
                    </a:prstGeom>
                  </pic:spPr>
                </pic:pic>
              </a:graphicData>
            </a:graphic>
          </wp:inline>
        </w:drawing>
      </w:r>
      <w:r w:rsidRPr="008E7D88">
        <w:rPr>
          <w:b/>
          <w:bCs/>
          <w:i/>
          <w:iCs/>
          <w:noProof/>
          <w:sz w:val="18"/>
          <w:szCs w:val="18"/>
        </w:rPr>
        <w:drawing>
          <wp:inline distT="0" distB="0" distL="0" distR="0" wp14:anchorId="2C584F39" wp14:editId="2216DE81">
            <wp:extent cx="6400800" cy="3797935"/>
            <wp:effectExtent l="0" t="0" r="0" b="0"/>
            <wp:docPr id="194445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58552" name=""/>
                    <pic:cNvPicPr/>
                  </pic:nvPicPr>
                  <pic:blipFill>
                    <a:blip r:embed="rId12"/>
                    <a:stretch>
                      <a:fillRect/>
                    </a:stretch>
                  </pic:blipFill>
                  <pic:spPr>
                    <a:xfrm>
                      <a:off x="0" y="0"/>
                      <a:ext cx="6400800" cy="3797935"/>
                    </a:xfrm>
                    <a:prstGeom prst="rect">
                      <a:avLst/>
                    </a:prstGeom>
                  </pic:spPr>
                </pic:pic>
              </a:graphicData>
            </a:graphic>
          </wp:inline>
        </w:drawing>
      </w:r>
    </w:p>
    <w:p w14:paraId="62EA514B" w14:textId="603AC571" w:rsidR="00B96BEA" w:rsidRDefault="00B96BEA" w:rsidP="0049067D">
      <w:pPr>
        <w:spacing w:after="140" w:line="252" w:lineRule="auto"/>
        <w:jc w:val="both"/>
        <w:rPr>
          <w:b/>
          <w:bCs/>
          <w:i/>
          <w:iCs/>
          <w:sz w:val="18"/>
          <w:szCs w:val="18"/>
        </w:rPr>
      </w:pPr>
      <w:r w:rsidRPr="00B96BEA">
        <w:rPr>
          <w:b/>
          <w:bCs/>
          <w:i/>
          <w:iCs/>
          <w:noProof/>
          <w:sz w:val="18"/>
          <w:szCs w:val="18"/>
        </w:rPr>
        <w:lastRenderedPageBreak/>
        <w:drawing>
          <wp:inline distT="0" distB="0" distL="0" distR="0" wp14:anchorId="3A8E5104" wp14:editId="71D4EB00">
            <wp:extent cx="6400800" cy="2242185"/>
            <wp:effectExtent l="0" t="0" r="0" b="5715"/>
            <wp:docPr id="59278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81415" name=""/>
                    <pic:cNvPicPr/>
                  </pic:nvPicPr>
                  <pic:blipFill>
                    <a:blip r:embed="rId13"/>
                    <a:stretch>
                      <a:fillRect/>
                    </a:stretch>
                  </pic:blipFill>
                  <pic:spPr>
                    <a:xfrm>
                      <a:off x="0" y="0"/>
                      <a:ext cx="6400800" cy="2242185"/>
                    </a:xfrm>
                    <a:prstGeom prst="rect">
                      <a:avLst/>
                    </a:prstGeom>
                  </pic:spPr>
                </pic:pic>
              </a:graphicData>
            </a:graphic>
          </wp:inline>
        </w:drawing>
      </w:r>
      <w:r w:rsidR="002B7682" w:rsidRPr="002B7682">
        <w:rPr>
          <w:b/>
          <w:bCs/>
          <w:i/>
          <w:iCs/>
          <w:noProof/>
          <w:sz w:val="18"/>
          <w:szCs w:val="18"/>
        </w:rPr>
        <w:drawing>
          <wp:inline distT="0" distB="0" distL="0" distR="0" wp14:anchorId="559BD1BB" wp14:editId="4BF72716">
            <wp:extent cx="6400800" cy="2020570"/>
            <wp:effectExtent l="0" t="0" r="0" b="0"/>
            <wp:docPr id="211731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5452" name=""/>
                    <pic:cNvPicPr/>
                  </pic:nvPicPr>
                  <pic:blipFill>
                    <a:blip r:embed="rId14"/>
                    <a:stretch>
                      <a:fillRect/>
                    </a:stretch>
                  </pic:blipFill>
                  <pic:spPr>
                    <a:xfrm>
                      <a:off x="0" y="0"/>
                      <a:ext cx="6400800" cy="2020570"/>
                    </a:xfrm>
                    <a:prstGeom prst="rect">
                      <a:avLst/>
                    </a:prstGeom>
                  </pic:spPr>
                </pic:pic>
              </a:graphicData>
            </a:graphic>
          </wp:inline>
        </w:drawing>
      </w:r>
      <w:r w:rsidR="002B7682" w:rsidRPr="002B7682">
        <w:rPr>
          <w:b/>
          <w:bCs/>
          <w:i/>
          <w:iCs/>
          <w:noProof/>
          <w:sz w:val="18"/>
          <w:szCs w:val="18"/>
        </w:rPr>
        <w:drawing>
          <wp:inline distT="0" distB="0" distL="0" distR="0" wp14:anchorId="49B5631B" wp14:editId="0E5DC294">
            <wp:extent cx="6400800" cy="2164715"/>
            <wp:effectExtent l="0" t="0" r="0" b="6985"/>
            <wp:docPr id="18630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87033" name=""/>
                    <pic:cNvPicPr/>
                  </pic:nvPicPr>
                  <pic:blipFill>
                    <a:blip r:embed="rId15"/>
                    <a:stretch>
                      <a:fillRect/>
                    </a:stretch>
                  </pic:blipFill>
                  <pic:spPr>
                    <a:xfrm>
                      <a:off x="0" y="0"/>
                      <a:ext cx="6400800" cy="2164715"/>
                    </a:xfrm>
                    <a:prstGeom prst="rect">
                      <a:avLst/>
                    </a:prstGeom>
                  </pic:spPr>
                </pic:pic>
              </a:graphicData>
            </a:graphic>
          </wp:inline>
        </w:drawing>
      </w:r>
    </w:p>
    <w:p w14:paraId="6D308C95" w14:textId="391C0F01" w:rsidR="008E7D88" w:rsidRDefault="008E7D88" w:rsidP="0049067D">
      <w:pPr>
        <w:spacing w:after="140" w:line="252" w:lineRule="auto"/>
        <w:jc w:val="both"/>
        <w:rPr>
          <w:b/>
          <w:bCs/>
          <w:i/>
          <w:iCs/>
          <w:sz w:val="18"/>
          <w:szCs w:val="18"/>
        </w:rPr>
      </w:pPr>
      <w:r w:rsidRPr="008E7D88">
        <w:rPr>
          <w:b/>
          <w:bCs/>
          <w:i/>
          <w:iCs/>
          <w:noProof/>
          <w:sz w:val="18"/>
          <w:szCs w:val="18"/>
        </w:rPr>
        <w:lastRenderedPageBreak/>
        <w:drawing>
          <wp:inline distT="0" distB="0" distL="0" distR="0" wp14:anchorId="1E23ED20" wp14:editId="1DA0E715">
            <wp:extent cx="6400800" cy="4875530"/>
            <wp:effectExtent l="0" t="0" r="0" b="1270"/>
            <wp:docPr id="41384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7731" name=""/>
                    <pic:cNvPicPr/>
                  </pic:nvPicPr>
                  <pic:blipFill>
                    <a:blip r:embed="rId16"/>
                    <a:stretch>
                      <a:fillRect/>
                    </a:stretch>
                  </pic:blipFill>
                  <pic:spPr>
                    <a:xfrm>
                      <a:off x="0" y="0"/>
                      <a:ext cx="6400800" cy="4875530"/>
                    </a:xfrm>
                    <a:prstGeom prst="rect">
                      <a:avLst/>
                    </a:prstGeom>
                  </pic:spPr>
                </pic:pic>
              </a:graphicData>
            </a:graphic>
          </wp:inline>
        </w:drawing>
      </w:r>
      <w:r w:rsidR="00294F54" w:rsidRPr="00294F54">
        <w:rPr>
          <w:b/>
          <w:bCs/>
          <w:i/>
          <w:iCs/>
          <w:noProof/>
          <w:sz w:val="18"/>
          <w:szCs w:val="18"/>
        </w:rPr>
        <w:lastRenderedPageBreak/>
        <w:drawing>
          <wp:inline distT="0" distB="0" distL="0" distR="0" wp14:anchorId="6C380E51" wp14:editId="31450D58">
            <wp:extent cx="6400800" cy="4598670"/>
            <wp:effectExtent l="0" t="0" r="0" b="0"/>
            <wp:docPr id="36934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43615" name=""/>
                    <pic:cNvPicPr/>
                  </pic:nvPicPr>
                  <pic:blipFill>
                    <a:blip r:embed="rId17"/>
                    <a:stretch>
                      <a:fillRect/>
                    </a:stretch>
                  </pic:blipFill>
                  <pic:spPr>
                    <a:xfrm>
                      <a:off x="0" y="0"/>
                      <a:ext cx="6400800" cy="4598670"/>
                    </a:xfrm>
                    <a:prstGeom prst="rect">
                      <a:avLst/>
                    </a:prstGeom>
                  </pic:spPr>
                </pic:pic>
              </a:graphicData>
            </a:graphic>
          </wp:inline>
        </w:drawing>
      </w:r>
      <w:r w:rsidR="00294F54" w:rsidRPr="00294F54">
        <w:rPr>
          <w:b/>
          <w:bCs/>
          <w:i/>
          <w:iCs/>
          <w:noProof/>
          <w:sz w:val="18"/>
          <w:szCs w:val="18"/>
        </w:rPr>
        <w:lastRenderedPageBreak/>
        <w:drawing>
          <wp:inline distT="0" distB="0" distL="0" distR="0" wp14:anchorId="071990BD" wp14:editId="1FEB8CAF">
            <wp:extent cx="5760720" cy="4138232"/>
            <wp:effectExtent l="0" t="0" r="0" b="0"/>
            <wp:docPr id="132232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23794" name=""/>
                    <pic:cNvPicPr/>
                  </pic:nvPicPr>
                  <pic:blipFill>
                    <a:blip r:embed="rId18"/>
                    <a:stretch>
                      <a:fillRect/>
                    </a:stretch>
                  </pic:blipFill>
                  <pic:spPr>
                    <a:xfrm>
                      <a:off x="0" y="0"/>
                      <a:ext cx="5765035" cy="4141331"/>
                    </a:xfrm>
                    <a:prstGeom prst="rect">
                      <a:avLst/>
                    </a:prstGeom>
                  </pic:spPr>
                </pic:pic>
              </a:graphicData>
            </a:graphic>
          </wp:inline>
        </w:drawing>
      </w:r>
      <w:r w:rsidR="00294F54" w:rsidRPr="00294F54">
        <w:rPr>
          <w:b/>
          <w:bCs/>
          <w:i/>
          <w:iCs/>
          <w:noProof/>
          <w:sz w:val="18"/>
          <w:szCs w:val="18"/>
        </w:rPr>
        <w:drawing>
          <wp:inline distT="0" distB="0" distL="0" distR="0" wp14:anchorId="5169C7DA" wp14:editId="4CB58538">
            <wp:extent cx="6400800" cy="4146550"/>
            <wp:effectExtent l="0" t="0" r="0" b="6350"/>
            <wp:docPr id="4476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6313" name=""/>
                    <pic:cNvPicPr/>
                  </pic:nvPicPr>
                  <pic:blipFill>
                    <a:blip r:embed="rId19"/>
                    <a:stretch>
                      <a:fillRect/>
                    </a:stretch>
                  </pic:blipFill>
                  <pic:spPr>
                    <a:xfrm>
                      <a:off x="0" y="0"/>
                      <a:ext cx="6400800" cy="4146550"/>
                    </a:xfrm>
                    <a:prstGeom prst="rect">
                      <a:avLst/>
                    </a:prstGeom>
                  </pic:spPr>
                </pic:pic>
              </a:graphicData>
            </a:graphic>
          </wp:inline>
        </w:drawing>
      </w:r>
    </w:p>
    <w:p w14:paraId="48F05FCF" w14:textId="77777777" w:rsidR="00294F54" w:rsidRDefault="00294F54" w:rsidP="0049067D">
      <w:pPr>
        <w:spacing w:after="140" w:line="252" w:lineRule="auto"/>
        <w:jc w:val="both"/>
        <w:rPr>
          <w:b/>
          <w:bCs/>
          <w:i/>
          <w:iCs/>
          <w:sz w:val="18"/>
          <w:szCs w:val="18"/>
        </w:rPr>
      </w:pPr>
    </w:p>
    <w:p w14:paraId="1BD00A75" w14:textId="23F29333" w:rsidR="00294F54" w:rsidRDefault="00294F54" w:rsidP="0049067D">
      <w:pPr>
        <w:spacing w:after="140" w:line="252" w:lineRule="auto"/>
        <w:jc w:val="both"/>
        <w:rPr>
          <w:b/>
          <w:bCs/>
          <w:i/>
          <w:iCs/>
          <w:sz w:val="28"/>
          <w:szCs w:val="28"/>
          <w:u w:val="single"/>
        </w:rPr>
      </w:pPr>
      <w:r w:rsidRPr="00111421">
        <w:rPr>
          <w:b/>
          <w:bCs/>
          <w:i/>
          <w:iCs/>
          <w:sz w:val="28"/>
          <w:szCs w:val="28"/>
        </w:rPr>
        <w:lastRenderedPageBreak/>
        <w:t>2)</w:t>
      </w:r>
      <w:r w:rsidR="00421FB0" w:rsidRPr="00111421">
        <w:rPr>
          <w:b/>
          <w:bCs/>
          <w:i/>
          <w:iCs/>
          <w:sz w:val="28"/>
          <w:szCs w:val="28"/>
          <w:u w:val="single"/>
        </w:rPr>
        <w:t>Global Super Store-</w:t>
      </w:r>
    </w:p>
    <w:p w14:paraId="0BA4A5F1" w14:textId="77777777" w:rsidR="00266601" w:rsidRPr="00266601" w:rsidRDefault="00266601" w:rsidP="00266601">
      <w:pPr>
        <w:spacing w:after="140" w:line="252" w:lineRule="auto"/>
        <w:jc w:val="both"/>
        <w:rPr>
          <w:i/>
          <w:iCs/>
          <w:sz w:val="28"/>
          <w:szCs w:val="28"/>
        </w:rPr>
      </w:pPr>
      <w:r w:rsidRPr="00266601">
        <w:rPr>
          <w:i/>
          <w:iCs/>
          <w:sz w:val="28"/>
          <w:szCs w:val="28"/>
        </w:rPr>
        <w:t>The dashboard presents sales and profit performance across product categories, regions, and customer segments. The visualizations support comparisons between business segments and help identify areas requiring further analysis.</w:t>
      </w:r>
    </w:p>
    <w:p w14:paraId="0C85BC32" w14:textId="77777777" w:rsidR="00111421" w:rsidRPr="00111421" w:rsidRDefault="00111421" w:rsidP="0049067D">
      <w:pPr>
        <w:spacing w:after="140" w:line="252" w:lineRule="auto"/>
        <w:jc w:val="both"/>
        <w:rPr>
          <w:b/>
          <w:bCs/>
          <w:i/>
          <w:iCs/>
          <w:sz w:val="28"/>
          <w:szCs w:val="28"/>
        </w:rPr>
      </w:pPr>
    </w:p>
    <w:p w14:paraId="2441058F" w14:textId="77777777" w:rsidR="00266601" w:rsidRDefault="005D3C44" w:rsidP="0049067D">
      <w:pPr>
        <w:spacing w:after="140" w:line="252" w:lineRule="auto"/>
        <w:jc w:val="both"/>
        <w:rPr>
          <w:b/>
          <w:bCs/>
          <w:i/>
          <w:iCs/>
          <w:sz w:val="18"/>
          <w:szCs w:val="18"/>
        </w:rPr>
      </w:pPr>
      <w:r w:rsidRPr="005D3C44">
        <w:rPr>
          <w:b/>
          <w:bCs/>
          <w:i/>
          <w:iCs/>
          <w:noProof/>
          <w:sz w:val="18"/>
          <w:szCs w:val="18"/>
        </w:rPr>
        <w:drawing>
          <wp:inline distT="0" distB="0" distL="0" distR="0" wp14:anchorId="4D8B0DCD" wp14:editId="34E55960">
            <wp:extent cx="6400800" cy="2752090"/>
            <wp:effectExtent l="0" t="0" r="0" b="0"/>
            <wp:docPr id="4959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2629" name=""/>
                    <pic:cNvPicPr/>
                  </pic:nvPicPr>
                  <pic:blipFill>
                    <a:blip r:embed="rId20"/>
                    <a:stretch>
                      <a:fillRect/>
                    </a:stretch>
                  </pic:blipFill>
                  <pic:spPr>
                    <a:xfrm>
                      <a:off x="0" y="0"/>
                      <a:ext cx="6400800" cy="2752090"/>
                    </a:xfrm>
                    <a:prstGeom prst="rect">
                      <a:avLst/>
                    </a:prstGeom>
                  </pic:spPr>
                </pic:pic>
              </a:graphicData>
            </a:graphic>
          </wp:inline>
        </w:drawing>
      </w:r>
    </w:p>
    <w:p w14:paraId="43144DA9" w14:textId="6DC11B4B" w:rsidR="005D3C44" w:rsidRDefault="00266601" w:rsidP="0049067D">
      <w:pPr>
        <w:spacing w:after="140" w:line="252" w:lineRule="auto"/>
        <w:jc w:val="both"/>
        <w:rPr>
          <w:b/>
          <w:bCs/>
          <w:i/>
          <w:iCs/>
          <w:sz w:val="18"/>
          <w:szCs w:val="18"/>
        </w:rPr>
      </w:pPr>
      <w:r w:rsidRPr="005D3C44">
        <w:rPr>
          <w:b/>
          <w:bCs/>
          <w:i/>
          <w:iCs/>
          <w:noProof/>
          <w:sz w:val="18"/>
          <w:szCs w:val="18"/>
        </w:rPr>
        <w:drawing>
          <wp:inline distT="0" distB="0" distL="0" distR="0" wp14:anchorId="4D92B125" wp14:editId="259794DB">
            <wp:extent cx="6522260" cy="2489200"/>
            <wp:effectExtent l="0" t="0" r="0" b="6350"/>
            <wp:docPr id="59732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2567" name=""/>
                    <pic:cNvPicPr/>
                  </pic:nvPicPr>
                  <pic:blipFill>
                    <a:blip r:embed="rId21"/>
                    <a:stretch>
                      <a:fillRect/>
                    </a:stretch>
                  </pic:blipFill>
                  <pic:spPr>
                    <a:xfrm>
                      <a:off x="0" y="0"/>
                      <a:ext cx="6541106" cy="2496392"/>
                    </a:xfrm>
                    <a:prstGeom prst="rect">
                      <a:avLst/>
                    </a:prstGeom>
                  </pic:spPr>
                </pic:pic>
              </a:graphicData>
            </a:graphic>
          </wp:inline>
        </w:drawing>
      </w:r>
    </w:p>
    <w:p w14:paraId="193CFAA9" w14:textId="77777777" w:rsidR="00266601" w:rsidRDefault="005D3C44" w:rsidP="0049067D">
      <w:pPr>
        <w:spacing w:after="140" w:line="252" w:lineRule="auto"/>
        <w:jc w:val="both"/>
        <w:rPr>
          <w:b/>
          <w:bCs/>
          <w:i/>
          <w:iCs/>
          <w:sz w:val="18"/>
          <w:szCs w:val="18"/>
        </w:rPr>
      </w:pPr>
      <w:r w:rsidRPr="005D3C44">
        <w:rPr>
          <w:b/>
          <w:bCs/>
          <w:i/>
          <w:iCs/>
          <w:noProof/>
          <w:sz w:val="18"/>
          <w:szCs w:val="18"/>
        </w:rPr>
        <w:lastRenderedPageBreak/>
        <w:drawing>
          <wp:inline distT="0" distB="0" distL="0" distR="0" wp14:anchorId="7C9D2FFD" wp14:editId="363374FE">
            <wp:extent cx="6400800" cy="3202305"/>
            <wp:effectExtent l="0" t="0" r="0" b="0"/>
            <wp:docPr id="198383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38457" name=""/>
                    <pic:cNvPicPr/>
                  </pic:nvPicPr>
                  <pic:blipFill>
                    <a:blip r:embed="rId22"/>
                    <a:stretch>
                      <a:fillRect/>
                    </a:stretch>
                  </pic:blipFill>
                  <pic:spPr>
                    <a:xfrm>
                      <a:off x="0" y="0"/>
                      <a:ext cx="6400800" cy="3202305"/>
                    </a:xfrm>
                    <a:prstGeom prst="rect">
                      <a:avLst/>
                    </a:prstGeom>
                  </pic:spPr>
                </pic:pic>
              </a:graphicData>
            </a:graphic>
          </wp:inline>
        </w:drawing>
      </w:r>
    </w:p>
    <w:p w14:paraId="4132C5DA" w14:textId="433667E8" w:rsidR="005D3C44" w:rsidRDefault="00F95D9B" w:rsidP="0049067D">
      <w:pPr>
        <w:spacing w:after="140" w:line="252" w:lineRule="auto"/>
        <w:jc w:val="both"/>
        <w:rPr>
          <w:b/>
          <w:bCs/>
          <w:i/>
          <w:iCs/>
          <w:sz w:val="18"/>
          <w:szCs w:val="18"/>
        </w:rPr>
      </w:pPr>
      <w:r w:rsidRPr="00F95D9B">
        <w:rPr>
          <w:b/>
          <w:bCs/>
          <w:i/>
          <w:iCs/>
          <w:noProof/>
          <w:sz w:val="18"/>
          <w:szCs w:val="18"/>
        </w:rPr>
        <w:drawing>
          <wp:inline distT="0" distB="0" distL="0" distR="0" wp14:anchorId="5D9A4B10" wp14:editId="6BE80967">
            <wp:extent cx="6400800" cy="2037080"/>
            <wp:effectExtent l="0" t="0" r="0" b="1270"/>
            <wp:docPr id="107782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29498" name=""/>
                    <pic:cNvPicPr/>
                  </pic:nvPicPr>
                  <pic:blipFill>
                    <a:blip r:embed="rId23"/>
                    <a:stretch>
                      <a:fillRect/>
                    </a:stretch>
                  </pic:blipFill>
                  <pic:spPr>
                    <a:xfrm>
                      <a:off x="0" y="0"/>
                      <a:ext cx="6400800" cy="2037080"/>
                    </a:xfrm>
                    <a:prstGeom prst="rect">
                      <a:avLst/>
                    </a:prstGeom>
                  </pic:spPr>
                </pic:pic>
              </a:graphicData>
            </a:graphic>
          </wp:inline>
        </w:drawing>
      </w:r>
    </w:p>
    <w:p w14:paraId="1D17B6F6" w14:textId="77777777" w:rsidR="00421FB0" w:rsidRDefault="00421FB0" w:rsidP="0049067D">
      <w:pPr>
        <w:spacing w:after="140" w:line="252" w:lineRule="auto"/>
        <w:jc w:val="both"/>
        <w:rPr>
          <w:b/>
          <w:bCs/>
          <w:i/>
          <w:iCs/>
          <w:sz w:val="18"/>
          <w:szCs w:val="18"/>
        </w:rPr>
      </w:pPr>
    </w:p>
    <w:p w14:paraId="7C5091B4" w14:textId="2E62F20D" w:rsidR="00421FB0" w:rsidRDefault="00421FB0" w:rsidP="0049067D">
      <w:pPr>
        <w:spacing w:after="140" w:line="252" w:lineRule="auto"/>
        <w:jc w:val="both"/>
        <w:rPr>
          <w:b/>
          <w:bCs/>
          <w:i/>
          <w:iCs/>
          <w:sz w:val="18"/>
          <w:szCs w:val="18"/>
        </w:rPr>
      </w:pPr>
      <w:r w:rsidRPr="00421FB0">
        <w:rPr>
          <w:b/>
          <w:bCs/>
          <w:i/>
          <w:iCs/>
          <w:noProof/>
          <w:sz w:val="18"/>
          <w:szCs w:val="18"/>
        </w:rPr>
        <w:lastRenderedPageBreak/>
        <w:drawing>
          <wp:inline distT="0" distB="0" distL="0" distR="0" wp14:anchorId="2ACB64D2" wp14:editId="0B1A429C">
            <wp:extent cx="6400800" cy="4645660"/>
            <wp:effectExtent l="0" t="0" r="0" b="2540"/>
            <wp:docPr id="11702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80367" name=""/>
                    <pic:cNvPicPr/>
                  </pic:nvPicPr>
                  <pic:blipFill>
                    <a:blip r:embed="rId24"/>
                    <a:stretch>
                      <a:fillRect/>
                    </a:stretch>
                  </pic:blipFill>
                  <pic:spPr>
                    <a:xfrm>
                      <a:off x="0" y="0"/>
                      <a:ext cx="6400800" cy="4645660"/>
                    </a:xfrm>
                    <a:prstGeom prst="rect">
                      <a:avLst/>
                    </a:prstGeom>
                  </pic:spPr>
                </pic:pic>
              </a:graphicData>
            </a:graphic>
          </wp:inline>
        </w:drawing>
      </w:r>
      <w:r w:rsidR="00F85257" w:rsidRPr="00F85257">
        <w:rPr>
          <w:b/>
          <w:bCs/>
          <w:i/>
          <w:iCs/>
          <w:noProof/>
          <w:sz w:val="18"/>
          <w:szCs w:val="18"/>
        </w:rPr>
        <w:lastRenderedPageBreak/>
        <w:drawing>
          <wp:inline distT="0" distB="0" distL="0" distR="0" wp14:anchorId="4F5342D5" wp14:editId="679E51E1">
            <wp:extent cx="6400800" cy="4501515"/>
            <wp:effectExtent l="0" t="0" r="0" b="0"/>
            <wp:docPr id="37901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13163" name=""/>
                    <pic:cNvPicPr/>
                  </pic:nvPicPr>
                  <pic:blipFill>
                    <a:blip r:embed="rId25"/>
                    <a:stretch>
                      <a:fillRect/>
                    </a:stretch>
                  </pic:blipFill>
                  <pic:spPr>
                    <a:xfrm>
                      <a:off x="0" y="0"/>
                      <a:ext cx="6400800" cy="4501515"/>
                    </a:xfrm>
                    <a:prstGeom prst="rect">
                      <a:avLst/>
                    </a:prstGeom>
                  </pic:spPr>
                </pic:pic>
              </a:graphicData>
            </a:graphic>
          </wp:inline>
        </w:drawing>
      </w:r>
      <w:r w:rsidR="00F85257" w:rsidRPr="00F85257">
        <w:rPr>
          <w:b/>
          <w:bCs/>
          <w:i/>
          <w:iCs/>
          <w:noProof/>
          <w:sz w:val="18"/>
          <w:szCs w:val="18"/>
        </w:rPr>
        <w:drawing>
          <wp:inline distT="0" distB="0" distL="0" distR="0" wp14:anchorId="24ECA70E" wp14:editId="7DC57E8D">
            <wp:extent cx="6400800" cy="4116705"/>
            <wp:effectExtent l="0" t="0" r="0" b="0"/>
            <wp:docPr id="51010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3111" name=""/>
                    <pic:cNvPicPr/>
                  </pic:nvPicPr>
                  <pic:blipFill>
                    <a:blip r:embed="rId26"/>
                    <a:stretch>
                      <a:fillRect/>
                    </a:stretch>
                  </pic:blipFill>
                  <pic:spPr>
                    <a:xfrm>
                      <a:off x="0" y="0"/>
                      <a:ext cx="6400800" cy="4116705"/>
                    </a:xfrm>
                    <a:prstGeom prst="rect">
                      <a:avLst/>
                    </a:prstGeom>
                  </pic:spPr>
                </pic:pic>
              </a:graphicData>
            </a:graphic>
          </wp:inline>
        </w:drawing>
      </w:r>
    </w:p>
    <w:p w14:paraId="1751146B" w14:textId="2BC986F6" w:rsidR="00F85257" w:rsidRDefault="00F85257" w:rsidP="0049067D">
      <w:pPr>
        <w:spacing w:after="140" w:line="252" w:lineRule="auto"/>
        <w:jc w:val="both"/>
        <w:rPr>
          <w:b/>
          <w:bCs/>
          <w:i/>
          <w:iCs/>
          <w:sz w:val="18"/>
          <w:szCs w:val="18"/>
        </w:rPr>
      </w:pPr>
      <w:r w:rsidRPr="00F85257">
        <w:rPr>
          <w:b/>
          <w:bCs/>
          <w:i/>
          <w:iCs/>
          <w:noProof/>
          <w:sz w:val="18"/>
          <w:szCs w:val="18"/>
        </w:rPr>
        <w:lastRenderedPageBreak/>
        <w:drawing>
          <wp:inline distT="0" distB="0" distL="0" distR="0" wp14:anchorId="71C0E9FE" wp14:editId="541EA1B2">
            <wp:extent cx="6082145" cy="4280430"/>
            <wp:effectExtent l="0" t="0" r="0" b="6350"/>
            <wp:docPr id="43454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44955" name=""/>
                    <pic:cNvPicPr/>
                  </pic:nvPicPr>
                  <pic:blipFill>
                    <a:blip r:embed="rId27"/>
                    <a:stretch>
                      <a:fillRect/>
                    </a:stretch>
                  </pic:blipFill>
                  <pic:spPr>
                    <a:xfrm>
                      <a:off x="0" y="0"/>
                      <a:ext cx="6099654" cy="4292753"/>
                    </a:xfrm>
                    <a:prstGeom prst="rect">
                      <a:avLst/>
                    </a:prstGeom>
                  </pic:spPr>
                </pic:pic>
              </a:graphicData>
            </a:graphic>
          </wp:inline>
        </w:drawing>
      </w:r>
      <w:r w:rsidRPr="00F85257">
        <w:rPr>
          <w:b/>
          <w:bCs/>
          <w:i/>
          <w:iCs/>
          <w:noProof/>
          <w:sz w:val="18"/>
          <w:szCs w:val="18"/>
        </w:rPr>
        <w:drawing>
          <wp:inline distT="0" distB="0" distL="0" distR="0" wp14:anchorId="6D4B59BD" wp14:editId="4426EB6B">
            <wp:extent cx="6061364" cy="4043916"/>
            <wp:effectExtent l="0" t="0" r="0" b="0"/>
            <wp:docPr id="770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8187" name=""/>
                    <pic:cNvPicPr/>
                  </pic:nvPicPr>
                  <pic:blipFill>
                    <a:blip r:embed="rId28"/>
                    <a:stretch>
                      <a:fillRect/>
                    </a:stretch>
                  </pic:blipFill>
                  <pic:spPr>
                    <a:xfrm>
                      <a:off x="0" y="0"/>
                      <a:ext cx="6074447" cy="4052645"/>
                    </a:xfrm>
                    <a:prstGeom prst="rect">
                      <a:avLst/>
                    </a:prstGeom>
                  </pic:spPr>
                </pic:pic>
              </a:graphicData>
            </a:graphic>
          </wp:inline>
        </w:drawing>
      </w:r>
    </w:p>
    <w:p w14:paraId="22CFE700" w14:textId="77777777" w:rsidR="00F85257" w:rsidRDefault="00F85257" w:rsidP="0049067D">
      <w:pPr>
        <w:spacing w:after="140" w:line="252" w:lineRule="auto"/>
        <w:jc w:val="both"/>
        <w:rPr>
          <w:b/>
          <w:bCs/>
          <w:i/>
          <w:iCs/>
          <w:sz w:val="18"/>
          <w:szCs w:val="18"/>
        </w:rPr>
      </w:pPr>
    </w:p>
    <w:p w14:paraId="7E3AB2CC" w14:textId="77777777" w:rsidR="00F85257" w:rsidRPr="002B7682" w:rsidRDefault="00F85257" w:rsidP="0049067D">
      <w:pPr>
        <w:spacing w:after="140" w:line="252" w:lineRule="auto"/>
        <w:jc w:val="both"/>
        <w:rPr>
          <w:b/>
          <w:bCs/>
          <w:i/>
          <w:iCs/>
          <w:sz w:val="28"/>
          <w:szCs w:val="28"/>
          <w:u w:val="single"/>
        </w:rPr>
      </w:pPr>
    </w:p>
    <w:p w14:paraId="314698BE" w14:textId="4CA182BE" w:rsidR="00F85257" w:rsidRDefault="00F85257" w:rsidP="0049067D">
      <w:pPr>
        <w:spacing w:after="140" w:line="252" w:lineRule="auto"/>
        <w:jc w:val="both"/>
        <w:rPr>
          <w:b/>
          <w:bCs/>
          <w:i/>
          <w:iCs/>
          <w:sz w:val="28"/>
          <w:szCs w:val="28"/>
          <w:u w:val="single"/>
        </w:rPr>
      </w:pPr>
      <w:r w:rsidRPr="002B7682">
        <w:rPr>
          <w:b/>
          <w:bCs/>
          <w:i/>
          <w:iCs/>
          <w:sz w:val="28"/>
          <w:szCs w:val="28"/>
          <w:u w:val="single"/>
        </w:rPr>
        <w:t>3)</w:t>
      </w:r>
      <w:r w:rsidR="00F95D9B" w:rsidRPr="002B7682">
        <w:rPr>
          <w:b/>
          <w:bCs/>
          <w:i/>
          <w:iCs/>
          <w:sz w:val="28"/>
          <w:szCs w:val="28"/>
          <w:u w:val="single"/>
        </w:rPr>
        <w:t>Online Sales-</w:t>
      </w:r>
    </w:p>
    <w:p w14:paraId="62DB46BA" w14:textId="77777777" w:rsidR="00B46194" w:rsidRPr="00B46194" w:rsidRDefault="00B46194" w:rsidP="00B46194">
      <w:pPr>
        <w:spacing w:after="140" w:line="252" w:lineRule="auto"/>
        <w:jc w:val="both"/>
        <w:rPr>
          <w:i/>
          <w:iCs/>
          <w:sz w:val="28"/>
          <w:szCs w:val="28"/>
        </w:rPr>
      </w:pPr>
      <w:r w:rsidRPr="00B46194">
        <w:rPr>
          <w:i/>
          <w:iCs/>
          <w:sz w:val="28"/>
          <w:szCs w:val="28"/>
        </w:rPr>
        <w:t>The dashboard summarizes available sales, profit, and quantity information for the Online Sales dataset. Dataset-specific filters and visualizations are displayed according to the fields available in the source data.</w:t>
      </w:r>
    </w:p>
    <w:p w14:paraId="368BCF18" w14:textId="77777777" w:rsidR="00266601" w:rsidRDefault="00266601" w:rsidP="0049067D">
      <w:pPr>
        <w:spacing w:after="140" w:line="252" w:lineRule="auto"/>
        <w:jc w:val="both"/>
        <w:rPr>
          <w:b/>
          <w:bCs/>
          <w:i/>
          <w:iCs/>
          <w:sz w:val="28"/>
          <w:szCs w:val="28"/>
          <w:u w:val="single"/>
        </w:rPr>
      </w:pPr>
    </w:p>
    <w:p w14:paraId="7C87C450" w14:textId="77777777" w:rsidR="00266601" w:rsidRPr="002B7682" w:rsidRDefault="00266601" w:rsidP="0049067D">
      <w:pPr>
        <w:spacing w:after="140" w:line="252" w:lineRule="auto"/>
        <w:jc w:val="both"/>
        <w:rPr>
          <w:b/>
          <w:bCs/>
          <w:i/>
          <w:iCs/>
          <w:sz w:val="28"/>
          <w:szCs w:val="28"/>
          <w:u w:val="single"/>
        </w:rPr>
      </w:pPr>
    </w:p>
    <w:p w14:paraId="7F7C5F18" w14:textId="2784383A" w:rsidR="00F95D9B" w:rsidRDefault="00F95D9B" w:rsidP="0049067D">
      <w:pPr>
        <w:spacing w:after="140" w:line="252" w:lineRule="auto"/>
        <w:jc w:val="both"/>
        <w:rPr>
          <w:b/>
          <w:bCs/>
          <w:i/>
          <w:iCs/>
          <w:sz w:val="18"/>
          <w:szCs w:val="18"/>
        </w:rPr>
      </w:pPr>
      <w:r w:rsidRPr="00F95D9B">
        <w:rPr>
          <w:b/>
          <w:bCs/>
          <w:i/>
          <w:iCs/>
          <w:noProof/>
          <w:sz w:val="18"/>
          <w:szCs w:val="18"/>
        </w:rPr>
        <w:drawing>
          <wp:inline distT="0" distB="0" distL="0" distR="0" wp14:anchorId="166DDC19" wp14:editId="6DA0A081">
            <wp:extent cx="6400800" cy="2752090"/>
            <wp:effectExtent l="0" t="0" r="0" b="0"/>
            <wp:docPr id="126458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87079" name=""/>
                    <pic:cNvPicPr/>
                  </pic:nvPicPr>
                  <pic:blipFill>
                    <a:blip r:embed="rId29"/>
                    <a:stretch>
                      <a:fillRect/>
                    </a:stretch>
                  </pic:blipFill>
                  <pic:spPr>
                    <a:xfrm>
                      <a:off x="0" y="0"/>
                      <a:ext cx="6400800" cy="2752090"/>
                    </a:xfrm>
                    <a:prstGeom prst="rect">
                      <a:avLst/>
                    </a:prstGeom>
                  </pic:spPr>
                </pic:pic>
              </a:graphicData>
            </a:graphic>
          </wp:inline>
        </w:drawing>
      </w:r>
    </w:p>
    <w:p w14:paraId="56EB4C55" w14:textId="5761818D" w:rsidR="00954604" w:rsidRDefault="00954604" w:rsidP="0049067D">
      <w:pPr>
        <w:spacing w:after="140" w:line="252" w:lineRule="auto"/>
        <w:jc w:val="both"/>
        <w:rPr>
          <w:b/>
          <w:bCs/>
          <w:i/>
          <w:iCs/>
          <w:sz w:val="18"/>
          <w:szCs w:val="18"/>
        </w:rPr>
      </w:pPr>
      <w:r w:rsidRPr="00954604">
        <w:rPr>
          <w:b/>
          <w:bCs/>
          <w:i/>
          <w:iCs/>
          <w:noProof/>
          <w:sz w:val="18"/>
          <w:szCs w:val="18"/>
        </w:rPr>
        <w:lastRenderedPageBreak/>
        <w:drawing>
          <wp:inline distT="0" distB="0" distL="0" distR="0" wp14:anchorId="52B3E792" wp14:editId="7616D599">
            <wp:extent cx="6400800" cy="4727575"/>
            <wp:effectExtent l="0" t="0" r="0" b="0"/>
            <wp:docPr id="203215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1271" name=""/>
                    <pic:cNvPicPr/>
                  </pic:nvPicPr>
                  <pic:blipFill>
                    <a:blip r:embed="rId30"/>
                    <a:stretch>
                      <a:fillRect/>
                    </a:stretch>
                  </pic:blipFill>
                  <pic:spPr>
                    <a:xfrm>
                      <a:off x="0" y="0"/>
                      <a:ext cx="6400800" cy="4727575"/>
                    </a:xfrm>
                    <a:prstGeom prst="rect">
                      <a:avLst/>
                    </a:prstGeom>
                  </pic:spPr>
                </pic:pic>
              </a:graphicData>
            </a:graphic>
          </wp:inline>
        </w:drawing>
      </w:r>
    </w:p>
    <w:p w14:paraId="48977DBB" w14:textId="1360CF9D" w:rsidR="00954604" w:rsidRDefault="00954604" w:rsidP="0049067D">
      <w:pPr>
        <w:spacing w:after="140" w:line="252" w:lineRule="auto"/>
        <w:jc w:val="both"/>
        <w:rPr>
          <w:b/>
          <w:bCs/>
          <w:i/>
          <w:iCs/>
          <w:sz w:val="18"/>
          <w:szCs w:val="18"/>
        </w:rPr>
      </w:pPr>
      <w:r w:rsidRPr="00954604">
        <w:rPr>
          <w:b/>
          <w:bCs/>
          <w:i/>
          <w:iCs/>
          <w:noProof/>
          <w:sz w:val="18"/>
          <w:szCs w:val="18"/>
        </w:rPr>
        <w:drawing>
          <wp:inline distT="0" distB="0" distL="0" distR="0" wp14:anchorId="0409638D" wp14:editId="0CCCF78B">
            <wp:extent cx="6248400" cy="3745942"/>
            <wp:effectExtent l="0" t="0" r="0" b="6985"/>
            <wp:docPr id="15911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5366" name=""/>
                    <pic:cNvPicPr/>
                  </pic:nvPicPr>
                  <pic:blipFill>
                    <a:blip r:embed="rId31"/>
                    <a:stretch>
                      <a:fillRect/>
                    </a:stretch>
                  </pic:blipFill>
                  <pic:spPr>
                    <a:xfrm>
                      <a:off x="0" y="0"/>
                      <a:ext cx="6281108" cy="3765550"/>
                    </a:xfrm>
                    <a:prstGeom prst="rect">
                      <a:avLst/>
                    </a:prstGeom>
                  </pic:spPr>
                </pic:pic>
              </a:graphicData>
            </a:graphic>
          </wp:inline>
        </w:drawing>
      </w:r>
    </w:p>
    <w:p w14:paraId="308FF25F" w14:textId="77777777" w:rsidR="002B7682" w:rsidRDefault="009903FE" w:rsidP="0049067D">
      <w:pPr>
        <w:spacing w:after="140" w:line="252" w:lineRule="auto"/>
        <w:jc w:val="both"/>
        <w:rPr>
          <w:b/>
          <w:bCs/>
          <w:i/>
          <w:iCs/>
          <w:sz w:val="28"/>
          <w:szCs w:val="28"/>
          <w:u w:val="single"/>
        </w:rPr>
      </w:pPr>
      <w:r w:rsidRPr="009903FE">
        <w:rPr>
          <w:b/>
          <w:bCs/>
          <w:i/>
          <w:iCs/>
          <w:noProof/>
          <w:sz w:val="18"/>
          <w:szCs w:val="18"/>
        </w:rPr>
        <w:lastRenderedPageBreak/>
        <w:drawing>
          <wp:inline distT="0" distB="0" distL="0" distR="0" wp14:anchorId="10AE9781" wp14:editId="032DB8AF">
            <wp:extent cx="6351943" cy="3955472"/>
            <wp:effectExtent l="0" t="0" r="0" b="6985"/>
            <wp:docPr id="158532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21398" name=""/>
                    <pic:cNvPicPr/>
                  </pic:nvPicPr>
                  <pic:blipFill>
                    <a:blip r:embed="rId32"/>
                    <a:stretch>
                      <a:fillRect/>
                    </a:stretch>
                  </pic:blipFill>
                  <pic:spPr>
                    <a:xfrm>
                      <a:off x="0" y="0"/>
                      <a:ext cx="6360995" cy="3961109"/>
                    </a:xfrm>
                    <a:prstGeom prst="rect">
                      <a:avLst/>
                    </a:prstGeom>
                  </pic:spPr>
                </pic:pic>
              </a:graphicData>
            </a:graphic>
          </wp:inline>
        </w:drawing>
      </w:r>
    </w:p>
    <w:p w14:paraId="7FC6CEF2" w14:textId="647D1EAB" w:rsidR="002B7682" w:rsidRDefault="00954604" w:rsidP="0049067D">
      <w:pPr>
        <w:spacing w:after="140" w:line="252" w:lineRule="auto"/>
        <w:jc w:val="both"/>
        <w:rPr>
          <w:b/>
          <w:bCs/>
          <w:i/>
          <w:iCs/>
          <w:sz w:val="28"/>
          <w:szCs w:val="28"/>
          <w:u w:val="single"/>
        </w:rPr>
      </w:pPr>
      <w:r w:rsidRPr="00954604">
        <w:rPr>
          <w:b/>
          <w:bCs/>
          <w:i/>
          <w:iCs/>
          <w:noProof/>
          <w:sz w:val="18"/>
          <w:szCs w:val="18"/>
        </w:rPr>
        <w:drawing>
          <wp:inline distT="0" distB="0" distL="0" distR="0" wp14:anchorId="62974B03" wp14:editId="27FC2B26">
            <wp:extent cx="6400800" cy="4572635"/>
            <wp:effectExtent l="0" t="0" r="0" b="0"/>
            <wp:docPr id="168395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50678" name=""/>
                    <pic:cNvPicPr/>
                  </pic:nvPicPr>
                  <pic:blipFill>
                    <a:blip r:embed="rId33"/>
                    <a:stretch>
                      <a:fillRect/>
                    </a:stretch>
                  </pic:blipFill>
                  <pic:spPr>
                    <a:xfrm>
                      <a:off x="0" y="0"/>
                      <a:ext cx="6400800" cy="4572635"/>
                    </a:xfrm>
                    <a:prstGeom prst="rect">
                      <a:avLst/>
                    </a:prstGeom>
                  </pic:spPr>
                </pic:pic>
              </a:graphicData>
            </a:graphic>
          </wp:inline>
        </w:drawing>
      </w:r>
    </w:p>
    <w:p w14:paraId="46725958" w14:textId="068036E6" w:rsidR="00954604" w:rsidRDefault="009903FE" w:rsidP="0049067D">
      <w:pPr>
        <w:spacing w:after="140" w:line="252" w:lineRule="auto"/>
        <w:jc w:val="both"/>
        <w:rPr>
          <w:b/>
          <w:bCs/>
          <w:i/>
          <w:iCs/>
          <w:sz w:val="28"/>
          <w:szCs w:val="28"/>
          <w:u w:val="single"/>
        </w:rPr>
      </w:pPr>
      <w:r w:rsidRPr="002B7682">
        <w:rPr>
          <w:b/>
          <w:bCs/>
          <w:i/>
          <w:iCs/>
          <w:sz w:val="28"/>
          <w:szCs w:val="28"/>
          <w:u w:val="single"/>
        </w:rPr>
        <w:lastRenderedPageBreak/>
        <w:t>4)Super Market Dataset-</w:t>
      </w:r>
    </w:p>
    <w:p w14:paraId="1170005D" w14:textId="77777777" w:rsidR="00843D05" w:rsidRPr="00843D05" w:rsidRDefault="00843D05" w:rsidP="00843D05">
      <w:pPr>
        <w:spacing w:after="140" w:line="252" w:lineRule="auto"/>
        <w:jc w:val="both"/>
        <w:rPr>
          <w:i/>
          <w:iCs/>
          <w:sz w:val="28"/>
          <w:szCs w:val="28"/>
        </w:rPr>
      </w:pPr>
      <w:r w:rsidRPr="00843D05">
        <w:rPr>
          <w:i/>
          <w:iCs/>
          <w:sz w:val="28"/>
          <w:szCs w:val="28"/>
        </w:rPr>
        <w:t>The dashboard visualizes supermarket sales and profitability using the available product and transaction information. The results help users examine performance patterns and identify categories that may require further business attention.</w:t>
      </w:r>
    </w:p>
    <w:p w14:paraId="56A0D39F" w14:textId="77777777" w:rsidR="00B46194" w:rsidRDefault="00B46194" w:rsidP="0049067D">
      <w:pPr>
        <w:spacing w:after="140" w:line="252" w:lineRule="auto"/>
        <w:jc w:val="both"/>
        <w:rPr>
          <w:b/>
          <w:bCs/>
          <w:i/>
          <w:iCs/>
          <w:sz w:val="18"/>
          <w:szCs w:val="18"/>
        </w:rPr>
      </w:pPr>
    </w:p>
    <w:p w14:paraId="446F2AA5" w14:textId="77777777" w:rsidR="009903FE" w:rsidRDefault="009903FE" w:rsidP="0049067D">
      <w:pPr>
        <w:spacing w:after="140" w:line="252" w:lineRule="auto"/>
        <w:jc w:val="both"/>
        <w:rPr>
          <w:b/>
          <w:bCs/>
          <w:i/>
          <w:iCs/>
          <w:sz w:val="18"/>
          <w:szCs w:val="18"/>
        </w:rPr>
      </w:pPr>
    </w:p>
    <w:p w14:paraId="2DA57A13" w14:textId="52B74826" w:rsidR="009903FE" w:rsidRDefault="007F75E5" w:rsidP="0049067D">
      <w:pPr>
        <w:spacing w:after="140" w:line="252" w:lineRule="auto"/>
        <w:jc w:val="both"/>
        <w:rPr>
          <w:b/>
          <w:bCs/>
          <w:i/>
          <w:iCs/>
          <w:sz w:val="18"/>
          <w:szCs w:val="18"/>
        </w:rPr>
      </w:pPr>
      <w:r w:rsidRPr="007F75E5">
        <w:rPr>
          <w:b/>
          <w:bCs/>
          <w:i/>
          <w:iCs/>
          <w:noProof/>
          <w:sz w:val="18"/>
          <w:szCs w:val="18"/>
        </w:rPr>
        <w:drawing>
          <wp:inline distT="0" distB="0" distL="0" distR="0" wp14:anchorId="6146924E" wp14:editId="482E681B">
            <wp:extent cx="6400800" cy="2211070"/>
            <wp:effectExtent l="0" t="0" r="0" b="0"/>
            <wp:docPr id="172443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3917" name=""/>
                    <pic:cNvPicPr/>
                  </pic:nvPicPr>
                  <pic:blipFill>
                    <a:blip r:embed="rId34"/>
                    <a:stretch>
                      <a:fillRect/>
                    </a:stretch>
                  </pic:blipFill>
                  <pic:spPr>
                    <a:xfrm>
                      <a:off x="0" y="0"/>
                      <a:ext cx="6400800" cy="2211070"/>
                    </a:xfrm>
                    <a:prstGeom prst="rect">
                      <a:avLst/>
                    </a:prstGeom>
                  </pic:spPr>
                </pic:pic>
              </a:graphicData>
            </a:graphic>
          </wp:inline>
        </w:drawing>
      </w:r>
      <w:r w:rsidRPr="007F75E5">
        <w:rPr>
          <w:b/>
          <w:bCs/>
          <w:i/>
          <w:iCs/>
          <w:noProof/>
          <w:sz w:val="18"/>
          <w:szCs w:val="18"/>
        </w:rPr>
        <w:drawing>
          <wp:inline distT="0" distB="0" distL="0" distR="0" wp14:anchorId="1801394B" wp14:editId="60989774">
            <wp:extent cx="6400800" cy="1911985"/>
            <wp:effectExtent l="0" t="0" r="0" b="0"/>
            <wp:docPr id="210969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97110" name=""/>
                    <pic:cNvPicPr/>
                  </pic:nvPicPr>
                  <pic:blipFill>
                    <a:blip r:embed="rId35"/>
                    <a:stretch>
                      <a:fillRect/>
                    </a:stretch>
                  </pic:blipFill>
                  <pic:spPr>
                    <a:xfrm>
                      <a:off x="0" y="0"/>
                      <a:ext cx="6400800" cy="1911985"/>
                    </a:xfrm>
                    <a:prstGeom prst="rect">
                      <a:avLst/>
                    </a:prstGeom>
                  </pic:spPr>
                </pic:pic>
              </a:graphicData>
            </a:graphic>
          </wp:inline>
        </w:drawing>
      </w:r>
      <w:r w:rsidRPr="007F75E5">
        <w:rPr>
          <w:b/>
          <w:bCs/>
          <w:i/>
          <w:iCs/>
          <w:noProof/>
          <w:sz w:val="18"/>
          <w:szCs w:val="18"/>
        </w:rPr>
        <w:drawing>
          <wp:inline distT="0" distB="0" distL="0" distR="0" wp14:anchorId="552DE18A" wp14:editId="379331BA">
            <wp:extent cx="6400800" cy="1868805"/>
            <wp:effectExtent l="0" t="0" r="0" b="0"/>
            <wp:docPr id="113404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2913" name=""/>
                    <pic:cNvPicPr/>
                  </pic:nvPicPr>
                  <pic:blipFill>
                    <a:blip r:embed="rId36"/>
                    <a:stretch>
                      <a:fillRect/>
                    </a:stretch>
                  </pic:blipFill>
                  <pic:spPr>
                    <a:xfrm>
                      <a:off x="0" y="0"/>
                      <a:ext cx="6400800" cy="1868805"/>
                    </a:xfrm>
                    <a:prstGeom prst="rect">
                      <a:avLst/>
                    </a:prstGeom>
                  </pic:spPr>
                </pic:pic>
              </a:graphicData>
            </a:graphic>
          </wp:inline>
        </w:drawing>
      </w:r>
      <w:r w:rsidRPr="007F75E5">
        <w:rPr>
          <w:b/>
          <w:bCs/>
          <w:i/>
          <w:iCs/>
          <w:noProof/>
          <w:sz w:val="18"/>
          <w:szCs w:val="18"/>
        </w:rPr>
        <w:lastRenderedPageBreak/>
        <w:drawing>
          <wp:inline distT="0" distB="0" distL="0" distR="0" wp14:anchorId="348044CF" wp14:editId="69918FBB">
            <wp:extent cx="6400800" cy="2138045"/>
            <wp:effectExtent l="0" t="0" r="0" b="0"/>
            <wp:docPr id="19804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72885" name=""/>
                    <pic:cNvPicPr/>
                  </pic:nvPicPr>
                  <pic:blipFill>
                    <a:blip r:embed="rId37"/>
                    <a:stretch>
                      <a:fillRect/>
                    </a:stretch>
                  </pic:blipFill>
                  <pic:spPr>
                    <a:xfrm>
                      <a:off x="0" y="0"/>
                      <a:ext cx="6400800" cy="2138045"/>
                    </a:xfrm>
                    <a:prstGeom prst="rect">
                      <a:avLst/>
                    </a:prstGeom>
                  </pic:spPr>
                </pic:pic>
              </a:graphicData>
            </a:graphic>
          </wp:inline>
        </w:drawing>
      </w:r>
      <w:r w:rsidRPr="007F75E5">
        <w:rPr>
          <w:b/>
          <w:bCs/>
          <w:i/>
          <w:iCs/>
          <w:noProof/>
          <w:sz w:val="18"/>
          <w:szCs w:val="18"/>
        </w:rPr>
        <w:drawing>
          <wp:inline distT="0" distB="0" distL="0" distR="0" wp14:anchorId="544FC1F7" wp14:editId="1030992B">
            <wp:extent cx="5676398" cy="3816927"/>
            <wp:effectExtent l="0" t="0" r="635" b="0"/>
            <wp:docPr id="131569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92969" name=""/>
                    <pic:cNvPicPr/>
                  </pic:nvPicPr>
                  <pic:blipFill>
                    <a:blip r:embed="rId38"/>
                    <a:stretch>
                      <a:fillRect/>
                    </a:stretch>
                  </pic:blipFill>
                  <pic:spPr>
                    <a:xfrm>
                      <a:off x="0" y="0"/>
                      <a:ext cx="5683416" cy="3821646"/>
                    </a:xfrm>
                    <a:prstGeom prst="rect">
                      <a:avLst/>
                    </a:prstGeom>
                  </pic:spPr>
                </pic:pic>
              </a:graphicData>
            </a:graphic>
          </wp:inline>
        </w:drawing>
      </w:r>
      <w:r w:rsidR="00B968BF" w:rsidRPr="00B968BF">
        <w:rPr>
          <w:b/>
          <w:bCs/>
          <w:i/>
          <w:iCs/>
          <w:noProof/>
          <w:sz w:val="18"/>
          <w:szCs w:val="18"/>
        </w:rPr>
        <w:lastRenderedPageBreak/>
        <w:drawing>
          <wp:inline distT="0" distB="0" distL="0" distR="0" wp14:anchorId="3BE5668E" wp14:editId="27002C90">
            <wp:extent cx="5971546" cy="4426527"/>
            <wp:effectExtent l="0" t="0" r="0" b="0"/>
            <wp:docPr id="80014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49026" name=""/>
                    <pic:cNvPicPr/>
                  </pic:nvPicPr>
                  <pic:blipFill>
                    <a:blip r:embed="rId39"/>
                    <a:stretch>
                      <a:fillRect/>
                    </a:stretch>
                  </pic:blipFill>
                  <pic:spPr>
                    <a:xfrm>
                      <a:off x="0" y="0"/>
                      <a:ext cx="5980738" cy="4433341"/>
                    </a:xfrm>
                    <a:prstGeom prst="rect">
                      <a:avLst/>
                    </a:prstGeom>
                  </pic:spPr>
                </pic:pic>
              </a:graphicData>
            </a:graphic>
          </wp:inline>
        </w:drawing>
      </w:r>
      <w:r w:rsidR="00B968BF" w:rsidRPr="00B968BF">
        <w:rPr>
          <w:b/>
          <w:bCs/>
          <w:i/>
          <w:iCs/>
          <w:noProof/>
          <w:sz w:val="18"/>
          <w:szCs w:val="18"/>
        </w:rPr>
        <w:drawing>
          <wp:inline distT="0" distB="0" distL="0" distR="0" wp14:anchorId="56492007" wp14:editId="2868D961">
            <wp:extent cx="5597236" cy="4240684"/>
            <wp:effectExtent l="0" t="0" r="3810" b="7620"/>
            <wp:docPr id="33961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16334" name=""/>
                    <pic:cNvPicPr/>
                  </pic:nvPicPr>
                  <pic:blipFill>
                    <a:blip r:embed="rId40"/>
                    <a:stretch>
                      <a:fillRect/>
                    </a:stretch>
                  </pic:blipFill>
                  <pic:spPr>
                    <a:xfrm>
                      <a:off x="0" y="0"/>
                      <a:ext cx="5601201" cy="4243688"/>
                    </a:xfrm>
                    <a:prstGeom prst="rect">
                      <a:avLst/>
                    </a:prstGeom>
                  </pic:spPr>
                </pic:pic>
              </a:graphicData>
            </a:graphic>
          </wp:inline>
        </w:drawing>
      </w:r>
      <w:r w:rsidR="00B968BF" w:rsidRPr="00B968BF">
        <w:rPr>
          <w:b/>
          <w:bCs/>
          <w:i/>
          <w:iCs/>
          <w:noProof/>
          <w:sz w:val="18"/>
          <w:szCs w:val="18"/>
        </w:rPr>
        <w:lastRenderedPageBreak/>
        <w:drawing>
          <wp:inline distT="0" distB="0" distL="0" distR="0" wp14:anchorId="4D8FE2AD" wp14:editId="41111262">
            <wp:extent cx="5988132" cy="4391891"/>
            <wp:effectExtent l="0" t="0" r="0" b="8890"/>
            <wp:docPr id="9555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95011" name=""/>
                    <pic:cNvPicPr/>
                  </pic:nvPicPr>
                  <pic:blipFill>
                    <a:blip r:embed="rId41"/>
                    <a:stretch>
                      <a:fillRect/>
                    </a:stretch>
                  </pic:blipFill>
                  <pic:spPr>
                    <a:xfrm>
                      <a:off x="0" y="0"/>
                      <a:ext cx="5995228" cy="4397095"/>
                    </a:xfrm>
                    <a:prstGeom prst="rect">
                      <a:avLst/>
                    </a:prstGeom>
                  </pic:spPr>
                </pic:pic>
              </a:graphicData>
            </a:graphic>
          </wp:inline>
        </w:drawing>
      </w:r>
      <w:r w:rsidR="00B968BF" w:rsidRPr="00B968BF">
        <w:rPr>
          <w:b/>
          <w:bCs/>
          <w:i/>
          <w:iCs/>
          <w:noProof/>
          <w:sz w:val="18"/>
          <w:szCs w:val="18"/>
        </w:rPr>
        <w:drawing>
          <wp:inline distT="0" distB="0" distL="0" distR="0" wp14:anchorId="5C57AD46" wp14:editId="37AC39B6">
            <wp:extent cx="6400800" cy="4166235"/>
            <wp:effectExtent l="0" t="0" r="0" b="5715"/>
            <wp:docPr id="17106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1624" name=""/>
                    <pic:cNvPicPr/>
                  </pic:nvPicPr>
                  <pic:blipFill>
                    <a:blip r:embed="rId42"/>
                    <a:stretch>
                      <a:fillRect/>
                    </a:stretch>
                  </pic:blipFill>
                  <pic:spPr>
                    <a:xfrm>
                      <a:off x="0" y="0"/>
                      <a:ext cx="6400800" cy="4166235"/>
                    </a:xfrm>
                    <a:prstGeom prst="rect">
                      <a:avLst/>
                    </a:prstGeom>
                  </pic:spPr>
                </pic:pic>
              </a:graphicData>
            </a:graphic>
          </wp:inline>
        </w:drawing>
      </w:r>
    </w:p>
    <w:p w14:paraId="5483385E" w14:textId="0EE961B7" w:rsidR="009903FE" w:rsidRDefault="00FC2F1B" w:rsidP="0049067D">
      <w:pPr>
        <w:spacing w:after="140" w:line="252" w:lineRule="auto"/>
        <w:jc w:val="both"/>
        <w:rPr>
          <w:b/>
          <w:bCs/>
          <w:i/>
          <w:iCs/>
          <w:sz w:val="28"/>
          <w:szCs w:val="28"/>
          <w:u w:val="single"/>
        </w:rPr>
      </w:pPr>
      <w:r w:rsidRPr="00FC2F1B">
        <w:rPr>
          <w:b/>
          <w:bCs/>
          <w:i/>
          <w:iCs/>
          <w:sz w:val="28"/>
          <w:szCs w:val="28"/>
          <w:u w:val="single"/>
        </w:rPr>
        <w:lastRenderedPageBreak/>
        <w:t>Comparative Regression Model Results</w:t>
      </w:r>
    </w:p>
    <w:p w14:paraId="1E785284" w14:textId="2199E436" w:rsidR="0049067D" w:rsidRPr="00FC2F1B" w:rsidRDefault="00FC2F1B" w:rsidP="004C7F4B">
      <w:pPr>
        <w:spacing w:after="140" w:line="252" w:lineRule="auto"/>
        <w:jc w:val="both"/>
        <w:rPr>
          <w:b/>
          <w:bCs/>
          <w:i/>
          <w:iCs/>
          <w:sz w:val="24"/>
          <w:szCs w:val="24"/>
        </w:rPr>
      </w:pPr>
      <w:r w:rsidRPr="00FC2F1B">
        <w:rPr>
          <w:b/>
          <w:bCs/>
          <w:i/>
          <w:iCs/>
          <w:sz w:val="24"/>
          <w:szCs w:val="24"/>
        </w:rPr>
        <w:t>The comparative analysis evaluates Linear Regression, Decision Tree, Random Forest, Gradient Boosting, and the proposed HSRE model using R², MAE, and RMSE. The results show that the best-performing model varies by dataset and evaluation metric, demonstrating the importance of evaluating multiple models rather than relying on a single algorithm.</w:t>
      </w:r>
    </w:p>
    <w:p w14:paraId="6E5ED16B" w14:textId="77777777" w:rsidR="005C6B47" w:rsidRDefault="00B31150">
      <w:pPr>
        <w:keepNext/>
        <w:spacing w:before="260" w:after="120"/>
      </w:pPr>
      <w:r>
        <w:rPr>
          <w:b/>
          <w:bCs/>
          <w:color w:val="1F3864"/>
          <w:sz w:val="21"/>
          <w:szCs w:val="21"/>
        </w:rPr>
        <w:t>6. DISCUSSION</w:t>
      </w:r>
    </w:p>
    <w:p w14:paraId="4694E85D" w14:textId="77777777" w:rsidR="005C6B47" w:rsidRDefault="00B31150">
      <w:pPr>
        <w:keepNext/>
        <w:spacing w:before="180" w:after="100"/>
      </w:pPr>
      <w:r>
        <w:rPr>
          <w:b/>
          <w:bCs/>
          <w:i/>
          <w:iCs/>
        </w:rPr>
        <w:t>6.1 Interpretation of Findings</w:t>
      </w:r>
    </w:p>
    <w:p w14:paraId="59A3003D" w14:textId="77777777" w:rsidR="005C6B47" w:rsidRDefault="00B31150">
      <w:pPr>
        <w:spacing w:after="140" w:line="252" w:lineRule="auto"/>
        <w:jc w:val="both"/>
      </w:pPr>
      <w:r>
        <w:rPr>
          <w:sz w:val="19"/>
          <w:szCs w:val="19"/>
        </w:rPr>
        <w:t>The results in Section 5 confirm that the dashboard's descriptive pipeline behaves consistently across four structurally different datasets: KPIs scale sensibly with dataset size (for example, Global Superstore's larger customer base of 4,873 corresponds to substantially higher total sales and profit than Superstore's 804 customers), and the dataset-aware filtering design successfully avoids presenting fields, such as Year for Online Sales, that a given source cannot support. This supports a positive answer to RQ1 and RQ3: the datasets were integrated without misrepresenting their contents, and the filtering behaviour remained consistent and honest across sources with different schemas.</w:t>
      </w:r>
    </w:p>
    <w:p w14:paraId="5D4D16CD" w14:textId="77777777" w:rsidR="005C6B47" w:rsidRDefault="00B31150">
      <w:pPr>
        <w:keepNext/>
        <w:spacing w:before="180" w:after="100"/>
      </w:pPr>
      <w:r>
        <w:rPr>
          <w:b/>
          <w:bCs/>
          <w:i/>
          <w:iCs/>
        </w:rPr>
        <w:t>6.2 Comparison with Previous Studies</w:t>
      </w:r>
    </w:p>
    <w:p w14:paraId="71708CDD" w14:textId="77777777" w:rsidR="005C6B47" w:rsidRDefault="00B31150">
      <w:pPr>
        <w:spacing w:after="140" w:line="252" w:lineRule="auto"/>
        <w:jc w:val="both"/>
      </w:pPr>
      <w:r>
        <w:rPr>
          <w:sz w:val="19"/>
          <w:szCs w:val="19"/>
        </w:rPr>
        <w:t>The project's approach is broadly consistent with the dashboard design principles described by Few and the dashboard taxonomy of Sarikaya et al. [3], [7], in that it prioritises at-a-glance KPI monitoring supported by drill-down charts. It extends this line of work in the direction suggested by Segel and Heer and by Kosara and Mackinlay [1], [2] — that presentation and narrative deserve dedicated design attention — by attaching an explicit, repeatable Finding → Meaning → Decision → Recommendation structure to the dashboard's outputs, rather than treating storytelling as an unstructured, manually authored addition as is more common in journalism-oriented narrative visualization work. The qualitative comparison in Table 6 further situates the system relative to static spreadsheet reporting and general-purpose BI tools [22]</w:t>
      </w:r>
      <w:proofErr w:type="gramStart"/>
      <w:r>
        <w:rPr>
          <w:sz w:val="19"/>
          <w:szCs w:val="19"/>
        </w:rPr>
        <w:t>–[</w:t>
      </w:r>
      <w:proofErr w:type="gramEnd"/>
      <w:r>
        <w:rPr>
          <w:sz w:val="19"/>
          <w:szCs w:val="19"/>
        </w:rPr>
        <w:t>26]: it does not exceed a mature BI tool such as Power BI or Tableau in raw interactivity, but it demonstrates, at project scale, the two capabilities — dataset-aware schema handling and a live decision narrative — that Section 2.7 identified as under-served in that literature.</w:t>
      </w:r>
    </w:p>
    <w:p w14:paraId="05D8E4B0" w14:textId="77777777" w:rsidR="005C6B47" w:rsidRDefault="00B31150">
      <w:pPr>
        <w:keepNext/>
        <w:spacing w:before="180" w:after="100"/>
      </w:pPr>
      <w:r>
        <w:rPr>
          <w:b/>
          <w:bCs/>
          <w:i/>
          <w:iCs/>
        </w:rPr>
        <w:t>6.3 Practical Implications</w:t>
      </w:r>
    </w:p>
    <w:p w14:paraId="6CC9E4B7" w14:textId="77777777" w:rsidR="005C6B47" w:rsidRDefault="00B31150">
      <w:pPr>
        <w:spacing w:after="140" w:line="252" w:lineRule="auto"/>
        <w:jc w:val="both"/>
      </w:pPr>
      <w:r>
        <w:rPr>
          <w:sz w:val="19"/>
          <w:szCs w:val="19"/>
        </w:rPr>
        <w:t>For a business user, the practical value of this design lies less in any single chart and more in the combination of (a) trustworthy, dataset-specific KPIs, (b) filters that never silently misrepresent what a dataset can answer, and (c) a narrative layer that states, in plain language, what a manager might do next. This combination is directly relevant to small and mid-sized retail or e-commerce operations that maintain several disconnected sales data sources and currently lack the analyst capacity to manually generate this type of narrative summary for each one.</w:t>
      </w:r>
    </w:p>
    <w:p w14:paraId="185823D7" w14:textId="77777777" w:rsidR="005C6B47" w:rsidRDefault="00B31150">
      <w:pPr>
        <w:keepNext/>
        <w:spacing w:before="180" w:after="100"/>
      </w:pPr>
      <w:r>
        <w:rPr>
          <w:b/>
          <w:bCs/>
          <w:i/>
          <w:iCs/>
        </w:rPr>
        <w:t>6.4 Limitations of the Approach</w:t>
      </w:r>
    </w:p>
    <w:p w14:paraId="08639D31" w14:textId="77777777" w:rsidR="005C6B47" w:rsidRDefault="00B31150">
      <w:pPr>
        <w:spacing w:after="140" w:line="252" w:lineRule="auto"/>
        <w:jc w:val="both"/>
      </w:pPr>
      <w:r>
        <w:rPr>
          <w:sz w:val="19"/>
          <w:szCs w:val="19"/>
        </w:rPr>
        <w:t>Because the Finding → Meaning → Decision → Recommendation narratives are generated from rule-based logic applied to the currently filtered aggregates, their depth is inherently bounded by the patterns that simple aggregation and comparison can surface; they are not the product of statistical hypothesis testing or causal analysis, and should be read as decision-support prompts rather than definitive business conclusions. In addition, because the four datasets are kept logically separate, the dashboard does not support genuine cross-dataset comparison within a single chart, which was a deliberate design choice to avoid fabricating a common schema, but which does limit certain kinds of portfolio-level analysis a user might otherwise want.</w:t>
      </w:r>
    </w:p>
    <w:p w14:paraId="7092091C" w14:textId="77777777" w:rsidR="005C6B47" w:rsidRDefault="00B31150">
      <w:pPr>
        <w:keepNext/>
        <w:spacing w:before="180" w:after="100"/>
      </w:pPr>
      <w:r>
        <w:rPr>
          <w:b/>
          <w:bCs/>
          <w:i/>
          <w:iCs/>
        </w:rPr>
        <w:t>6.5 Unexpected / Important Observations</w:t>
      </w:r>
    </w:p>
    <w:p w14:paraId="2D746CBC" w14:textId="77777777" w:rsidR="005C6B47" w:rsidRDefault="00B31150">
      <w:pPr>
        <w:spacing w:after="140" w:line="252" w:lineRule="auto"/>
        <w:jc w:val="both"/>
      </w:pPr>
      <w:r>
        <w:rPr>
          <w:sz w:val="19"/>
          <w:szCs w:val="19"/>
        </w:rPr>
        <w:t>One notable observation during development was the scale of difference in customer counts between Superstore (804) and Global Superstore (4,873) despite both datasets sharing the same category structure (Furniture, Office Supplies, Technology); this reinforced the decision to keep KPIs dataset-specific rather than attempting to average or combine them, since a combined customer count or average order value across the two datasets would not correspond to any real, coherent business entity. Similarly, the complete absence of a date field in Online Sales was a useful reminder, reflected directly in the dashboard's filter design, that “integration” of multiple datasets must mean preserving each source's actual capabilities rather than papering over their differences.</w:t>
      </w:r>
    </w:p>
    <w:p w14:paraId="0237B4D5" w14:textId="77777777" w:rsidR="0001756B" w:rsidRDefault="009F3A69">
      <w:pPr>
        <w:keepNext/>
        <w:spacing w:before="180" w:after="100"/>
      </w:pPr>
      <w:r>
        <w:rPr>
          <w:b/>
          <w:bCs/>
          <w:i/>
          <w:iCs/>
        </w:rPr>
        <w:t>6.6 Interpretation of the Comparative Regression Results</w:t>
      </w:r>
    </w:p>
    <w:p w14:paraId="5E44E2C0" w14:textId="77777777" w:rsidR="005B4370" w:rsidRPr="005B4370" w:rsidRDefault="009F3A69" w:rsidP="005B4370">
      <w:pPr>
        <w:spacing w:after="140" w:line="252" w:lineRule="auto"/>
        <w:jc w:val="both"/>
        <w:rPr>
          <w:sz w:val="19"/>
          <w:szCs w:val="19"/>
        </w:rPr>
      </w:pPr>
      <w:r>
        <w:rPr>
          <w:sz w:val="19"/>
          <w:szCs w:val="19"/>
        </w:rPr>
        <w:t xml:space="preserve">Section 5.13 reports a mixed result rather than a uniform win for the proposed architecture. Consistent with the hybrid-forecasting literature reviewed in Section 2.8 — Mitra et al.'s finding that a hybrid RF-XGBoost-LR model outperformed its individual baseline models on multi-channel retail demand data, and Yüzbaşıoğlu's finding that an ensemble tree-based model outperformed linear regression on fashion-retail sales — the design of HSRE was motivated by the expectation that combining the four baseline learners through a meta-learning stage would match or improve on the best individual baseline. The measured result in Table 7 only partly </w:t>
      </w:r>
      <w:r>
        <w:rPr>
          <w:sz w:val="19"/>
          <w:szCs w:val="19"/>
        </w:rPr>
        <w:lastRenderedPageBreak/>
        <w:t xml:space="preserve">supports this: </w:t>
      </w:r>
      <w:r w:rsidR="005B4370" w:rsidRPr="005B4370">
        <w:rPr>
          <w:sz w:val="19"/>
          <w:szCs w:val="19"/>
        </w:rPr>
        <w:t xml:space="preserve">The measured results provide mixed support for the proposed HSRE architecture. On the Superstore dataset, HSRE outperformed Gradient Boosting on all </w:t>
      </w:r>
      <w:proofErr w:type="gramStart"/>
      <w:r w:rsidR="005B4370" w:rsidRPr="005B4370">
        <w:rPr>
          <w:sz w:val="19"/>
          <w:szCs w:val="19"/>
        </w:rPr>
        <w:t>three evaluation</w:t>
      </w:r>
      <w:proofErr w:type="gramEnd"/>
      <w:r w:rsidR="005B4370" w:rsidRPr="005B4370">
        <w:rPr>
          <w:sz w:val="19"/>
          <w:szCs w:val="19"/>
        </w:rPr>
        <w:t xml:space="preserve"> metrics and achieved better R² and RMSE than Decision Tree. It also achieved a lower MAE than Linear Regression. However, Decision Tree achieved a lower MAE than HSRE, while Linear Regression achieved a higher R² and lower RMSE. Random Forest also outperformed HSRE on all three metrics. These findings indicate that stacking did not consistently improve prediction performance on this dataset.</w:t>
      </w:r>
    </w:p>
    <w:p w14:paraId="42D0A4BC" w14:textId="13BBB5FF" w:rsidR="0001756B" w:rsidRDefault="009F3A69">
      <w:pPr>
        <w:spacing w:after="140" w:line="252" w:lineRule="auto"/>
        <w:jc w:val="both"/>
      </w:pPr>
      <w:r>
        <w:rPr>
          <w:sz w:val="19"/>
          <w:szCs w:val="19"/>
        </w:rPr>
        <w:t>A plausible explanation is that both R² values are low in absolute terms across all five models (0.12–0.30), which indicates that the available features explain only a modest share of the variation in Sales for this dataset; under this kind of high residual variance, a meta-learner trained on the base models' predictions has comparatively little genuine signal to arbitrate between, and can end up averaging toward the weaker base learners (Decision Tree and Gradient Boosting, both with R² below 0.13) rather than isolating the stronger ones (Linear Regression and Random Forest). This is consistent with the stacking literature's general caveat that a meta-learner's benefit depends on the base learners being both reasonably accurate and usefully diverse [38], [39]; here, the two tree-based boosting/single-tree models' weaker, correlated errors may have diluted rather than complemented the stronger linear and forest predictions. This result does not invalidate the comparative framework itself: it shows, on this dataset, that a simple linear baseline and a single ensemble baseline (Random Forest) were each better suited to the available features than the specific four-model stack evaluated, which is a legitimate and reportable outcome of the comparison rather than a flaw in the evaluation protocol of Section 3.11.4.</w:t>
      </w:r>
    </w:p>
    <w:p w14:paraId="667C41FC" w14:textId="77777777" w:rsidR="005C6B47" w:rsidRDefault="00B31150">
      <w:pPr>
        <w:keepNext/>
        <w:spacing w:before="260" w:after="120"/>
      </w:pPr>
      <w:r>
        <w:rPr>
          <w:b/>
          <w:bCs/>
          <w:color w:val="1F3864"/>
          <w:sz w:val="21"/>
          <w:szCs w:val="21"/>
        </w:rPr>
        <w:t>7. LIMITATIONS</w:t>
      </w:r>
    </w:p>
    <w:p w14:paraId="594C932B" w14:textId="77777777" w:rsidR="0001756B" w:rsidRDefault="009F3A69">
      <w:pPr>
        <w:pStyle w:val="ListParagraph"/>
        <w:numPr>
          <w:ilvl w:val="0"/>
          <w:numId w:val="3"/>
        </w:numPr>
        <w:spacing w:after="110" w:line="250" w:lineRule="auto"/>
        <w:jc w:val="both"/>
      </w:pPr>
      <w:r>
        <w:rPr>
          <w:sz w:val="19"/>
          <w:szCs w:val="19"/>
        </w:rPr>
        <w:t>The dashboard's Finding → Meaning → Decision → Recommendation narratives remain descriptive and rule-based; they are generated from aggregation logic, not from the predictive component, and should be read as decision-support prompts rather than statistically validated conclusions.</w:t>
      </w:r>
    </w:p>
    <w:p w14:paraId="69B6AE69" w14:textId="77777777" w:rsidR="0001756B" w:rsidRDefault="009F3A69">
      <w:pPr>
        <w:pStyle w:val="ListParagraph"/>
        <w:numPr>
          <w:ilvl w:val="0"/>
          <w:numId w:val="3"/>
        </w:numPr>
        <w:spacing w:after="110" w:line="250" w:lineRule="auto"/>
        <w:jc w:val="both"/>
      </w:pPr>
      <w:r>
        <w:rPr>
          <w:sz w:val="19"/>
          <w:szCs w:val="19"/>
        </w:rPr>
        <w:t>The baseline and HSRE regression models are trained and evaluated on historical data from the same four datasets used for descriptive analytics; the system does not yet support real-time retraining, and predictions should not be read as valid beyond the range and distribution of the historical data each model was trained on.</w:t>
      </w:r>
    </w:p>
    <w:p w14:paraId="204DF186" w14:textId="77777777" w:rsidR="0001756B" w:rsidRDefault="009F3A69">
      <w:pPr>
        <w:pStyle w:val="ListParagraph"/>
        <w:numPr>
          <w:ilvl w:val="0"/>
          <w:numId w:val="3"/>
        </w:numPr>
        <w:spacing w:after="110" w:line="250" w:lineRule="auto"/>
        <w:jc w:val="both"/>
      </w:pPr>
      <w:r>
        <w:rPr>
          <w:sz w:val="19"/>
          <w:szCs w:val="19"/>
        </w:rPr>
        <w:t>The HSRE meta-learner adds training complexity and reduces interpretability relative to any single baseline model, and, as reported in Section 5.13, this added complexity did not translate into improved R² or RMSE over Linear Regression or Random Forest on the evaluated dataset; stacking's benefit is therefore not a guaranteed property of the architecture and depends on the accuracy and diversity of the specific base learners combined.</w:t>
      </w:r>
    </w:p>
    <w:p w14:paraId="6937736D" w14:textId="77777777" w:rsidR="0001756B" w:rsidRDefault="009F3A69">
      <w:pPr>
        <w:pStyle w:val="ListParagraph"/>
        <w:numPr>
          <w:ilvl w:val="0"/>
          <w:numId w:val="3"/>
        </w:numPr>
        <w:spacing w:after="110" w:line="250" w:lineRule="auto"/>
        <w:jc w:val="both"/>
      </w:pPr>
      <w:r>
        <w:rPr>
          <w:sz w:val="19"/>
          <w:szCs w:val="19"/>
        </w:rPr>
        <w:t>All five R² values reported in Table 7 are modest (0.12–0.30), indicating that the current feature set explains only a limited share of the variation in Sales; this bounds how much any regression model, baseline or hybrid, can be expected to predict accurately until richer predictive features are engineered.</w:t>
      </w:r>
    </w:p>
    <w:p w14:paraId="0F53FCF5" w14:textId="77777777" w:rsidR="0001756B" w:rsidRDefault="009F3A69">
      <w:pPr>
        <w:pStyle w:val="ListParagraph"/>
        <w:numPr>
          <w:ilvl w:val="0"/>
          <w:numId w:val="3"/>
        </w:numPr>
        <w:spacing w:after="110" w:line="250" w:lineRule="auto"/>
        <w:jc w:val="both"/>
      </w:pPr>
      <w:r>
        <w:rPr>
          <w:sz w:val="19"/>
          <w:szCs w:val="19"/>
        </w:rPr>
        <w:t>Because the four datasets differ in available fields, the predictive feature set, and therefore the fairness of any cross-dataset comparison of RMSE, MAE, or R², is limited; the results in Table 7 are reported for one dataset's evaluation and should not be assumed to generalise unchanged to the other three.</w:t>
      </w:r>
    </w:p>
    <w:p w14:paraId="34C87D93" w14:textId="77777777" w:rsidR="005C6B47" w:rsidRDefault="00B31150">
      <w:pPr>
        <w:pStyle w:val="ListParagraph"/>
        <w:numPr>
          <w:ilvl w:val="0"/>
          <w:numId w:val="3"/>
        </w:numPr>
        <w:spacing w:after="110" w:line="250" w:lineRule="auto"/>
        <w:jc w:val="both"/>
      </w:pPr>
      <w:r>
        <w:rPr>
          <w:sz w:val="19"/>
          <w:szCs w:val="19"/>
        </w:rPr>
        <w:t>Datasets are analysed independently rather than merged, which avoids fabricating a common schema but prevents direct, single-view comparison across datasets.</w:t>
      </w:r>
    </w:p>
    <w:p w14:paraId="0A863DE2" w14:textId="77777777" w:rsidR="005C6B47" w:rsidRDefault="00B31150">
      <w:pPr>
        <w:pStyle w:val="ListParagraph"/>
        <w:numPr>
          <w:ilvl w:val="0"/>
          <w:numId w:val="3"/>
        </w:numPr>
        <w:spacing w:after="110" w:line="250" w:lineRule="auto"/>
        <w:jc w:val="both"/>
      </w:pPr>
      <w:r>
        <w:rPr>
          <w:sz w:val="19"/>
          <w:szCs w:val="19"/>
        </w:rPr>
        <w:t>Certain KPIs and dimensions (for example, Total Customers and Year for Online Sales) are not available for every dataset, which is handled transparently but does limit the depth of analysis achievable for those sources.</w:t>
      </w:r>
    </w:p>
    <w:p w14:paraId="5B00B388" w14:textId="77777777" w:rsidR="005C6B47" w:rsidRDefault="00B31150">
      <w:pPr>
        <w:pStyle w:val="ListParagraph"/>
        <w:numPr>
          <w:ilvl w:val="0"/>
          <w:numId w:val="3"/>
        </w:numPr>
        <w:spacing w:after="110" w:line="250" w:lineRule="auto"/>
        <w:jc w:val="both"/>
      </w:pPr>
      <w:r>
        <w:rPr>
          <w:sz w:val="19"/>
          <w:szCs w:val="19"/>
        </w:rPr>
        <w:t>The Finding → Meaning → Decision → Recommendation narratives are generated from descriptive aggregation logic rather than from statistical significance testing, so they should be treated as decision-support prompts rather than statistically validated conclusions.</w:t>
      </w:r>
    </w:p>
    <w:p w14:paraId="44F45D98" w14:textId="77777777" w:rsidR="005C6B47" w:rsidRDefault="00B31150">
      <w:pPr>
        <w:pStyle w:val="ListParagraph"/>
        <w:numPr>
          <w:ilvl w:val="0"/>
          <w:numId w:val="3"/>
        </w:numPr>
        <w:spacing w:after="110" w:line="250" w:lineRule="auto"/>
        <w:jc w:val="both"/>
      </w:pPr>
      <w:r>
        <w:rPr>
          <w:sz w:val="19"/>
          <w:szCs w:val="19"/>
        </w:rPr>
        <w:t>The dashboard was evaluated through manual verification of KPI correctness and filter behaviour rather than through a formal user study, so its usability benefits for real business decision-makers have not yet been empirically measured.</w:t>
      </w:r>
    </w:p>
    <w:p w14:paraId="02497629" w14:textId="04F7E7E5" w:rsidR="00224FBD" w:rsidRDefault="00AC3546" w:rsidP="00D26C39">
      <w:pPr>
        <w:pStyle w:val="ListParagraph"/>
        <w:keepNext/>
        <w:spacing w:before="260" w:after="120"/>
        <w:ind w:left="450"/>
      </w:pPr>
      <w:r>
        <w:rPr>
          <w:b/>
          <w:bCs/>
          <w:color w:val="1F3864"/>
          <w:sz w:val="21"/>
          <w:szCs w:val="21"/>
        </w:rPr>
        <w:t>8.</w:t>
      </w:r>
      <w:r w:rsidR="00B31150" w:rsidRPr="00224FBD">
        <w:rPr>
          <w:b/>
          <w:bCs/>
          <w:color w:val="1F3864"/>
          <w:sz w:val="21"/>
          <w:szCs w:val="21"/>
        </w:rPr>
        <w:t>CONCLUSION AND FUTURE WORK</w:t>
      </w:r>
    </w:p>
    <w:p w14:paraId="43ECEAA3" w14:textId="3CB1D8B8" w:rsidR="00224FBD" w:rsidRPr="00224FBD" w:rsidRDefault="00224FBD" w:rsidP="00224FBD">
      <w:pPr>
        <w:keepNext/>
        <w:spacing w:before="260" w:after="120"/>
        <w:ind w:left="180"/>
      </w:pPr>
      <w:r w:rsidRPr="00224FBD">
        <w:rPr>
          <w:b/>
          <w:bCs/>
          <w:sz w:val="19"/>
          <w:szCs w:val="19"/>
        </w:rPr>
        <w:sym w:font="Wingdings" w:char="F0E0"/>
      </w:r>
      <w:r w:rsidRPr="00224FBD">
        <w:rPr>
          <w:b/>
          <w:bCs/>
          <w:sz w:val="19"/>
          <w:szCs w:val="19"/>
        </w:rPr>
        <w:t>Conclusion</w:t>
      </w:r>
    </w:p>
    <w:p w14:paraId="72F23CFD" w14:textId="77777777" w:rsidR="00224FBD" w:rsidRPr="00224FBD" w:rsidRDefault="00224FBD" w:rsidP="00224FBD">
      <w:pPr>
        <w:keepNext/>
        <w:spacing w:before="260" w:after="100"/>
        <w:rPr>
          <w:sz w:val="19"/>
          <w:szCs w:val="19"/>
        </w:rPr>
      </w:pPr>
      <w:r w:rsidRPr="00224FBD">
        <w:rPr>
          <w:sz w:val="19"/>
          <w:szCs w:val="19"/>
        </w:rPr>
        <w:t xml:space="preserve">This work presented a web-based interactive analytics and data storytelling platform for </w:t>
      </w:r>
      <w:proofErr w:type="spellStart"/>
      <w:r w:rsidRPr="00224FBD">
        <w:rPr>
          <w:sz w:val="19"/>
          <w:szCs w:val="19"/>
        </w:rPr>
        <w:t>analyzing</w:t>
      </w:r>
      <w:proofErr w:type="spellEnd"/>
      <w:r w:rsidRPr="00224FBD">
        <w:rPr>
          <w:sz w:val="19"/>
          <w:szCs w:val="19"/>
        </w:rPr>
        <w:t xml:space="preserve"> heterogeneous sales datasets. Four sales datasets were integrated through dataset-aware preprocessing, schema normalization, feature engineering, KPI analysis, interactive visualization, and dynamic Finding–Meaning–Decision–Recommendation storytelling.</w:t>
      </w:r>
    </w:p>
    <w:p w14:paraId="521AA494" w14:textId="77777777" w:rsidR="00224FBD" w:rsidRPr="00224FBD" w:rsidRDefault="00224FBD" w:rsidP="00224FBD">
      <w:pPr>
        <w:keepNext/>
        <w:spacing w:before="260" w:after="100"/>
        <w:rPr>
          <w:sz w:val="19"/>
          <w:szCs w:val="19"/>
        </w:rPr>
      </w:pPr>
      <w:r w:rsidRPr="00224FBD">
        <w:rPr>
          <w:sz w:val="19"/>
          <w:szCs w:val="19"/>
        </w:rPr>
        <w:t xml:space="preserve">The predictive component evaluated four literature-based regression models—Linear Regression, Decision Tree, Random Forest, and Gradient Boosting—along with the proposed Hybrid Stacked Regression Ensemble (HSRE). The models were compared using </w:t>
      </w:r>
      <w:r w:rsidRPr="00224FBD">
        <w:rPr>
          <w:sz w:val="19"/>
          <w:szCs w:val="19"/>
        </w:rPr>
        <w:lastRenderedPageBreak/>
        <w:t>R², MAE, and RMSE under a common evaluation procedure. The results showed that model performance varied across datasets. Linear Regression performed best on the Superstore Dataset, Gradient Boosting performed best on the Global Superstore Dataset, while HSRE achieved the strongest R² and lowest RMSE on the Online Sales and Supermarket datasets.</w:t>
      </w:r>
    </w:p>
    <w:p w14:paraId="6328A68B" w14:textId="77777777" w:rsidR="00224FBD" w:rsidRDefault="00224FBD" w:rsidP="00224FBD">
      <w:pPr>
        <w:keepNext/>
        <w:spacing w:before="260" w:after="100"/>
        <w:rPr>
          <w:sz w:val="19"/>
          <w:szCs w:val="19"/>
        </w:rPr>
      </w:pPr>
      <w:r w:rsidRPr="00224FBD">
        <w:rPr>
          <w:sz w:val="19"/>
          <w:szCs w:val="19"/>
        </w:rPr>
        <w:t xml:space="preserve">Overall, the proposed system demonstrates how interactive analytics, data storytelling, and comparative predictive </w:t>
      </w:r>
      <w:proofErr w:type="spellStart"/>
      <w:r w:rsidRPr="00224FBD">
        <w:rPr>
          <w:sz w:val="19"/>
          <w:szCs w:val="19"/>
        </w:rPr>
        <w:t>modeling</w:t>
      </w:r>
      <w:proofErr w:type="spellEnd"/>
      <w:r w:rsidRPr="00224FBD">
        <w:rPr>
          <w:sz w:val="19"/>
          <w:szCs w:val="19"/>
        </w:rPr>
        <w:t xml:space="preserve"> can be combined to support more informed and dataset-specific decision making.</w:t>
      </w:r>
    </w:p>
    <w:p w14:paraId="15F33F64" w14:textId="677E3B5F" w:rsidR="00EB6C1B" w:rsidRPr="00EB6C1B" w:rsidRDefault="00EB6C1B" w:rsidP="00EB6C1B">
      <w:pPr>
        <w:keepNext/>
        <w:spacing w:before="260" w:after="100"/>
        <w:rPr>
          <w:sz w:val="19"/>
          <w:szCs w:val="19"/>
        </w:rPr>
      </w:pPr>
      <w:r w:rsidRPr="00EB6C1B">
        <w:rPr>
          <w:sz w:val="19"/>
          <w:szCs w:val="19"/>
        </w:rPr>
        <w:sym w:font="Wingdings" w:char="F0E0"/>
      </w:r>
      <w:r w:rsidRPr="00EB6C1B">
        <w:rPr>
          <w:sz w:val="19"/>
          <w:szCs w:val="19"/>
        </w:rPr>
        <w:t>Future Scope</w:t>
      </w:r>
    </w:p>
    <w:p w14:paraId="647FA5D0" w14:textId="6E432ED9" w:rsidR="00EB6C1B" w:rsidRPr="00EB6C1B" w:rsidRDefault="00EB6C1B" w:rsidP="00EB6C1B">
      <w:pPr>
        <w:keepNext/>
        <w:spacing w:before="260" w:after="100"/>
        <w:rPr>
          <w:sz w:val="19"/>
          <w:szCs w:val="19"/>
        </w:rPr>
      </w:pPr>
      <w:r w:rsidRPr="00EB6C1B">
        <w:rPr>
          <w:sz w:val="19"/>
          <w:szCs w:val="19"/>
        </w:rPr>
        <w:t>The proposed system can be further enhanced in several directions. Future work can extend the platform with real-time or continuously updated sales data so that trends, anomalies, and business performance can be monitored dynamically. The predictive component can also be improved by evaluating additional machine learning and deep learning models and by applying systematic hyperparameter optimization and cross-validation.</w:t>
      </w:r>
    </w:p>
    <w:p w14:paraId="477C2A11" w14:textId="7AF62F4E" w:rsidR="00EB6C1B" w:rsidRPr="00EB6C1B" w:rsidRDefault="00EB6C1B" w:rsidP="00EB6C1B">
      <w:pPr>
        <w:keepNext/>
        <w:spacing w:before="260" w:after="100"/>
        <w:rPr>
          <w:sz w:val="19"/>
          <w:szCs w:val="19"/>
        </w:rPr>
      </w:pPr>
      <w:r w:rsidRPr="00EB6C1B">
        <w:rPr>
          <w:sz w:val="19"/>
          <w:szCs w:val="19"/>
        </w:rPr>
        <w:t>The proposed HSRE architecture can be further investigated by experimenting with different base learners and meta-learners to determine whether model diversity can improve predictive performance across different datasets. Future versions can also incorporate automated model selection and retraining based on changes in dataset characteristics.</w:t>
      </w:r>
    </w:p>
    <w:p w14:paraId="59F7F6BF" w14:textId="631B9292" w:rsidR="00EB6C1B" w:rsidRPr="00EB6C1B" w:rsidRDefault="00EB6C1B" w:rsidP="00EB6C1B">
      <w:pPr>
        <w:keepNext/>
        <w:spacing w:before="260" w:after="100"/>
        <w:rPr>
          <w:sz w:val="19"/>
          <w:szCs w:val="19"/>
        </w:rPr>
      </w:pPr>
      <w:r w:rsidRPr="00EB6C1B">
        <w:rPr>
          <w:sz w:val="19"/>
          <w:szCs w:val="19"/>
        </w:rPr>
        <w:t>The data storytelling component can be extended with more advanced natural-language generation to automatically produce context-aware business explanations and recommendations. Explainable AI techniques can also be integrated to provide users with clearer explanations of why a model produces a particular prediction.</w:t>
      </w:r>
    </w:p>
    <w:p w14:paraId="65632AD8" w14:textId="18C1D714" w:rsidR="00EB6C1B" w:rsidRDefault="00EB6C1B" w:rsidP="00EB6C1B">
      <w:pPr>
        <w:keepNext/>
        <w:spacing w:before="260" w:after="100"/>
        <w:rPr>
          <w:sz w:val="19"/>
          <w:szCs w:val="19"/>
        </w:rPr>
      </w:pPr>
      <w:r w:rsidRPr="00EB6C1B">
        <w:rPr>
          <w:sz w:val="19"/>
          <w:szCs w:val="19"/>
        </w:rPr>
        <w:t>In addition, future versions can incorporate automated data drift and model reliability monitoring, anomaly detection, and alerts for significant changes in incoming data. Deployment on cloud infrastructure and integration with enterprise data sources could further improve scalability and enable the system to support larger and continuously changing datasets.</w:t>
      </w:r>
    </w:p>
    <w:p w14:paraId="7F64B8D6" w14:textId="77777777" w:rsidR="00224FBD" w:rsidRPr="00224FBD" w:rsidRDefault="00224FBD" w:rsidP="00224FBD">
      <w:pPr>
        <w:keepNext/>
        <w:spacing w:before="260" w:after="100"/>
        <w:rPr>
          <w:sz w:val="19"/>
          <w:szCs w:val="19"/>
        </w:rPr>
      </w:pPr>
    </w:p>
    <w:p w14:paraId="446F18FE" w14:textId="77777777" w:rsidR="005C6B47" w:rsidRDefault="00B31150">
      <w:pPr>
        <w:keepNext/>
        <w:spacing w:before="260" w:after="100"/>
      </w:pPr>
      <w:r>
        <w:rPr>
          <w:b/>
          <w:bCs/>
          <w:color w:val="1F3864"/>
        </w:rPr>
        <w:t>DECLARATIONS</w:t>
      </w:r>
    </w:p>
    <w:p w14:paraId="751E8E8E" w14:textId="77777777" w:rsidR="005C6B47" w:rsidRDefault="00B31150">
      <w:pPr>
        <w:keepNext/>
        <w:spacing w:before="180" w:after="100"/>
      </w:pPr>
      <w:r>
        <w:rPr>
          <w:b/>
          <w:bCs/>
          <w:i/>
          <w:iCs/>
        </w:rPr>
        <w:t>Funding</w:t>
      </w:r>
    </w:p>
    <w:p w14:paraId="304FC5F6" w14:textId="77777777" w:rsidR="005C6B47" w:rsidRDefault="00B31150">
      <w:pPr>
        <w:spacing w:after="140" w:line="252" w:lineRule="auto"/>
        <w:jc w:val="both"/>
      </w:pPr>
      <w:r>
        <w:rPr>
          <w:sz w:val="19"/>
          <w:szCs w:val="19"/>
        </w:rPr>
        <w:t>This project received no external or institutional funding.</w:t>
      </w:r>
    </w:p>
    <w:p w14:paraId="7F6A4940" w14:textId="77777777" w:rsidR="005C6B47" w:rsidRDefault="00B31150">
      <w:pPr>
        <w:keepNext/>
        <w:spacing w:before="180" w:after="100"/>
      </w:pPr>
      <w:r>
        <w:rPr>
          <w:b/>
          <w:bCs/>
          <w:i/>
          <w:iCs/>
        </w:rPr>
        <w:t>Conflict of Interest</w:t>
      </w:r>
    </w:p>
    <w:p w14:paraId="2B89291E" w14:textId="77777777" w:rsidR="005C6B47" w:rsidRDefault="00B31150">
      <w:pPr>
        <w:spacing w:after="140" w:line="252" w:lineRule="auto"/>
        <w:jc w:val="both"/>
      </w:pPr>
      <w:r>
        <w:rPr>
          <w:sz w:val="19"/>
          <w:szCs w:val="19"/>
        </w:rPr>
        <w:t>The authors declare no conflict of interest.</w:t>
      </w:r>
    </w:p>
    <w:p w14:paraId="47FB29F5" w14:textId="77777777" w:rsidR="005C6B47" w:rsidRDefault="00B31150">
      <w:pPr>
        <w:keepNext/>
        <w:spacing w:before="180" w:after="100"/>
      </w:pPr>
      <w:r>
        <w:rPr>
          <w:b/>
          <w:bCs/>
          <w:i/>
          <w:iCs/>
        </w:rPr>
        <w:t>Ethics Statement</w:t>
      </w:r>
    </w:p>
    <w:p w14:paraId="09856F7A" w14:textId="77777777" w:rsidR="005C6B47" w:rsidRDefault="00B31150">
      <w:pPr>
        <w:spacing w:after="140" w:line="252" w:lineRule="auto"/>
        <w:jc w:val="both"/>
      </w:pPr>
      <w:r>
        <w:rPr>
          <w:sz w:val="19"/>
          <w:szCs w:val="19"/>
        </w:rPr>
        <w:t>This project uses publicly available, de-identified retail sales datasets (Superstore, Global Superstore, Online Sales, and a Supermarket dataset) that contain no personally identifiable customer information beyond anonymised identifiers. No human subjects research was conducted.</w:t>
      </w:r>
    </w:p>
    <w:p w14:paraId="5F125C22" w14:textId="77777777" w:rsidR="005C6B47" w:rsidRDefault="00B31150">
      <w:pPr>
        <w:keepNext/>
        <w:spacing w:before="180" w:after="100"/>
      </w:pPr>
      <w:r>
        <w:rPr>
          <w:b/>
          <w:bCs/>
          <w:i/>
          <w:iCs/>
        </w:rPr>
        <w:t>Data Availability</w:t>
      </w:r>
    </w:p>
    <w:p w14:paraId="5E6562C2" w14:textId="77777777" w:rsidR="005C6B47" w:rsidRDefault="00B31150">
      <w:pPr>
        <w:spacing w:after="140" w:line="252" w:lineRule="auto"/>
        <w:jc w:val="both"/>
      </w:pPr>
      <w:r>
        <w:rPr>
          <w:sz w:val="19"/>
          <w:szCs w:val="19"/>
        </w:rPr>
        <w:t>The datasets used in this project (Superstore, Global Superstore, Online Sales, and Supermarket) are publicly available sample retail datasets commonly used for analytics coursework and can be made available on request.</w:t>
      </w:r>
    </w:p>
    <w:p w14:paraId="728AA795" w14:textId="77777777" w:rsidR="005C6B47" w:rsidRDefault="00B31150">
      <w:pPr>
        <w:keepNext/>
        <w:spacing w:before="180" w:after="100"/>
      </w:pPr>
      <w:r>
        <w:rPr>
          <w:b/>
          <w:bCs/>
          <w:i/>
          <w:iCs/>
        </w:rPr>
        <w:t>Author Contributions</w:t>
      </w:r>
    </w:p>
    <w:p w14:paraId="75B8FE5D" w14:textId="77777777" w:rsidR="00C11AD4" w:rsidRPr="00C11AD4" w:rsidRDefault="00C11AD4" w:rsidP="00C11AD4">
      <w:pPr>
        <w:keepNext/>
        <w:spacing w:before="260" w:after="100"/>
        <w:rPr>
          <w:sz w:val="19"/>
          <w:szCs w:val="19"/>
        </w:rPr>
      </w:pPr>
      <w:proofErr w:type="spellStart"/>
      <w:r w:rsidRPr="00C11AD4">
        <w:rPr>
          <w:sz w:val="19"/>
          <w:szCs w:val="19"/>
        </w:rPr>
        <w:t>Rathanala</w:t>
      </w:r>
      <w:proofErr w:type="spellEnd"/>
      <w:r w:rsidRPr="00C11AD4">
        <w:rPr>
          <w:sz w:val="19"/>
          <w:szCs w:val="19"/>
        </w:rPr>
        <w:t xml:space="preserve"> Sai Charan contributed to system design, backend implementation, and data preprocessing. Sambu Sai Rishik contributed to dashboard frontend development and visualization design. Dasari Sujay contributed to data storytelling and decision analytics. K Sai Teja contributed to testing, validation, and manuscript preparation. All authors reviewed and approved the final manuscript.</w:t>
      </w:r>
    </w:p>
    <w:p w14:paraId="17507714" w14:textId="77777777" w:rsidR="005C6B47" w:rsidRDefault="00B31150">
      <w:pPr>
        <w:keepNext/>
        <w:spacing w:before="260" w:after="100"/>
      </w:pPr>
      <w:r>
        <w:rPr>
          <w:b/>
          <w:bCs/>
          <w:color w:val="1F3864"/>
        </w:rPr>
        <w:t>ACKNOWLEDGEMENTS</w:t>
      </w:r>
    </w:p>
    <w:p w14:paraId="04F4FCF5" w14:textId="77777777" w:rsidR="005C6B47" w:rsidRDefault="00B31150">
      <w:pPr>
        <w:spacing w:after="140" w:line="252" w:lineRule="auto"/>
        <w:jc w:val="both"/>
      </w:pPr>
      <w:r>
        <w:rPr>
          <w:sz w:val="19"/>
          <w:szCs w:val="19"/>
        </w:rPr>
        <w:t>The authors thank their course instructor and department for guidance and feedback throughout the development of this project.</w:t>
      </w:r>
    </w:p>
    <w:p w14:paraId="761513B3" w14:textId="77777777" w:rsidR="00E42AC9" w:rsidRDefault="00E42AC9">
      <w:pPr>
        <w:keepNext/>
        <w:spacing w:before="260" w:after="100"/>
        <w:rPr>
          <w:b/>
          <w:bCs/>
          <w:color w:val="1F3864"/>
        </w:rPr>
      </w:pPr>
    </w:p>
    <w:p w14:paraId="4598E971" w14:textId="1DC6FE43" w:rsidR="005C6B47" w:rsidRDefault="00B31150">
      <w:pPr>
        <w:keepNext/>
        <w:spacing w:before="260" w:after="100"/>
      </w:pPr>
      <w:r>
        <w:rPr>
          <w:b/>
          <w:bCs/>
          <w:color w:val="1F3864"/>
        </w:rPr>
        <w:t>REFERENCES</w:t>
      </w:r>
    </w:p>
    <w:p w14:paraId="164074DC" w14:textId="77777777" w:rsidR="005C6B47" w:rsidRDefault="00B31150">
      <w:pPr>
        <w:spacing w:after="120" w:line="252" w:lineRule="auto"/>
      </w:pPr>
      <w:r>
        <w:rPr>
          <w:sz w:val="19"/>
          <w:szCs w:val="19"/>
        </w:rPr>
        <w:t>[1] E. Segel and J. Heer, “Narrative Visualization: Telling Stories with Data,” IEEE Trans. Vis. Comput. Graph., vol. 16, no. 6, pp. 1139–1148, 2010.</w:t>
      </w:r>
    </w:p>
    <w:p w14:paraId="41CFE979" w14:textId="77777777" w:rsidR="005C6B47" w:rsidRDefault="00B31150">
      <w:pPr>
        <w:spacing w:after="120" w:line="252" w:lineRule="auto"/>
      </w:pPr>
      <w:r>
        <w:rPr>
          <w:sz w:val="19"/>
          <w:szCs w:val="19"/>
        </w:rPr>
        <w:t>[2] R. Kosara and J. D. Mackinlay, “Storytelling: The Next Step for Visualization,” IEEE Computer, vol. 46, no. 5, pp. 44–50, 2013.</w:t>
      </w:r>
    </w:p>
    <w:p w14:paraId="603CA0B8" w14:textId="77777777" w:rsidR="005C6B47" w:rsidRDefault="00B31150">
      <w:pPr>
        <w:spacing w:after="120" w:line="252" w:lineRule="auto"/>
      </w:pPr>
      <w:r>
        <w:rPr>
          <w:sz w:val="19"/>
          <w:szCs w:val="19"/>
        </w:rPr>
        <w:t xml:space="preserve">[3] A. Sarikaya, M. Correll, L. Bartram, M. Tory, and D. Fisher, “What Do We Talk About When We Talk About </w:t>
      </w:r>
      <w:proofErr w:type="gramStart"/>
      <w:r>
        <w:rPr>
          <w:sz w:val="19"/>
          <w:szCs w:val="19"/>
        </w:rPr>
        <w:t>Dashboards?,</w:t>
      </w:r>
      <w:proofErr w:type="gramEnd"/>
      <w:r>
        <w:rPr>
          <w:sz w:val="19"/>
          <w:szCs w:val="19"/>
        </w:rPr>
        <w:t>” IEEE Trans. Vis. Comput. Graph., vol. 25, no. 1, pp. 682–692, 2019.</w:t>
      </w:r>
    </w:p>
    <w:p w14:paraId="10EEA3EA" w14:textId="77777777" w:rsidR="005C6B47" w:rsidRDefault="00B31150">
      <w:pPr>
        <w:spacing w:after="120" w:line="252" w:lineRule="auto"/>
      </w:pPr>
      <w:r>
        <w:rPr>
          <w:sz w:val="19"/>
          <w:szCs w:val="19"/>
        </w:rPr>
        <w:t>[4] H. Chen, R. H. L. Chiang, and V. C. Storey, “Business Intelligence and Analytics: From Big Data to Big Impact,” MIS Quarterly, vol. 36, no. 4, pp. 1165–1188, 2012.</w:t>
      </w:r>
    </w:p>
    <w:p w14:paraId="2E12FF28" w14:textId="77777777" w:rsidR="005C6B47" w:rsidRDefault="00B31150">
      <w:pPr>
        <w:spacing w:after="120" w:line="252" w:lineRule="auto"/>
      </w:pPr>
      <w:r>
        <w:rPr>
          <w:sz w:val="19"/>
          <w:szCs w:val="19"/>
        </w:rPr>
        <w:t>[5] D. A. Keim, G. Andrienko, J.-D. Fekete, C. Görg, J. Kohlhammer, and G. Melançon, “Visual Analytics: Definition, Process, and Challenges,” in Information Visualization, Lecture Notes in Computer Science, vol. 4950, Berlin, Germany: Springer, 2008, pp. 154–175.</w:t>
      </w:r>
    </w:p>
    <w:p w14:paraId="29D36F62" w14:textId="77777777" w:rsidR="005C6B47" w:rsidRDefault="00B31150">
      <w:pPr>
        <w:spacing w:after="120" w:line="252" w:lineRule="auto"/>
      </w:pPr>
      <w:r>
        <w:rPr>
          <w:sz w:val="19"/>
          <w:szCs w:val="19"/>
        </w:rPr>
        <w:t>[6] B. Shneiderman, “The Eyes Have It: A Task by Data Type Taxonomy for Information Visualizations,” in Proc. IEEE Symp. Visual Languages, 1996, pp. 336–343.</w:t>
      </w:r>
    </w:p>
    <w:p w14:paraId="2F64D1E1" w14:textId="77777777" w:rsidR="005C6B47" w:rsidRDefault="00B31150">
      <w:pPr>
        <w:spacing w:after="120" w:line="252" w:lineRule="auto"/>
      </w:pPr>
      <w:r>
        <w:rPr>
          <w:sz w:val="19"/>
          <w:szCs w:val="19"/>
        </w:rPr>
        <w:t>[7] S. Few, Information Dashboard Design: Displaying Data for At-a-Glance Monitoring, 2nd ed. Burlingame, CA: Analytics Press, 2013.</w:t>
      </w:r>
    </w:p>
    <w:p w14:paraId="49D45EF5" w14:textId="77777777" w:rsidR="005C6B47" w:rsidRDefault="00B31150">
      <w:pPr>
        <w:spacing w:after="120" w:line="252" w:lineRule="auto"/>
      </w:pPr>
      <w:r>
        <w:rPr>
          <w:sz w:val="19"/>
          <w:szCs w:val="19"/>
        </w:rPr>
        <w:t>[8] C. N. Knaflic, Storytelling with Data: A Data Visualization Guide for Business Professionals. Hoboken, NJ: Wiley, 2015.</w:t>
      </w:r>
    </w:p>
    <w:p w14:paraId="734BBC03" w14:textId="77777777" w:rsidR="005C6B47" w:rsidRDefault="00B31150">
      <w:pPr>
        <w:spacing w:after="120" w:line="252" w:lineRule="auto"/>
      </w:pPr>
      <w:r>
        <w:rPr>
          <w:sz w:val="19"/>
          <w:szCs w:val="19"/>
        </w:rPr>
        <w:t>[9] B. Bach et al., “Dashboard Design Patterns,” IEEE Trans. Vis. Comput. Graph., 2022.</w:t>
      </w:r>
    </w:p>
    <w:p w14:paraId="3B78A538" w14:textId="77777777" w:rsidR="005C6B47" w:rsidRDefault="00B31150">
      <w:pPr>
        <w:spacing w:after="120" w:line="252" w:lineRule="auto"/>
      </w:pPr>
      <w:r>
        <w:rPr>
          <w:sz w:val="19"/>
          <w:szCs w:val="19"/>
        </w:rPr>
        <w:t>[10] D. J. Power, “A Brief History of Decision Support Systems,” DSSResources.com, version 4.0, 2007.</w:t>
      </w:r>
    </w:p>
    <w:p w14:paraId="1E671F00" w14:textId="77777777" w:rsidR="005C6B47" w:rsidRDefault="00B31150">
      <w:pPr>
        <w:spacing w:after="120" w:line="252" w:lineRule="auto"/>
      </w:pPr>
      <w:r>
        <w:rPr>
          <w:sz w:val="19"/>
          <w:szCs w:val="19"/>
        </w:rPr>
        <w:t>[11] S. Wexler, J. Shaffer, and A. Cotgreave, The Big Book of Dashboards: Visualizing Your Data Using Real-World Business Scenarios. Hoboken, NJ: Wiley, 2017.</w:t>
      </w:r>
    </w:p>
    <w:p w14:paraId="751D0BAD" w14:textId="77777777" w:rsidR="005C6B47" w:rsidRDefault="00B31150">
      <w:pPr>
        <w:spacing w:after="120" w:line="252" w:lineRule="auto"/>
      </w:pPr>
      <w:r>
        <w:rPr>
          <w:sz w:val="19"/>
          <w:szCs w:val="19"/>
        </w:rPr>
        <w:t>[12] E. R. Tufte, The Visual Display of Quantitative Information. Cheshire, CT: Graphics Press, 1983.</w:t>
      </w:r>
    </w:p>
    <w:p w14:paraId="7655F364" w14:textId="77777777" w:rsidR="005C6B47" w:rsidRDefault="00B31150">
      <w:pPr>
        <w:spacing w:after="120" w:line="252" w:lineRule="auto"/>
      </w:pPr>
      <w:r>
        <w:rPr>
          <w:sz w:val="19"/>
          <w:szCs w:val="19"/>
        </w:rPr>
        <w:t>[13] W. S. Cleveland, The Elements of Graphing Data. Monterey, CA: Wadsworth Advanced Books and Software, 1985.</w:t>
      </w:r>
    </w:p>
    <w:p w14:paraId="5A6733CB" w14:textId="77777777" w:rsidR="005C6B47" w:rsidRDefault="00B31150">
      <w:pPr>
        <w:spacing w:after="120" w:line="252" w:lineRule="auto"/>
      </w:pPr>
      <w:r>
        <w:rPr>
          <w:sz w:val="19"/>
          <w:szCs w:val="19"/>
        </w:rPr>
        <w:t>[14] S. K. Card, J. D. Mackinlay, and B. Shneiderman, Eds., Readings in Information Visualization: Using Vision to Think. San Francisco, CA: Morgan Kaufmann, 1999.</w:t>
      </w:r>
    </w:p>
    <w:p w14:paraId="443AE550" w14:textId="77777777" w:rsidR="005C6B47" w:rsidRDefault="00B31150">
      <w:pPr>
        <w:spacing w:after="120" w:line="252" w:lineRule="auto"/>
      </w:pPr>
      <w:r>
        <w:rPr>
          <w:sz w:val="19"/>
          <w:szCs w:val="19"/>
        </w:rPr>
        <w:t>[15] C. Ware, Information Visualization: Perception for Design, 3rd ed. Waltham, MA: Morgan Kaufmann, 2012.</w:t>
      </w:r>
    </w:p>
    <w:p w14:paraId="227BFD7D" w14:textId="77777777" w:rsidR="005C6B47" w:rsidRDefault="00B31150">
      <w:pPr>
        <w:spacing w:after="120" w:line="252" w:lineRule="auto"/>
      </w:pPr>
      <w:r>
        <w:rPr>
          <w:sz w:val="19"/>
          <w:szCs w:val="19"/>
        </w:rPr>
        <w:t>[16] T. Munzner, Visualization Analysis and Design. Boca Raton, FL: CRC Press, 2014.</w:t>
      </w:r>
    </w:p>
    <w:p w14:paraId="09B86C92" w14:textId="77777777" w:rsidR="005C6B47" w:rsidRDefault="00B31150">
      <w:pPr>
        <w:spacing w:after="120" w:line="252" w:lineRule="auto"/>
      </w:pPr>
      <w:r>
        <w:rPr>
          <w:sz w:val="19"/>
          <w:szCs w:val="19"/>
        </w:rPr>
        <w:t>[17] M. Bostock, V. Ogievetsky, and J. Heer, “D3: Data-Driven Documents,” IEEE Trans. Vis. Comput. Graph., vol. 17, no. 12, pp. 2301–2309, 2011.</w:t>
      </w:r>
    </w:p>
    <w:p w14:paraId="0329CD72" w14:textId="77777777" w:rsidR="005C6B47" w:rsidRDefault="00B31150">
      <w:pPr>
        <w:spacing w:after="120" w:line="252" w:lineRule="auto"/>
      </w:pPr>
      <w:r>
        <w:rPr>
          <w:sz w:val="19"/>
          <w:szCs w:val="19"/>
        </w:rPr>
        <w:t>[18] J. Heer, M. Bostock, and V. Ogievetsky, “A Tour Through the Visualization Zoo,” Communications of the ACM, vol. 53, no. 6, pp. 59–67, 2010.</w:t>
      </w:r>
    </w:p>
    <w:p w14:paraId="75BB4EED" w14:textId="77777777" w:rsidR="005C6B47" w:rsidRDefault="00B31150">
      <w:pPr>
        <w:spacing w:after="120" w:line="252" w:lineRule="auto"/>
      </w:pPr>
      <w:r>
        <w:rPr>
          <w:sz w:val="19"/>
          <w:szCs w:val="19"/>
        </w:rPr>
        <w:t>[19] H. Wickham, “A Layered Grammar of Graphics,” Journal of Computational and Graphical Statistics, vol. 19, no. 1, pp. 3–28, 2010.</w:t>
      </w:r>
    </w:p>
    <w:p w14:paraId="2DCFC300" w14:textId="77777777" w:rsidR="005C6B47" w:rsidRDefault="00B31150">
      <w:pPr>
        <w:spacing w:after="120" w:line="252" w:lineRule="auto"/>
      </w:pPr>
      <w:r>
        <w:rPr>
          <w:sz w:val="19"/>
          <w:szCs w:val="19"/>
        </w:rPr>
        <w:t>[20] A. Satyanarayan, D. Moritz, K. Wongsuphasawat, and J. Heer, “Vega-Lite: A Grammar of Interactive Graphics,” IEEE Trans. Vis. Comput. Graph., vol. 23, no. 1, pp. 341–350, 2017.</w:t>
      </w:r>
    </w:p>
    <w:p w14:paraId="241C0D1C" w14:textId="77777777" w:rsidR="0001756B" w:rsidRDefault="009F3A69">
      <w:pPr>
        <w:spacing w:after="120" w:line="252" w:lineRule="auto"/>
      </w:pPr>
      <w:r>
        <w:rPr>
          <w:sz w:val="19"/>
          <w:szCs w:val="19"/>
        </w:rPr>
        <w:t>[21] W. McKinney, “Data Structures for Statistical Computing in Python,” in Proc. 9th Python in Science Conf. (SciPy), 2010, pp. 51–56.</w:t>
      </w:r>
    </w:p>
    <w:p w14:paraId="632FB74C" w14:textId="77777777" w:rsidR="0001756B" w:rsidRDefault="009F3A69">
      <w:pPr>
        <w:spacing w:after="120" w:line="252" w:lineRule="auto"/>
      </w:pPr>
      <w:r>
        <w:rPr>
          <w:sz w:val="19"/>
          <w:szCs w:val="19"/>
        </w:rPr>
        <w:t>[22] S. Negash, “Business Intelligence,” Commun. Assoc. Inf. Syst., vol. 13, Art. 15, 2004.</w:t>
      </w:r>
    </w:p>
    <w:p w14:paraId="3897CD6E" w14:textId="77777777" w:rsidR="0001756B" w:rsidRDefault="009F3A69">
      <w:pPr>
        <w:spacing w:after="120" w:line="252" w:lineRule="auto"/>
      </w:pPr>
      <w:r>
        <w:rPr>
          <w:sz w:val="19"/>
          <w:szCs w:val="19"/>
        </w:rPr>
        <w:t>[23] H. J. Watson, “Business Intelligence: Past, Present, and Future,” Commun. Assoc. Inf. Syst., vol. 25, Art. 39, 2009.</w:t>
      </w:r>
    </w:p>
    <w:p w14:paraId="32B0C13D" w14:textId="77777777" w:rsidR="0001756B" w:rsidRDefault="009F3A69">
      <w:pPr>
        <w:spacing w:after="120" w:line="252" w:lineRule="auto"/>
      </w:pPr>
      <w:r>
        <w:rPr>
          <w:sz w:val="19"/>
          <w:szCs w:val="19"/>
        </w:rPr>
        <w:t>[24] T. H. Davenport, “Competing on Analytics,” Harvard Business Review, vol. 84, no. 1, pp. 98–107, 2006.</w:t>
      </w:r>
    </w:p>
    <w:p w14:paraId="0F0582AF" w14:textId="486D442C" w:rsidR="0001756B" w:rsidRDefault="009F3A69" w:rsidP="008A5481">
      <w:pPr>
        <w:spacing w:after="120" w:line="252" w:lineRule="auto"/>
      </w:pPr>
      <w:r>
        <w:rPr>
          <w:sz w:val="19"/>
          <w:szCs w:val="19"/>
        </w:rPr>
        <w:t xml:space="preserve">[25] E. Turban, R. Sharda, and D. Delen, Business Intelligence and Analytics: Systems for Decision Support, 10th ed. Boston, MA: </w:t>
      </w:r>
    </w:p>
    <w:p w14:paraId="541BD71B" w14:textId="71209236" w:rsidR="005C6B47" w:rsidRDefault="005C6B47">
      <w:pPr>
        <w:spacing w:after="120" w:line="252" w:lineRule="auto"/>
      </w:pPr>
    </w:p>
    <w:sectPr w:rsidR="005C6B47">
      <w:footerReference w:type="default" r:id="rId4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A9CE" w14:textId="77777777" w:rsidR="00957728" w:rsidRDefault="00957728">
      <w:r>
        <w:separator/>
      </w:r>
    </w:p>
  </w:endnote>
  <w:endnote w:type="continuationSeparator" w:id="0">
    <w:p w14:paraId="089C590E" w14:textId="77777777" w:rsidR="00957728" w:rsidRDefault="0095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4BE6" w14:textId="77777777" w:rsidR="005C6B47" w:rsidRDefault="00B31150">
    <w:pPr>
      <w:jc w:val="center"/>
    </w:pPr>
    <w:r>
      <w:rPr>
        <w:sz w:val="16"/>
        <w:szCs w:val="16"/>
      </w:rPr>
      <w:fldChar w:fldCharType="begin"/>
    </w:r>
    <w:r>
      <w:rPr>
        <w:sz w:val="16"/>
        <w:szCs w:val="16"/>
      </w:rPr>
      <w:instrText>PAGE</w:instrText>
    </w:r>
    <w:r>
      <w:rPr>
        <w:sz w:val="16"/>
        <w:szCs w:val="16"/>
      </w:rPr>
      <w:fldChar w:fldCharType="separate"/>
    </w:r>
    <w:r w:rsidR="004A2AD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2C1D5" w14:textId="77777777" w:rsidR="00957728" w:rsidRDefault="00957728">
      <w:r>
        <w:separator/>
      </w:r>
    </w:p>
  </w:footnote>
  <w:footnote w:type="continuationSeparator" w:id="0">
    <w:p w14:paraId="089E1731" w14:textId="77777777" w:rsidR="00957728" w:rsidRDefault="00957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631"/>
    <w:multiLevelType w:val="hybridMultilevel"/>
    <w:tmpl w:val="02D4E60C"/>
    <w:lvl w:ilvl="0" w:tplc="E064F4B4">
      <w:start w:val="1"/>
      <w:numFmt w:val="decimal"/>
      <w:lvlText w:val="%1."/>
      <w:lvlJc w:val="left"/>
      <w:pPr>
        <w:ind w:left="450" w:hanging="270"/>
      </w:pPr>
    </w:lvl>
    <w:lvl w:ilvl="1" w:tplc="3668AA8A">
      <w:numFmt w:val="decimal"/>
      <w:lvlText w:val=""/>
      <w:lvlJc w:val="left"/>
    </w:lvl>
    <w:lvl w:ilvl="2" w:tplc="1F9856FE">
      <w:numFmt w:val="decimal"/>
      <w:lvlText w:val=""/>
      <w:lvlJc w:val="left"/>
    </w:lvl>
    <w:lvl w:ilvl="3" w:tplc="C6DA0B0E">
      <w:numFmt w:val="decimal"/>
      <w:lvlText w:val=""/>
      <w:lvlJc w:val="left"/>
    </w:lvl>
    <w:lvl w:ilvl="4" w:tplc="932EDBC4">
      <w:numFmt w:val="decimal"/>
      <w:lvlText w:val=""/>
      <w:lvlJc w:val="left"/>
    </w:lvl>
    <w:lvl w:ilvl="5" w:tplc="8054BA84">
      <w:numFmt w:val="decimal"/>
      <w:lvlText w:val=""/>
      <w:lvlJc w:val="left"/>
    </w:lvl>
    <w:lvl w:ilvl="6" w:tplc="F146A812">
      <w:numFmt w:val="decimal"/>
      <w:lvlText w:val=""/>
      <w:lvlJc w:val="left"/>
    </w:lvl>
    <w:lvl w:ilvl="7" w:tplc="46CA0136">
      <w:numFmt w:val="decimal"/>
      <w:lvlText w:val=""/>
      <w:lvlJc w:val="left"/>
    </w:lvl>
    <w:lvl w:ilvl="8" w:tplc="C0180E1A">
      <w:numFmt w:val="decimal"/>
      <w:lvlText w:val=""/>
      <w:lvlJc w:val="left"/>
    </w:lvl>
  </w:abstractNum>
  <w:abstractNum w:abstractNumId="1" w15:restartNumberingAfterBreak="0">
    <w:nsid w:val="15867A25"/>
    <w:multiLevelType w:val="hybridMultilevel"/>
    <w:tmpl w:val="02ACB904"/>
    <w:lvl w:ilvl="0" w:tplc="597073EA">
      <w:start w:val="1"/>
      <w:numFmt w:val="bullet"/>
      <w:lvlText w:val="●"/>
      <w:lvlJc w:val="left"/>
      <w:pPr>
        <w:ind w:left="720" w:hanging="360"/>
      </w:pPr>
    </w:lvl>
    <w:lvl w:ilvl="1" w:tplc="64184A02">
      <w:start w:val="1"/>
      <w:numFmt w:val="bullet"/>
      <w:lvlText w:val="○"/>
      <w:lvlJc w:val="left"/>
      <w:pPr>
        <w:ind w:left="1440" w:hanging="360"/>
      </w:pPr>
    </w:lvl>
    <w:lvl w:ilvl="2" w:tplc="98C06BA4">
      <w:start w:val="1"/>
      <w:numFmt w:val="bullet"/>
      <w:lvlText w:val="■"/>
      <w:lvlJc w:val="left"/>
      <w:pPr>
        <w:ind w:left="2160" w:hanging="360"/>
      </w:pPr>
    </w:lvl>
    <w:lvl w:ilvl="3" w:tplc="138AF1B2">
      <w:start w:val="1"/>
      <w:numFmt w:val="bullet"/>
      <w:lvlText w:val="●"/>
      <w:lvlJc w:val="left"/>
      <w:pPr>
        <w:ind w:left="2880" w:hanging="360"/>
      </w:pPr>
    </w:lvl>
    <w:lvl w:ilvl="4" w:tplc="D6122244">
      <w:start w:val="1"/>
      <w:numFmt w:val="bullet"/>
      <w:lvlText w:val="○"/>
      <w:lvlJc w:val="left"/>
      <w:pPr>
        <w:ind w:left="3600" w:hanging="360"/>
      </w:pPr>
    </w:lvl>
    <w:lvl w:ilvl="5" w:tplc="E148422C">
      <w:start w:val="1"/>
      <w:numFmt w:val="bullet"/>
      <w:lvlText w:val="■"/>
      <w:lvlJc w:val="left"/>
      <w:pPr>
        <w:ind w:left="4320" w:hanging="360"/>
      </w:pPr>
    </w:lvl>
    <w:lvl w:ilvl="6" w:tplc="211A3584">
      <w:start w:val="1"/>
      <w:numFmt w:val="bullet"/>
      <w:lvlText w:val="●"/>
      <w:lvlJc w:val="left"/>
      <w:pPr>
        <w:ind w:left="5040" w:hanging="360"/>
      </w:pPr>
    </w:lvl>
    <w:lvl w:ilvl="7" w:tplc="8982A23C">
      <w:start w:val="1"/>
      <w:numFmt w:val="bullet"/>
      <w:lvlText w:val="●"/>
      <w:lvlJc w:val="left"/>
      <w:pPr>
        <w:ind w:left="5760" w:hanging="360"/>
      </w:pPr>
    </w:lvl>
    <w:lvl w:ilvl="8" w:tplc="3EFA6F88">
      <w:start w:val="1"/>
      <w:numFmt w:val="bullet"/>
      <w:lvlText w:val="●"/>
      <w:lvlJc w:val="left"/>
      <w:pPr>
        <w:ind w:left="6480" w:hanging="360"/>
      </w:pPr>
    </w:lvl>
  </w:abstractNum>
  <w:abstractNum w:abstractNumId="2" w15:restartNumberingAfterBreak="0">
    <w:nsid w:val="3EAD2B7D"/>
    <w:multiLevelType w:val="hybridMultilevel"/>
    <w:tmpl w:val="39C46AE2"/>
    <w:lvl w:ilvl="0" w:tplc="D0840CAE">
      <w:start w:val="1"/>
      <w:numFmt w:val="bullet"/>
      <w:lvlText w:val="•"/>
      <w:lvlJc w:val="left"/>
      <w:pPr>
        <w:ind w:left="450" w:hanging="270"/>
      </w:pPr>
    </w:lvl>
    <w:lvl w:ilvl="1" w:tplc="BD1C8F7E">
      <w:numFmt w:val="decimal"/>
      <w:lvlText w:val=""/>
      <w:lvlJc w:val="left"/>
    </w:lvl>
    <w:lvl w:ilvl="2" w:tplc="7F3A5BE2">
      <w:numFmt w:val="decimal"/>
      <w:lvlText w:val=""/>
      <w:lvlJc w:val="left"/>
    </w:lvl>
    <w:lvl w:ilvl="3" w:tplc="4200687C">
      <w:numFmt w:val="decimal"/>
      <w:lvlText w:val=""/>
      <w:lvlJc w:val="left"/>
    </w:lvl>
    <w:lvl w:ilvl="4" w:tplc="E738CF5A">
      <w:numFmt w:val="decimal"/>
      <w:lvlText w:val=""/>
      <w:lvlJc w:val="left"/>
    </w:lvl>
    <w:lvl w:ilvl="5" w:tplc="2A0C7740">
      <w:numFmt w:val="decimal"/>
      <w:lvlText w:val=""/>
      <w:lvlJc w:val="left"/>
    </w:lvl>
    <w:lvl w:ilvl="6" w:tplc="628272C6">
      <w:numFmt w:val="decimal"/>
      <w:lvlText w:val=""/>
      <w:lvlJc w:val="left"/>
    </w:lvl>
    <w:lvl w:ilvl="7" w:tplc="7196EB0E">
      <w:numFmt w:val="decimal"/>
      <w:lvlText w:val=""/>
      <w:lvlJc w:val="left"/>
    </w:lvl>
    <w:lvl w:ilvl="8" w:tplc="0C98A9AA">
      <w:numFmt w:val="decimal"/>
      <w:lvlText w:val=""/>
      <w:lvlJc w:val="left"/>
    </w:lvl>
  </w:abstractNum>
  <w:num w:numId="1" w16cid:durableId="551966776">
    <w:abstractNumId w:val="1"/>
    <w:lvlOverride w:ilvl="0">
      <w:startOverride w:val="1"/>
    </w:lvlOverride>
  </w:num>
  <w:num w:numId="2" w16cid:durableId="1777552882">
    <w:abstractNumId w:val="0"/>
    <w:lvlOverride w:ilvl="0">
      <w:startOverride w:val="1"/>
    </w:lvlOverride>
  </w:num>
  <w:num w:numId="3" w16cid:durableId="7306150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B47"/>
    <w:rsid w:val="0001756B"/>
    <w:rsid w:val="00020A4A"/>
    <w:rsid w:val="00041641"/>
    <w:rsid w:val="00077B2C"/>
    <w:rsid w:val="001024C9"/>
    <w:rsid w:val="00111421"/>
    <w:rsid w:val="00182708"/>
    <w:rsid w:val="001B2BA7"/>
    <w:rsid w:val="001B75D7"/>
    <w:rsid w:val="001D765E"/>
    <w:rsid w:val="00224FBD"/>
    <w:rsid w:val="0024780D"/>
    <w:rsid w:val="0025259A"/>
    <w:rsid w:val="00266601"/>
    <w:rsid w:val="00294F54"/>
    <w:rsid w:val="002A4813"/>
    <w:rsid w:val="002B7682"/>
    <w:rsid w:val="00325FFA"/>
    <w:rsid w:val="003910A7"/>
    <w:rsid w:val="00401500"/>
    <w:rsid w:val="00405DCA"/>
    <w:rsid w:val="00421FB0"/>
    <w:rsid w:val="004618BE"/>
    <w:rsid w:val="0049067D"/>
    <w:rsid w:val="004A2AD3"/>
    <w:rsid w:val="004C7F4B"/>
    <w:rsid w:val="005721EB"/>
    <w:rsid w:val="005B4370"/>
    <w:rsid w:val="005C6B47"/>
    <w:rsid w:val="005D3C44"/>
    <w:rsid w:val="005E2DC1"/>
    <w:rsid w:val="006135A0"/>
    <w:rsid w:val="006423B7"/>
    <w:rsid w:val="006510FE"/>
    <w:rsid w:val="006E7303"/>
    <w:rsid w:val="007520CA"/>
    <w:rsid w:val="00786F73"/>
    <w:rsid w:val="007F75E5"/>
    <w:rsid w:val="007F79C1"/>
    <w:rsid w:val="00843D05"/>
    <w:rsid w:val="00847ABB"/>
    <w:rsid w:val="008535B9"/>
    <w:rsid w:val="00872E5A"/>
    <w:rsid w:val="008A5481"/>
    <w:rsid w:val="008C49B8"/>
    <w:rsid w:val="008E7D88"/>
    <w:rsid w:val="009014AE"/>
    <w:rsid w:val="00954604"/>
    <w:rsid w:val="00957728"/>
    <w:rsid w:val="009903FE"/>
    <w:rsid w:val="00997FD8"/>
    <w:rsid w:val="009D5B17"/>
    <w:rsid w:val="009F3A69"/>
    <w:rsid w:val="00A02829"/>
    <w:rsid w:val="00A031A1"/>
    <w:rsid w:val="00AA4D55"/>
    <w:rsid w:val="00AC3546"/>
    <w:rsid w:val="00AC35AF"/>
    <w:rsid w:val="00AF13DC"/>
    <w:rsid w:val="00B21F51"/>
    <w:rsid w:val="00B27B6D"/>
    <w:rsid w:val="00B31150"/>
    <w:rsid w:val="00B36D54"/>
    <w:rsid w:val="00B46194"/>
    <w:rsid w:val="00B62DCA"/>
    <w:rsid w:val="00B632DD"/>
    <w:rsid w:val="00B8309E"/>
    <w:rsid w:val="00B968BF"/>
    <w:rsid w:val="00B96BEA"/>
    <w:rsid w:val="00BB6BE7"/>
    <w:rsid w:val="00BF295D"/>
    <w:rsid w:val="00C11AD4"/>
    <w:rsid w:val="00C168E9"/>
    <w:rsid w:val="00C4164C"/>
    <w:rsid w:val="00D068F5"/>
    <w:rsid w:val="00D26C39"/>
    <w:rsid w:val="00D63F50"/>
    <w:rsid w:val="00DE5AEA"/>
    <w:rsid w:val="00E3111E"/>
    <w:rsid w:val="00E42AC9"/>
    <w:rsid w:val="00E54B0A"/>
    <w:rsid w:val="00E72D28"/>
    <w:rsid w:val="00EB6C1B"/>
    <w:rsid w:val="00F40682"/>
    <w:rsid w:val="00F5673B"/>
    <w:rsid w:val="00F85257"/>
    <w:rsid w:val="00F95D9B"/>
    <w:rsid w:val="00FC2F1B"/>
    <w:rsid w:val="00FF4F7C"/>
    <w:rsid w:val="00FF7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C9FA"/>
  <w15:docId w15:val="{C122A10A-83A3-4546-A098-97DB9EDCF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67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13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F79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05228-7406-48C1-93AE-BB5BF3060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39</Pages>
  <Words>13309</Words>
  <Characters>75867</Characters>
  <Application>Microsoft Office Word</Application>
  <DocSecurity>0</DocSecurity>
  <Lines>632</Lines>
  <Paragraphs>177</Paragraphs>
  <ScaleCrop>false</ScaleCrop>
  <Company/>
  <LinksUpToDate>false</LinksUpToDate>
  <CharactersWithSpaces>88999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CHARAN RATHANALA</cp:lastModifiedBy>
  <cp:revision>76</cp:revision>
  <dcterms:created xsi:type="dcterms:W3CDTF">2026-09-17T05:54:00Z</dcterms:created>
  <dcterms:modified xsi:type="dcterms:W3CDTF">2026-10-28T14:09:00Z</dcterms:modified>
</cp:coreProperties>
</file>