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5730A3">
      <w:pPr>
        <w:spacing w:before="0" w:after="40"/>
      </w:pPr>
      <w:r>
        <w:rPr>
          <w:rFonts w:ascii="Calibri" w:hAnsi="Calibri" w:eastAsia="Calibri" w:cs="Calibri"/>
          <w:b/>
          <w:bCs/>
          <w:color w:val="1A1A2E"/>
          <w:sz w:val="52"/>
          <w:szCs w:val="52"/>
        </w:rPr>
        <w:t>Sai Teja Bandaru</w:t>
      </w:r>
    </w:p>
    <w:p w14:paraId="7D890175">
      <w:pPr>
        <w:jc w:val="center"/>
      </w:pPr>
      <w:hyperlink r:id="rId6">
        <w:r>
          <w:rPr>
            <w:color w:val="0563C1"/>
            <w:u w:val="single"/>
            <w:sz w:val="18"/>
          </w:rPr>
          <w:t>saitejastb23@gmail.com</w:t>
        </w:r>
      </w:hyperlink>
      <w:r>
        <w:rPr>
          <w:rFonts w:ascii="Calibri" w:hAnsi="Calibri"/>
          <w:sz w:val="18"/>
        </w:rPr>
        <w:t xml:space="preserve">  •  </w:t>
      </w:r>
      <w:hyperlink r:id="rId7">
        <w:r>
          <w:rPr>
            <w:color w:val="0563C1"/>
            <w:u w:val="single"/>
            <w:sz w:val="18"/>
          </w:rPr>
          <w:t>linkedin.com/in/sai-teja-b-635824160</w:t>
        </w:r>
      </w:hyperlink>
      <w:r>
        <w:rPr>
          <w:rFonts w:ascii="Calibri" w:hAnsi="Calibri"/>
          <w:sz w:val="18"/>
        </w:rPr>
        <w:t xml:space="preserve">  •  </w:t>
      </w:r>
      <w:hyperlink r:id="rId8">
        <w:r>
          <w:rPr>
            <w:color w:val="0563C1"/>
            <w:u w:val="single"/>
            <w:sz w:val="18"/>
          </w:rPr>
          <w:t>github.com/saitejastb23-hub</w:t>
        </w:r>
      </w:hyperlink>
      <w:r>
        <w:rPr>
          <w:rFonts w:ascii="Calibri" w:hAnsi="Calibri"/>
          <w:sz w:val="18"/>
        </w:rPr>
        <w:t xml:space="preserve">  •  </w:t>
      </w:r>
      <w:r>
        <w:rPr>
          <w:rFonts w:ascii="Calibri" w:hAnsi="Calibri"/>
          <w:sz w:val="18"/>
        </w:rPr>
        <w:t>+1 (682) 336-2337</w:t>
      </w:r>
    </w:p>
    <w:p w14:paraId="27A205C0">
      <w:pPr>
        <w:pBdr>
          <w:bottom w:val="single" w:color="2E4057" w:sz="12" w:space="0"/>
        </w:pBdr>
        <w:spacing w:before="0" w:after="80"/>
      </w:pPr>
    </w:p>
    <w:p w14:paraId="58F960DD">
      <w:pPr>
        <w:spacing w:before="160" w:after="40"/>
      </w:pPr>
      <w:r>
        <w:rPr>
          <w:rFonts w:ascii="Calibri" w:hAnsi="Calibri" w:eastAsia="Calibri" w:cs="Calibri"/>
          <w:b/>
          <w:bCs/>
          <w:color w:val="2E4057"/>
          <w:spacing w:val="20"/>
          <w:sz w:val="19"/>
          <w:szCs w:val="19"/>
        </w:rPr>
        <w:t>PROFESSIONAL SUMMARY</w:t>
      </w:r>
    </w:p>
    <w:p w14:paraId="06269D64">
      <w:pPr>
        <w:pBdr>
          <w:bottom w:val="single" w:color="CCCCCC" w:sz="6" w:space="0"/>
        </w:pBdr>
        <w:spacing w:before="0" w:after="60"/>
      </w:pPr>
    </w:p>
    <w:p w14:paraId="00DB9441">
      <w:pPr>
        <w:spacing w:before="0" w:after="60"/>
      </w:pPr>
      <w:r>
        <w:rPr>
          <w:rFonts w:ascii="Calibri" w:hAnsi="Calibri" w:eastAsia="Calibri" w:cs="Calibri"/>
          <w:color w:val="222222"/>
          <w:sz w:val="20"/>
          <w:szCs w:val="20"/>
        </w:rPr>
        <w:t xml:space="preserve">Generative AI Engineer with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5+ years</w:t>
      </w:r>
      <w:r>
        <w:rPr>
          <w:rFonts w:ascii="Calibri" w:hAnsi="Calibri" w:eastAsia="Calibri" w:cs="Calibri"/>
          <w:color w:val="222222"/>
          <w:sz w:val="20"/>
          <w:szCs w:val="20"/>
        </w:rPr>
        <w:t xml:space="preserve"> of experience designing and deploying production-grade LLM systems, agentic AI pipelines, and RAG architectures across enterprise environments. Deep expertise in </w:t>
      </w:r>
      <w:r>
        <w:rPr>
          <w:rFonts w:ascii="Calibri" w:hAnsi="Calibri" w:eastAsia="Calibri" w:cs="Calibri"/>
          <w:b/>
          <w:bCs/>
          <w:color w:val="222222"/>
          <w:sz w:val="20"/>
          <w:szCs w:val="20"/>
        </w:rPr>
        <w:t>LangChain, LangGraph, OpenAI APIs, fine-tuning (LoRA/PEFT), and multi-agent orchestration</w:t>
      </w:r>
      <w:r>
        <w:rPr>
          <w:rFonts w:ascii="Calibri" w:hAnsi="Calibri" w:eastAsia="Calibri" w:cs="Calibri"/>
          <w:color w:val="222222"/>
          <w:sz w:val="20"/>
          <w:szCs w:val="20"/>
        </w:rPr>
        <w:t>, with end-to-end delivery on Microsoft Azure. M.S. in Computer Science, University of Texas at Arlington. Industry background spanning healthcare, insurance, banking, and technology.</w:t>
      </w:r>
    </w:p>
    <w:p w14:paraId="37E9EF33">
      <w:pPr>
        <w:spacing w:before="160" w:after="40"/>
      </w:pPr>
      <w:r>
        <w:rPr>
          <w:rFonts w:ascii="Calibri" w:hAnsi="Calibri" w:eastAsia="Calibri" w:cs="Calibri"/>
          <w:b/>
          <w:bCs/>
          <w:color w:val="2E4057"/>
          <w:spacing w:val="20"/>
          <w:sz w:val="19"/>
          <w:szCs w:val="19"/>
        </w:rPr>
        <w:t>TECHNICAL SKILLS</w:t>
      </w:r>
    </w:p>
    <w:p w14:paraId="13C99AD1">
      <w:pPr>
        <w:pBdr>
          <w:bottom w:val="single" w:color="CCCCCC" w:sz="6" w:space="0"/>
        </w:pBdr>
        <w:spacing w:before="0" w:after="60"/>
      </w:pPr>
    </w:p>
    <w:tbl>
      <w:tblPr>
        <w:tblStyle w:val="9"/>
        <w:tblW w:w="10368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80"/>
        <w:gridCol w:w="8688"/>
      </w:tblGrid>
      <w:tr w14:paraId="1CABE33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5995C5CA">
            <w: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  <w:t>Languages:</w:t>
            </w:r>
          </w:p>
        </w:tc>
        <w:tc>
          <w:tcPr>
            <w:tcW w:w="8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E95266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Python (Expert), SQL, Bash, JavaScript (basic)</w:t>
            </w:r>
          </w:p>
        </w:tc>
      </w:tr>
      <w:tr w14:paraId="48AAC99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657B4131">
            <w: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  <w:t>GenAI &amp; LLMs:</w:t>
            </w:r>
          </w:p>
        </w:tc>
        <w:tc>
          <w:tcPr>
            <w:tcW w:w="8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01167CA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OpenAI API (GPT-3.5/4o), LLaMA-2/3, Mistral, Falcon, LangChain, LangGraph, OpenAI Agents SDK, LlamaIndex</w:t>
            </w:r>
          </w:p>
        </w:tc>
      </w:tr>
      <w:tr w14:paraId="2413AB2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658F7B6">
            <w: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  <w:t>Agentic AI:</w:t>
            </w:r>
          </w:p>
        </w:tc>
        <w:tc>
          <w:tcPr>
            <w:tcW w:w="8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EC948EE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Multi-agent workflows, tool-using LLMs, stateful memory, human-in-the-loop validation, dynamic tool routing</w:t>
            </w:r>
          </w:p>
        </w:tc>
      </w:tr>
      <w:tr w14:paraId="16753D8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F6B6ECF">
            <w: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  <w:t>RAG &amp; Search:</w:t>
            </w:r>
          </w:p>
        </w:tc>
        <w:tc>
          <w:tcPr>
            <w:tcW w:w="8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E95719E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FAISS, Pinecone, Weaviate, Chroma — semantic search, embedding models, BM25, DPR, SBERT</w:t>
            </w:r>
          </w:p>
        </w:tc>
      </w:tr>
      <w:tr w14:paraId="0D6BFDE9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0C582DC1">
            <w: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  <w:t>Model Tuning:</w:t>
            </w:r>
          </w:p>
        </w:tc>
        <w:tc>
          <w:tcPr>
            <w:tcW w:w="8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0FF6427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LoRA, PEFT, Prompt Engineering (few-shot, zero-shot, chain-of-thought, reflection loops), Transfer Learning</w:t>
            </w:r>
          </w:p>
        </w:tc>
      </w:tr>
      <w:tr w14:paraId="1078A8E3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5A4A0D0">
            <w: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  <w:t>ML Frameworks:</w:t>
            </w:r>
          </w:p>
        </w:tc>
        <w:tc>
          <w:tcPr>
            <w:tcW w:w="8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731D62F2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PyTorch, TensorFlow, Keras, Scikit-learn, XGBoost, LightGBM, Hugging Face Transformers</w:t>
            </w:r>
          </w:p>
        </w:tc>
      </w:tr>
      <w:tr w14:paraId="66BA8058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F7CF2E3">
            <w: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  <w:t>MLOps:</w:t>
            </w:r>
          </w:p>
        </w:tc>
        <w:tc>
          <w:tcPr>
            <w:tcW w:w="8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51F52B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MLflow, Weights &amp; Biases, DVC, CI/CD, GitHub Actions, Great Expectations, Prometheus, Grafana</w:t>
            </w:r>
          </w:p>
        </w:tc>
      </w:tr>
      <w:tr w14:paraId="2D34D69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E793C3F">
            <w: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  <w:t>Cloud:</w:t>
            </w:r>
          </w:p>
        </w:tc>
        <w:tc>
          <w:tcPr>
            <w:tcW w:w="8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323AA8D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Azure ML, Azure OpenAI, Azure Functions, Azure DevOps  |  AWS S3  |  Google Cloud Storage</w:t>
            </w:r>
          </w:p>
        </w:tc>
      </w:tr>
      <w:tr w14:paraId="1986A88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0790217">
            <w: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  <w:t>Deployment:</w:t>
            </w:r>
          </w:p>
        </w:tc>
        <w:tc>
          <w:tcPr>
            <w:tcW w:w="8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4BA8FF46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FastAPI, Flask, Docker, Kubernetes, ONNX, TorchScript</w:t>
            </w:r>
          </w:p>
        </w:tc>
      </w:tr>
      <w:tr w14:paraId="167C076A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AF377FB">
            <w: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  <w:t>Data &amp; NLP:</w:t>
            </w:r>
          </w:p>
        </w:tc>
        <w:tc>
          <w:tcPr>
            <w:tcW w:w="8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06915FD7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Pandas, NumPy, PySpark, Databricks, Apache Spark, spaCy, NLTK, OpenCV</w:t>
            </w:r>
          </w:p>
        </w:tc>
      </w:tr>
      <w:tr w14:paraId="16BB9572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352ED974">
            <w: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  <w:t>Databases:</w:t>
            </w:r>
          </w:p>
        </w:tc>
        <w:tc>
          <w:tcPr>
            <w:tcW w:w="8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90ACCC9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PostgreSQL, MongoDB, SQLite, Redis</w:t>
            </w:r>
          </w:p>
        </w:tc>
      </w:tr>
      <w:tr w14:paraId="61ED8A5C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80" w:type="dxa"/>
            </w:tcMar>
          </w:tcPr>
          <w:p w14:paraId="2E3E4AF5">
            <w:r>
              <w:rPr>
                <w:rFonts w:ascii="Calibri" w:hAnsi="Calibri" w:eastAsia="Calibri" w:cs="Calibri"/>
                <w:b/>
                <w:bCs/>
                <w:color w:val="222222"/>
                <w:sz w:val="18"/>
                <w:szCs w:val="18"/>
              </w:rPr>
              <w:t>Interpretability:</w:t>
            </w:r>
          </w:p>
        </w:tc>
        <w:tc>
          <w:tcPr>
            <w:tcW w:w="8688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722083B">
            <w:r>
              <w:rPr>
                <w:rFonts w:ascii="Calibri" w:hAnsi="Calibri" w:eastAsia="Calibri" w:cs="Calibri"/>
                <w:color w:val="222222"/>
                <w:sz w:val="18"/>
                <w:szCs w:val="18"/>
              </w:rPr>
              <w:t>SHAP, LIME, Fairlearn</w:t>
            </w:r>
          </w:p>
        </w:tc>
      </w:tr>
    </w:tbl>
    <w:p w14:paraId="7EBCD579">
      <w:pPr>
        <w:spacing w:before="160" w:after="40"/>
      </w:pPr>
      <w:r>
        <w:rPr>
          <w:rFonts w:ascii="Calibri" w:hAnsi="Calibri" w:eastAsia="Calibri" w:cs="Calibri"/>
          <w:b/>
          <w:bCs/>
          <w:color w:val="2E4057"/>
          <w:spacing w:val="20"/>
          <w:sz w:val="19"/>
          <w:szCs w:val="19"/>
        </w:rPr>
        <w:t>PROFESSIONAL EXPERIENCE</w:t>
      </w:r>
    </w:p>
    <w:p w14:paraId="0936FBFB">
      <w:pPr>
        <w:pBdr>
          <w:bottom w:val="single" w:color="CCCCCC" w:sz="6" w:space="0"/>
        </w:pBdr>
        <w:spacing w:before="0" w:after="60"/>
      </w:pPr>
    </w:p>
    <w:tbl>
      <w:tblPr>
        <w:tblStyle w:val="9"/>
        <w:tblW w:w="10368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02"/>
        <w:gridCol w:w="4666"/>
      </w:tblGrid>
      <w:tr w14:paraId="765B47E0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9166D5">
            <w:pPr>
              <w:spacing w:before="120" w:after="20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21"/>
                <w:szCs w:val="21"/>
              </w:rPr>
              <w:t>Gen</w:t>
            </w:r>
            <w:r>
              <w:rPr>
                <w:rFonts w:hint="default" w:cs="Calibri"/>
                <w:b/>
                <w:bCs/>
                <w:color w:val="222222"/>
                <w:sz w:val="21"/>
                <w:szCs w:val="21"/>
                <w:lang w:val="en-US"/>
              </w:rPr>
              <w:t xml:space="preserve"> </w:t>
            </w:r>
            <w:r>
              <w:rPr>
                <w:rFonts w:ascii="Calibri" w:hAnsi="Calibri" w:eastAsia="Calibri" w:cs="Calibri"/>
                <w:b/>
                <w:bCs/>
                <w:color w:val="222222"/>
                <w:sz w:val="21"/>
                <w:szCs w:val="21"/>
              </w:rPr>
              <w:t>AI Engineer</w:t>
            </w:r>
          </w:p>
        </w:tc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79163B">
            <w:pPr>
              <w:spacing w:before="120" w:after="20"/>
              <w:jc w:val="right"/>
            </w:pPr>
            <w:r>
              <w:rPr>
                <w:rFonts w:hint="default" w:cs="Calibri"/>
                <w:color w:val="555555"/>
                <w:sz w:val="18"/>
                <w:szCs w:val="18"/>
                <w:lang w:val="en-US"/>
              </w:rPr>
              <w:t>Client: Carda Health</w:t>
            </w: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  |  </w:t>
            </w:r>
            <w:r>
              <w:rPr>
                <w:rFonts w:hint="default" w:cs="Calibri"/>
                <w:color w:val="555555"/>
                <w:sz w:val="18"/>
                <w:szCs w:val="18"/>
                <w:lang w:val="en-US"/>
              </w:rPr>
              <w:t xml:space="preserve">Jun </w:t>
            </w: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>202</w:t>
            </w:r>
            <w:r>
              <w:rPr>
                <w:rFonts w:hint="default" w:cs="Calibri"/>
                <w:color w:val="555555"/>
                <w:sz w:val="18"/>
                <w:szCs w:val="18"/>
                <w:lang w:val="en-US"/>
              </w:rPr>
              <w:t>3</w:t>
            </w: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 – Present</w:t>
            </w:r>
          </w:p>
        </w:tc>
      </w:tr>
    </w:tbl>
    <w:p w14:paraId="73D8865F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Architected multi-agent AI systems using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LangChain, LangGraph, and OpenAI Agents SDK</w:t>
      </w:r>
      <w:r>
        <w:rPr>
          <w:rFonts w:ascii="Calibri" w:hAnsi="Calibri" w:eastAsia="Calibri" w:cs="Calibri"/>
          <w:color w:val="222222"/>
          <w:sz w:val="18"/>
          <w:szCs w:val="18"/>
        </w:rPr>
        <w:t>, enabling autonomous decision-making pipelines that reduced manual review effort by ~40%.</w:t>
      </w:r>
    </w:p>
    <w:p w14:paraId="1F46C5D2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Designed and deployed production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RAG pipelines</w:t>
      </w:r>
      <w:r>
        <w:rPr>
          <w:rFonts w:ascii="Calibri" w:hAnsi="Calibri" w:eastAsia="Calibri" w:cs="Calibri"/>
          <w:color w:val="222222"/>
          <w:sz w:val="18"/>
          <w:szCs w:val="18"/>
        </w:rPr>
        <w:t xml:space="preserve"> with Pinecone, FAISS, and Weaviate, integrating source-citing agents to improve factual accuracy and cut hallucinations by 35%.</w:t>
      </w:r>
    </w:p>
    <w:p w14:paraId="452E76D0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Fine-tuned open-weight LLMs (Mistral, LLaMA, Falcon) using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LoRA and PEFT</w:t>
      </w:r>
      <w:r>
        <w:rPr>
          <w:rFonts w:ascii="Calibri" w:hAnsi="Calibri" w:eastAsia="Calibri" w:cs="Calibri"/>
          <w:color w:val="222222"/>
          <w:sz w:val="18"/>
          <w:szCs w:val="18"/>
        </w:rPr>
        <w:t>, achieving up to 28% domain-specific accuracy gains on insurance and healthcare benchmarks.</w:t>
      </w:r>
    </w:p>
    <w:p w14:paraId="5950EB2B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>Engineered human-in-the-loop validation layers and response filters to ensure regulatory compliance across GenAI pipelines serving banking and healthcare clients.</w:t>
      </w:r>
    </w:p>
    <w:p w14:paraId="7D15EF0E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Delivered enterprise GenAI solutions on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Azure</w:t>
      </w:r>
      <w:r>
        <w:rPr>
          <w:rFonts w:ascii="Calibri" w:hAnsi="Calibri" w:eastAsia="Calibri" w:cs="Calibri"/>
          <w:color w:val="222222"/>
          <w:sz w:val="18"/>
          <w:szCs w:val="18"/>
        </w:rPr>
        <w:t xml:space="preserve"> (Azure OpenAI, Azure ML, Azure Functions), handling thousands of daily inference requests at p99 latency under 800ms.</w:t>
      </w:r>
    </w:p>
    <w:p w14:paraId="4DE26FF1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Applied advanced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prompt engineering</w:t>
      </w:r>
      <w:r>
        <w:rPr>
          <w:rFonts w:ascii="Calibri" w:hAnsi="Calibri" w:eastAsia="Calibri" w:cs="Calibri"/>
          <w:color w:val="222222"/>
          <w:sz w:val="18"/>
          <w:szCs w:val="18"/>
        </w:rPr>
        <w:t xml:space="preserve"> techniques — few-shot, chain-of-thought, and reflection loops — boosting LLM task consistency by 30% on structured output use cases.</w:t>
      </w:r>
    </w:p>
    <w:p w14:paraId="7A6B0A49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>Implemented context window optimization and prompt chaining strategies for robust LLM orchestration across multi-turn conversational agents.</w:t>
      </w:r>
    </w:p>
    <w:p w14:paraId="42E5DA8C">
      <w:pPr>
        <w:spacing w:before="60" w:after="0"/>
      </w:pPr>
    </w:p>
    <w:tbl>
      <w:tblPr>
        <w:tblStyle w:val="9"/>
        <w:tblW w:w="10368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02"/>
        <w:gridCol w:w="4666"/>
      </w:tblGrid>
      <w:tr w14:paraId="34A4C531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7D1E6D">
            <w:pPr>
              <w:spacing w:before="120" w:after="20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21"/>
                <w:szCs w:val="21"/>
              </w:rPr>
              <w:t>AI / ML Engineer</w:t>
            </w:r>
          </w:p>
        </w:tc>
        <w:tc>
          <w:tcPr>
            <w:tcW w:w="466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41BDCD1">
            <w:pPr>
              <w:spacing w:before="120" w:after="20"/>
              <w:jc w:val="right"/>
            </w:pPr>
            <w:r>
              <w:rPr>
                <w:rFonts w:hint="default" w:cs="Calibri"/>
                <w:color w:val="555555"/>
                <w:sz w:val="18"/>
                <w:szCs w:val="18"/>
                <w:lang w:val="en-US"/>
              </w:rPr>
              <w:t>Client: Root Insurance</w:t>
            </w:r>
            <w:bookmarkStart w:id="0" w:name="_GoBack"/>
            <w:bookmarkEnd w:id="0"/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  |  Ju</w:t>
            </w:r>
            <w:r>
              <w:rPr>
                <w:rFonts w:hint="default" w:cs="Calibri"/>
                <w:color w:val="555555"/>
                <w:sz w:val="18"/>
                <w:szCs w:val="18"/>
                <w:lang w:val="en-US"/>
              </w:rPr>
              <w:t>l</w:t>
            </w: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 2022 – </w:t>
            </w:r>
            <w:r>
              <w:rPr>
                <w:rFonts w:hint="default" w:cs="Calibri"/>
                <w:color w:val="555555"/>
                <w:sz w:val="18"/>
                <w:szCs w:val="18"/>
                <w:lang w:val="en-US"/>
              </w:rPr>
              <w:t>May</w:t>
            </w: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 2023</w:t>
            </w:r>
          </w:p>
        </w:tc>
      </w:tr>
    </w:tbl>
    <w:p w14:paraId="28D3BC94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Built end-to-end ML pipelines for risk scoring, telematics underwriting, and sentiment analysis using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Python, XGBoost, scikit-learn, and PySpark</w:t>
      </w:r>
      <w:r>
        <w:rPr>
          <w:rFonts w:ascii="Calibri" w:hAnsi="Calibri" w:eastAsia="Calibri" w:cs="Calibri"/>
          <w:color w:val="222222"/>
          <w:sz w:val="18"/>
          <w:szCs w:val="18"/>
        </w:rPr>
        <w:t xml:space="preserve"> across insurance and healthcare domains.</w:t>
      </w:r>
    </w:p>
    <w:p w14:paraId="6456D47C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Engineered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RAG systems</w:t>
      </w:r>
      <w:r>
        <w:rPr>
          <w:rFonts w:ascii="Calibri" w:hAnsi="Calibri" w:eastAsia="Calibri" w:cs="Calibri"/>
          <w:color w:val="222222"/>
          <w:sz w:val="18"/>
          <w:szCs w:val="18"/>
        </w:rPr>
        <w:t xml:space="preserve"> with LangChain, FAISS, and Pinecone; integrated LLM function-calling via OpenAI Agents SDK and LangGraph for dynamic tool routing in production chatbots.</w:t>
      </w:r>
    </w:p>
    <w:p w14:paraId="61C8E9FF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Fine-tuned LLaMA, Falcon, and Mistral using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LoRA/PEFT</w:t>
      </w:r>
      <w:r>
        <w:rPr>
          <w:rFonts w:ascii="Calibri" w:hAnsi="Calibri" w:eastAsia="Calibri" w:cs="Calibri"/>
          <w:color w:val="222222"/>
          <w:sz w:val="18"/>
          <w:szCs w:val="18"/>
        </w:rPr>
        <w:t>; implemented model routing strategies that reduced inference costs by 45% for latency-sensitive workloads.</w:t>
      </w:r>
    </w:p>
    <w:p w14:paraId="1C2690AA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>Deployed deep learning models (PyTorch, TensorFlow, Keras) for NER, text summarization, and tabular prediction, improving throughput 3x via ONNX export and batch inference.</w:t>
      </w:r>
    </w:p>
    <w:p w14:paraId="40D2F43D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Implemented full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MLOps lifecycle</w:t>
      </w:r>
      <w:r>
        <w:rPr>
          <w:rFonts w:ascii="Calibri" w:hAnsi="Calibri" w:eastAsia="Calibri" w:cs="Calibri"/>
          <w:color w:val="222222"/>
          <w:sz w:val="18"/>
          <w:szCs w:val="18"/>
        </w:rPr>
        <w:t xml:space="preserve"> (MLflow, Great Expectations, Prometheus/Grafana, GitHub Actions CI/CD), cutting model deployment time from 2 weeks to 2 days.</w:t>
      </w:r>
    </w:p>
    <w:p w14:paraId="731F1F00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Containerized and orchestrated AI services with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Docker and Kubernetes</w:t>
      </w:r>
      <w:r>
        <w:rPr>
          <w:rFonts w:ascii="Calibri" w:hAnsi="Calibri" w:eastAsia="Calibri" w:cs="Calibri"/>
          <w:color w:val="222222"/>
          <w:sz w:val="18"/>
          <w:szCs w:val="18"/>
        </w:rPr>
        <w:t>, delivering scalable microservices across banking and tech verticals.</w:t>
      </w:r>
    </w:p>
    <w:p w14:paraId="43489F59">
      <w:pPr>
        <w:spacing w:before="60" w:after="0"/>
      </w:pPr>
    </w:p>
    <w:tbl>
      <w:tblPr>
        <w:tblStyle w:val="9"/>
        <w:tblW w:w="10361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5702"/>
        <w:gridCol w:w="4659"/>
      </w:tblGrid>
      <w:tr w14:paraId="25AE5FE7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EE799F">
            <w:pPr>
              <w:spacing w:before="120" w:after="20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21"/>
                <w:szCs w:val="21"/>
              </w:rPr>
              <w:t>Machine Learning Engineer</w:t>
            </w:r>
          </w:p>
        </w:tc>
        <w:tc>
          <w:tcPr>
            <w:tcW w:w="465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4D0A07">
            <w:pPr>
              <w:spacing w:before="120" w:after="20"/>
              <w:jc w:val="right"/>
              <w:rPr>
                <w:rFonts w:hint="default"/>
                <w:lang w:val="en-US"/>
              </w:rPr>
            </w:pPr>
            <w:r>
              <w:rPr>
                <w:rFonts w:hint="default" w:cs="Calibri"/>
                <w:color w:val="555555"/>
                <w:sz w:val="18"/>
                <w:szCs w:val="18"/>
                <w:lang w:val="en-US"/>
              </w:rPr>
              <w:t xml:space="preserve">TCS </w:t>
            </w: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>— India  |  Jan 20</w:t>
            </w:r>
            <w:r>
              <w:rPr>
                <w:rFonts w:hint="default" w:cs="Calibri"/>
                <w:color w:val="555555"/>
                <w:sz w:val="18"/>
                <w:szCs w:val="18"/>
                <w:lang w:val="en-US"/>
              </w:rPr>
              <w:t>20</w:t>
            </w: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 xml:space="preserve"> – </w:t>
            </w:r>
            <w:r>
              <w:rPr>
                <w:rFonts w:hint="default" w:cs="Calibri"/>
                <w:color w:val="555555"/>
                <w:sz w:val="18"/>
                <w:szCs w:val="18"/>
                <w:lang w:val="en-US"/>
              </w:rPr>
              <w:t xml:space="preserve">Dec </w:t>
            </w: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>202</w:t>
            </w:r>
            <w:r>
              <w:rPr>
                <w:rFonts w:hint="default" w:cs="Calibri"/>
                <w:color w:val="555555"/>
                <w:sz w:val="18"/>
                <w:szCs w:val="18"/>
                <w:lang w:val="en-US"/>
              </w:rPr>
              <w:t>1</w:t>
            </w:r>
          </w:p>
        </w:tc>
      </w:tr>
    </w:tbl>
    <w:p w14:paraId="5CD56A4D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Developed ML models for risk scoring, churn prediction, and fraud detection using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Python, scikit-learn, and XGBoost</w:t>
      </w:r>
      <w:r>
        <w:rPr>
          <w:rFonts w:ascii="Calibri" w:hAnsi="Calibri" w:eastAsia="Calibri" w:cs="Calibri"/>
          <w:color w:val="222222"/>
          <w:sz w:val="18"/>
          <w:szCs w:val="18"/>
        </w:rPr>
        <w:t>, improving fraud recall by 22% for insurance and banking clients.</w:t>
      </w:r>
    </w:p>
    <w:p w14:paraId="0EDF11E8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Built deep learning models (TensorFlow, Keras) for image classification and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OCR</w:t>
      </w:r>
      <w:r>
        <w:rPr>
          <w:rFonts w:ascii="Calibri" w:hAnsi="Calibri" w:eastAsia="Calibri" w:cs="Calibri"/>
          <w:color w:val="222222"/>
          <w:sz w:val="18"/>
          <w:szCs w:val="18"/>
        </w:rPr>
        <w:t xml:space="preserve"> in insurance document processing, reducing manual extraction time by 60%.</w:t>
      </w:r>
    </w:p>
    <w:p w14:paraId="447DCAAC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Designed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NLP pipelines</w:t>
      </w:r>
      <w:r>
        <w:rPr>
          <w:rFonts w:ascii="Calibri" w:hAnsi="Calibri" w:eastAsia="Calibri" w:cs="Calibri"/>
          <w:color w:val="222222"/>
          <w:sz w:val="18"/>
          <w:szCs w:val="18"/>
        </w:rPr>
        <w:t xml:space="preserve"> for text classification, NER, and sentiment analysis using spaCy, NLTK, and custom embeddings, deployed on Azure ML via Azure Functions for real-time inference.</w:t>
      </w:r>
    </w:p>
    <w:p w14:paraId="728DA5BE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>Pioneered early semantic search and QA systems using TF-IDF, BM25, SBERT, and DPR for knowledge retrieval across healthcare and fintech products.</w:t>
      </w:r>
    </w:p>
    <w:p w14:paraId="4DCE08E0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Applied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SHAP, LIME, and Fairlearn</w:t>
      </w:r>
      <w:r>
        <w:rPr>
          <w:rFonts w:ascii="Calibri" w:hAnsi="Calibri" w:eastAsia="Calibri" w:cs="Calibri"/>
          <w:color w:val="222222"/>
          <w:sz w:val="18"/>
          <w:szCs w:val="18"/>
        </w:rPr>
        <w:t xml:space="preserve"> for model interpretability and bias audits to meet responsible AI standards for regulated health and insurance clients.</w:t>
      </w:r>
    </w:p>
    <w:p w14:paraId="5852B444">
      <w:pPr>
        <w:pStyle w:val="17"/>
        <w:numPr>
          <w:ilvl w:val="0"/>
          <w:numId w:val="1"/>
        </w:numPr>
        <w:spacing w:before="0" w:after="40"/>
      </w:pPr>
      <w:r>
        <w:rPr>
          <w:rFonts w:ascii="Calibri" w:hAnsi="Calibri" w:eastAsia="Calibri" w:cs="Calibri"/>
          <w:color w:val="222222"/>
          <w:sz w:val="18"/>
          <w:szCs w:val="18"/>
        </w:rPr>
        <w:t xml:space="preserve">Managed MLOps infrastructure on </w:t>
      </w:r>
      <w:r>
        <w:rPr>
          <w:rFonts w:ascii="Calibri" w:hAnsi="Calibri" w:eastAsia="Calibri" w:cs="Calibri"/>
          <w:b/>
          <w:bCs/>
          <w:color w:val="222222"/>
          <w:sz w:val="18"/>
          <w:szCs w:val="18"/>
        </w:rPr>
        <w:t>Azure DevOps</w:t>
      </w:r>
      <w:r>
        <w:rPr>
          <w:rFonts w:ascii="Calibri" w:hAnsi="Calibri" w:eastAsia="Calibri" w:cs="Calibri"/>
          <w:color w:val="222222"/>
          <w:sz w:val="18"/>
          <w:szCs w:val="18"/>
        </w:rPr>
        <w:t xml:space="preserve"> with CI/CD pipelines, Docker/Kubernetes orchestration, and Databricks for distributed feature engineering.</w:t>
      </w:r>
    </w:p>
    <w:p w14:paraId="4372B373">
      <w:pPr>
        <w:spacing w:before="160" w:after="40"/>
      </w:pPr>
      <w:r>
        <w:rPr>
          <w:rFonts w:ascii="Calibri" w:hAnsi="Calibri" w:eastAsia="Calibri" w:cs="Calibri"/>
          <w:b/>
          <w:bCs/>
          <w:color w:val="2E4057"/>
          <w:spacing w:val="20"/>
          <w:sz w:val="19"/>
          <w:szCs w:val="19"/>
        </w:rPr>
        <w:t>EDUCATION</w:t>
      </w:r>
    </w:p>
    <w:p w14:paraId="6B21C8AB">
      <w:pPr>
        <w:pBdr>
          <w:bottom w:val="single" w:color="CCCCCC" w:sz="6" w:space="0"/>
        </w:pBdr>
        <w:spacing w:before="0" w:after="60"/>
      </w:pPr>
    </w:p>
    <w:tbl>
      <w:tblPr>
        <w:tblStyle w:val="9"/>
        <w:tblW w:w="10368" w:type="dxa"/>
        <w:tblInd w:w="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739"/>
        <w:gridCol w:w="3629"/>
      </w:tblGrid>
      <w:tr w14:paraId="74939EC6"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73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00FC8E">
            <w:pPr>
              <w:spacing w:before="80" w:after="20"/>
            </w:pPr>
            <w:r>
              <w:rPr>
                <w:rFonts w:ascii="Calibri" w:hAnsi="Calibri" w:eastAsia="Calibri" w:cs="Calibri"/>
                <w:b/>
                <w:bCs/>
                <w:color w:val="222222"/>
                <w:sz w:val="21"/>
                <w:szCs w:val="21"/>
              </w:rPr>
              <w:t>Master of Science in Computer Science</w:t>
            </w:r>
          </w:p>
          <w:p w14:paraId="7CA7B5CC">
            <w:pPr>
              <w:spacing w:before="0" w:after="0"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>University of Texas at Arlington — Texas, USA</w:t>
            </w:r>
          </w:p>
        </w:tc>
        <w:tc>
          <w:tcPr>
            <w:tcW w:w="362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CA5864">
            <w:pPr>
              <w:spacing w:before="80" w:after="20"/>
              <w:jc w:val="right"/>
            </w:pPr>
            <w:r>
              <w:rPr>
                <w:rFonts w:ascii="Calibri" w:hAnsi="Calibri" w:eastAsia="Calibri" w:cs="Calibri"/>
                <w:color w:val="555555"/>
                <w:sz w:val="18"/>
                <w:szCs w:val="18"/>
              </w:rPr>
              <w:t>Jan 2022 – Dec 2023</w:t>
            </w:r>
          </w:p>
        </w:tc>
      </w:tr>
    </w:tbl>
    <w:p w14:paraId="12D54A87"/>
    <w:sectPr>
      <w:pgSz w:w="12240" w:h="15840"/>
      <w:pgMar w:top="720" w:right="936" w:bottom="720" w:left="936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spacing w:after="40"/>
        <w:ind w:left="40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23373DD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color w:val="222222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2">
    <w:name w:val="FollowedHyperlink"/>
    <w:basedOn w:val="8"/>
    <w:uiPriority w:val="0"/>
    <w:rPr>
      <w:color w:val="800080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color w:val="222222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paragraph" w:styleId="16">
    <w:name w:val="Title"/>
    <w:qFormat/>
    <w:uiPriority w:val="0"/>
    <w:rPr>
      <w:rFonts w:ascii="Calibri" w:hAnsi="Calibri" w:eastAsia="Calibri" w:cs="Calibri"/>
      <w:color w:val="222222"/>
      <w:sz w:val="56"/>
      <w:szCs w:val="56"/>
    </w:rPr>
  </w:style>
  <w:style w:type="paragraph" w:styleId="17">
    <w:name w:val="List Paragraph"/>
    <w:qFormat/>
    <w:uiPriority w:val="0"/>
    <w:rPr>
      <w:rFonts w:ascii="Calibri" w:hAnsi="Calibri" w:eastAsia="Calibri" w:cs="Calibri"/>
      <w:color w:val="222222"/>
      <w:sz w:val="20"/>
      <w:szCs w:val="20"/>
    </w:rPr>
  </w:style>
  <w:style w:type="character" w:customStyle="1" w:styleId="18">
    <w:name w:val="Footnote Text Char"/>
    <w:link w:val="14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itejastb23@gmail.com" TargetMode="External"/><Relationship Id="rId7" Type="http://schemas.openxmlformats.org/officeDocument/2006/relationships/hyperlink" Target="https://www.linkedin.com/in/sai-teja-b-635824160/" TargetMode="External"/><Relationship Id="rId8" Type="http://schemas.openxmlformats.org/officeDocument/2006/relationships/hyperlink" Target="https://github.com/saitejastb23-hub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60</TotalTime>
  <ScaleCrop>false</ScaleCrop>
  <LinksUpToDate>false</LinksUpToDate>
  <Application>WPS Office_12.2.0.23202_F1E327BC-269C-435d-A152-05C5408002CA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2026-06-01T17:56:00Z</dcterms:created>
  <dc:creator>Un-named</dc:creator>
  <cp:lastModifiedBy>saite</cp:lastModifiedBy>
  <dcterms:modified xsi:type="dcterms:W3CDTF">2026-06-25T18:15:58Z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1033-12.2.0.23202</vt:lpwstr>
  </property>
  <property fmtid="{D5CDD505-2E9C-101B-9397-08002B2CF9AE}" pid="3" name="ICV">
    <vt:lpwstr>CB6DC4D4979D4544A860B0BC24896634_12</vt:lpwstr>
  </property>
</Properties>
</file>