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8703A"/>
          <w:sz w:val="22"/>
          <w:szCs w:val="22"/>
        </w:rPr>
        <w:t xml:space="preserve">EYE ON YOU</w:t>
      </w:r>
    </w:p>
    <w:p>
      <w:pPr>
        <w:spacing w:after="40"/>
        <w:jc w:val="center"/>
      </w:pPr>
      <w:r>
        <w:rPr>
          <w:b/>
          <w:bCs/>
          <w:color w:val="1C1E22"/>
          <w:sz w:val="30"/>
          <w:szCs w:val="30"/>
        </w:rPr>
        <w:t xml:space="preserve">MVP TECHNICAL SPECIFICATION &amp; REQUEST FOR QUOTATION</w:t>
      </w:r>
    </w:p>
    <w:p>
      <w:pPr>
        <w:spacing w:after="260"/>
        <w:jc w:val="center"/>
      </w:pPr>
      <w:r>
        <w:rPr>
          <w:i/>
          <w:iCs/>
          <w:color w:val="54595F"/>
          <w:sz w:val="19"/>
          <w:szCs w:val="19"/>
        </w:rPr>
        <w:t xml:space="preserve">Track A — Adaptive Tint Smart Eyewear (excludes electronically variable prescription optics)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03A" w:sz="8"/>
              <w:left w:val="single" w:color="B8703A" w:sz="8"/>
              <w:bottom w:val="single" w:color="B8703A" w:sz="8"/>
              <w:right w:val="single" w:color="B8703A" w:sz="8"/>
            </w:tcBorders>
            <w:shd w:fill="F4ECE2" w:val="clear"/>
            <w:tcMar>
              <w:top w:type="dxa" w:w="200"/>
              <w:left w:type="dxa" w:w="220"/>
              <w:bottom w:type="dxa" w:w="200"/>
              <w:right w:type="dxa" w:w="220"/>
            </w:tcMar>
          </w:tcPr>
          <w:p>
            <w:pPr>
              <w:spacing w:after="100"/>
            </w:pPr>
            <w:r>
              <w:rPr>
                <w:b/>
                <w:bCs/>
                <w:color w:val="5C3617"/>
                <w:sz w:val="20"/>
                <w:szCs w:val="20"/>
              </w:rPr>
              <w:t xml:space="preserve">CONFIDENTIAL</w:t>
            </w:r>
          </w:p>
          <w:p>
            <w:pPr>
              <w:spacing w:after="0"/>
            </w:pPr>
            <w:r>
              <w:rPr>
                <w:b w:val="false"/>
                <w:bCs w:val="false"/>
                <w:color w:val="5C3617"/>
                <w:sz w:val="20"/>
                <w:szCs w:val="20"/>
              </w:rPr>
              <w:t xml:space="preserve">This document contains proprietary product information belonging to the Founder. It is provided to prospective manufacturing partners solely for the purpose of quotation and feasibility assessment, and is subject to the Non-Disclosure, Non-Use, and Non-Circumvention Agreement executed between the parties.</w:t>
            </w:r>
          </w:p>
        </w:tc>
      </w:tr>
    </w:tbl>
    <w:p>
      <w:pPr>
        <w:pBdr>
          <w:bottom w:val="single" w:color="C7C2B8" w:sz="6"/>
        </w:pBdr>
        <w:spacing w:after="200"/>
      </w:pPr>
    </w:p>
    <w:p>
      <w:pPr>
        <w:pStyle w:val="Heading1"/>
        <w:spacing w:after="140" w:before="340"/>
      </w:pPr>
      <w:r>
        <w:rPr>
          <w:b/>
          <w:bCs/>
          <w:color w:val="1C1E22"/>
          <w:sz w:val="26"/>
          <w:szCs w:val="26"/>
        </w:rPr>
        <w:t xml:space="preserve">1. Product Overview</w:t>
      </w:r>
    </w:p>
    <w:p>
      <w:pPr>
        <w:spacing w:after="160"/>
      </w:pPr>
      <w:r>
        <w:rPr>
          <w:color w:val="2A2D31"/>
          <w:sz w:val="21"/>
          <w:szCs w:val="21"/>
        </w:rPr>
        <w:t xml:space="preserve">EYE ON YOU is a premium adaptive eyewear product that automatically adjusts lens tint and comfort settings based on ambient conditions, with companion mobile app control. This specification covers the Track A MVP scope only: sensor-driven adaptive tint, a passive/replaceable optical insert for prescription (ground by a licensed optician, not adjusted electronically), motion and light sensing, Bluetooth connectivity, and app-controlled modes. It does not include an electronically variable prescription lens — that capability is a separate, longer-term R&amp;D track and is out of scope for this quotation.</w:t>
      </w:r>
    </w:p>
    <w:p>
      <w:pPr>
        <w:pStyle w:val="Heading1"/>
        <w:spacing w:after="140" w:before="340"/>
      </w:pPr>
      <w:r>
        <w:rPr>
          <w:b/>
          <w:bCs/>
          <w:color w:val="1C1E22"/>
          <w:sz w:val="26"/>
          <w:szCs w:val="26"/>
        </w:rPr>
        <w:t xml:space="preserve">2. Scope of This RFQ</w:t>
      </w:r>
    </w:p>
    <w:p>
      <w:pPr>
        <w:pStyle w:val="ListParagraph"/>
        <w:numPr>
          <w:ilvl w:val="0"/>
          <w:numId w:val="2"/>
        </w:numPr>
        <w:spacing w:after="90"/>
      </w:pPr>
      <w:r>
        <w:rPr>
          <w:color w:val="2A2D31"/>
          <w:sz w:val="21"/>
          <w:szCs w:val="21"/>
        </w:rPr>
        <w:t xml:space="preserve">Frame: one silhouette for initial sampling (Classic Rectangular), unisex sizing</w:t>
      </w:r>
    </w:p>
    <w:p>
      <w:pPr>
        <w:pStyle w:val="ListParagraph"/>
        <w:numPr>
          <w:ilvl w:val="0"/>
          <w:numId w:val="2"/>
        </w:numPr>
        <w:spacing w:after="90"/>
      </w:pPr>
      <w:r>
        <w:rPr>
          <w:color w:val="2A2D31"/>
          <w:sz w:val="21"/>
          <w:szCs w:val="21"/>
        </w:rPr>
        <w:t xml:space="preserve">Lens: electrochromic or photochromic tint layer, clear-to-dark transmission range, laminated over a passive corrective or plano base lens</w:t>
      </w:r>
    </w:p>
    <w:p>
      <w:pPr>
        <w:pStyle w:val="ListParagraph"/>
        <w:numPr>
          <w:ilvl w:val="0"/>
          <w:numId w:val="2"/>
        </w:numPr>
        <w:spacing w:after="90"/>
      </w:pPr>
      <w:r>
        <w:rPr>
          <w:color w:val="2A2D31"/>
          <w:sz w:val="21"/>
          <w:szCs w:val="21"/>
        </w:rPr>
        <w:t xml:space="preserve">Electronics: ambient light sensor, IMU, BLE module, MCU, battery, charging contacts, status LED, physical button</w:t>
      </w:r>
    </w:p>
    <w:p>
      <w:pPr>
        <w:pStyle w:val="ListParagraph"/>
        <w:numPr>
          <w:ilvl w:val="0"/>
          <w:numId w:val="2"/>
        </w:numPr>
        <w:spacing w:after="90"/>
      </w:pPr>
      <w:r>
        <w:rPr>
          <w:color w:val="2A2D31"/>
          <w:sz w:val="21"/>
          <w:szCs w:val="21"/>
        </w:rPr>
        <w:t xml:space="preserve">Charging case: compact case with battery, USB-C input, magnetic charging contacts for the glasses</w:t>
      </w:r>
    </w:p>
    <w:p>
      <w:pPr>
        <w:pStyle w:val="ListParagraph"/>
        <w:numPr>
          <w:ilvl w:val="0"/>
          <w:numId w:val="2"/>
        </w:numPr>
        <w:spacing w:after="90"/>
      </w:pPr>
      <w:r>
        <w:rPr>
          <w:color w:val="2A2D31"/>
          <w:sz w:val="21"/>
          <w:szCs w:val="21"/>
        </w:rPr>
        <w:t xml:space="preserve">Firmware: basic sensor-to-tint control loop and BLE communication with a companion app (app itself developed separately by Founder's team)</w:t>
      </w:r>
    </w:p>
    <w:p>
      <w:pPr>
        <w:pStyle w:val="Heading1"/>
        <w:spacing w:after="140" w:before="340"/>
      </w:pPr>
      <w:r>
        <w:rPr>
          <w:b/>
          <w:bCs/>
          <w:color w:val="1C1E22"/>
          <w:sz w:val="26"/>
          <w:szCs w:val="26"/>
        </w:rPr>
        <w:t xml:space="preserve">3. Bill of Materials /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2280"/>
      </w:tblGrid>
      <w:tr>
        <w:trPr>
          <w:tblHeader/>
        </w:trPr>
        <w:tc>
          <w:tcPr>
            <w:tcW w:type="dxa" w:w="2400"/>
            <w:shd w:fill="1C1E22" w:val="clear"/>
            <w:tcMar>
              <w:top w:type="dxa" w:w="100"/>
              <w:left w:type="dxa" w:w="120"/>
              <w:bottom w:type="dxa" w:w="100"/>
              <w:right w:type="dxa" w:w="120"/>
            </w:tcMar>
            <w:vAlign w:val="center"/>
          </w:tcPr>
          <w:p>
            <w:r>
              <w:rPr>
                <w:b/>
                <w:bCs/>
                <w:color w:val="FFFFFF"/>
                <w:sz w:val="19"/>
                <w:szCs w:val="19"/>
              </w:rPr>
              <w:t xml:space="preserve">Component</w:t>
            </w:r>
          </w:p>
        </w:tc>
        <w:tc>
          <w:tcPr>
            <w:tcW w:type="dxa" w:w="4680"/>
            <w:shd w:fill="1C1E22" w:val="clear"/>
            <w:tcMar>
              <w:top w:type="dxa" w:w="100"/>
              <w:left w:type="dxa" w:w="120"/>
              <w:bottom w:type="dxa" w:w="100"/>
              <w:right w:type="dxa" w:w="120"/>
            </w:tcMar>
            <w:vAlign w:val="center"/>
          </w:tcPr>
          <w:p>
            <w:r>
              <w:rPr>
                <w:b/>
                <w:bCs/>
                <w:color w:val="FFFFFF"/>
                <w:sz w:val="19"/>
                <w:szCs w:val="19"/>
              </w:rPr>
              <w:t xml:space="preserve">Specification</w:t>
            </w:r>
          </w:p>
        </w:tc>
        <w:tc>
          <w:tcPr>
            <w:tcW w:type="dxa" w:w="2280"/>
            <w:shd w:fill="1C1E22" w:val="clear"/>
            <w:tcMar>
              <w:top w:type="dxa" w:w="100"/>
              <w:left w:type="dxa" w:w="120"/>
              <w:bottom w:type="dxa" w:w="100"/>
              <w:right w:type="dxa" w:w="120"/>
            </w:tcMar>
            <w:vAlign w:val="center"/>
          </w:tcPr>
          <w:p>
            <w:r>
              <w:rPr>
                <w:b/>
                <w:bCs/>
                <w:color w:val="FFFFFF"/>
                <w:sz w:val="19"/>
                <w:szCs w:val="19"/>
              </w:rPr>
              <w:t xml:space="preserve">Notes</w:t>
            </w:r>
          </w:p>
        </w:tc>
      </w:tr>
      <w:tr>
        <w:tc>
          <w:tcPr>
            <w:tcW w:type="dxa" w:w="2400"/>
            <w:shd w:fill="FFFFFF" w:val="clear"/>
            <w:tcMar>
              <w:top w:type="dxa" w:w="90"/>
              <w:left w:type="dxa" w:w="120"/>
              <w:bottom w:type="dxa" w:w="90"/>
              <w:right w:type="dxa" w:w="120"/>
            </w:tcMar>
            <w:vAlign w:val="center"/>
          </w:tcPr>
          <w:p>
            <w:r>
              <w:rPr>
                <w:color w:val="2A2D31"/>
                <w:sz w:val="19"/>
                <w:szCs w:val="19"/>
              </w:rPr>
              <w:t xml:space="preserve">Frame</w:t>
            </w:r>
          </w:p>
        </w:tc>
        <w:tc>
          <w:tcPr>
            <w:tcW w:type="dxa" w:w="4680"/>
            <w:shd w:fill="FFFFFF" w:val="clear"/>
            <w:tcMar>
              <w:top w:type="dxa" w:w="90"/>
              <w:left w:type="dxa" w:w="120"/>
              <w:bottom w:type="dxa" w:w="90"/>
              <w:right w:type="dxa" w:w="120"/>
            </w:tcMar>
            <w:vAlign w:val="center"/>
          </w:tcPr>
          <w:p>
            <w:r>
              <w:rPr>
                <w:color w:val="2A2D31"/>
                <w:sz w:val="19"/>
                <w:szCs w:val="19"/>
              </w:rPr>
              <w:t xml:space="preserve">Titanium alloy or bio-acetate; target weight 26–31g complete</w:t>
            </w:r>
          </w:p>
        </w:tc>
        <w:tc>
          <w:tcPr>
            <w:tcW w:type="dxa" w:w="2280"/>
            <w:shd w:fill="FFFFFF" w:val="clear"/>
            <w:tcMar>
              <w:top w:type="dxa" w:w="90"/>
              <w:left w:type="dxa" w:w="120"/>
              <w:bottom w:type="dxa" w:w="90"/>
              <w:right w:type="dxa" w:w="120"/>
            </w:tcMar>
            <w:vAlign w:val="center"/>
          </w:tcPr>
          <w:p>
            <w:r>
              <w:rPr>
                <w:color w:val="2A2D31"/>
                <w:sz w:val="19"/>
                <w:szCs w:val="19"/>
              </w:rPr>
              <w:t xml:space="preserve">Classic Rectangular style for first sample</w:t>
            </w:r>
          </w:p>
        </w:tc>
      </w:tr>
      <w:tr>
        <w:tc>
          <w:tcPr>
            <w:tcW w:type="dxa" w:w="2400"/>
            <w:shd w:fill="F5F4F1" w:val="clear"/>
            <w:tcMar>
              <w:top w:type="dxa" w:w="90"/>
              <w:left w:type="dxa" w:w="120"/>
              <w:bottom w:type="dxa" w:w="90"/>
              <w:right w:type="dxa" w:w="120"/>
            </w:tcMar>
            <w:vAlign w:val="center"/>
          </w:tcPr>
          <w:p>
            <w:r>
              <w:rPr>
                <w:color w:val="2A2D31"/>
                <w:sz w:val="19"/>
                <w:szCs w:val="19"/>
              </w:rPr>
              <w:t xml:space="preserve">Lens — tint layer</w:t>
            </w:r>
          </w:p>
        </w:tc>
        <w:tc>
          <w:tcPr>
            <w:tcW w:type="dxa" w:w="4680"/>
            <w:shd w:fill="F5F4F1" w:val="clear"/>
            <w:tcMar>
              <w:top w:type="dxa" w:w="90"/>
              <w:left w:type="dxa" w:w="120"/>
              <w:bottom w:type="dxa" w:w="90"/>
              <w:right w:type="dxa" w:w="120"/>
            </w:tcMar>
            <w:vAlign w:val="center"/>
          </w:tcPr>
          <w:p>
            <w:r>
              <w:rPr>
                <w:color w:val="2A2D31"/>
                <w:sz w:val="19"/>
                <w:szCs w:val="19"/>
              </w:rPr>
              <w:t xml:space="preserve">Electrochromic or high-quality photochromic film; clear (~90% transmission) to dark (~15% transmission)</w:t>
            </w:r>
          </w:p>
        </w:tc>
        <w:tc>
          <w:tcPr>
            <w:tcW w:type="dxa" w:w="2280"/>
            <w:shd w:fill="F5F4F1" w:val="clear"/>
            <w:tcMar>
              <w:top w:type="dxa" w:w="90"/>
              <w:left w:type="dxa" w:w="120"/>
              <w:bottom w:type="dxa" w:w="90"/>
              <w:right w:type="dxa" w:w="120"/>
            </w:tcMar>
            <w:vAlign w:val="center"/>
          </w:tcPr>
          <w:p>
            <w:r>
              <w:rPr>
                <w:color w:val="2A2D31"/>
                <w:sz w:val="19"/>
                <w:szCs w:val="19"/>
              </w:rPr>
              <w:t xml:space="preserve">Must not require a visible driver chip inside the lens field of view</w:t>
            </w:r>
          </w:p>
        </w:tc>
      </w:tr>
      <w:tr>
        <w:tc>
          <w:tcPr>
            <w:tcW w:type="dxa" w:w="2400"/>
            <w:shd w:fill="FFFFFF" w:val="clear"/>
            <w:tcMar>
              <w:top w:type="dxa" w:w="90"/>
              <w:left w:type="dxa" w:w="120"/>
              <w:bottom w:type="dxa" w:w="90"/>
              <w:right w:type="dxa" w:w="120"/>
            </w:tcMar>
            <w:vAlign w:val="center"/>
          </w:tcPr>
          <w:p>
            <w:r>
              <w:rPr>
                <w:color w:val="2A2D31"/>
                <w:sz w:val="19"/>
                <w:szCs w:val="19"/>
              </w:rPr>
              <w:t xml:space="preserve">Lens — base optical layer</w:t>
            </w:r>
          </w:p>
        </w:tc>
        <w:tc>
          <w:tcPr>
            <w:tcW w:type="dxa" w:w="4680"/>
            <w:shd w:fill="FFFFFF" w:val="clear"/>
            <w:tcMar>
              <w:top w:type="dxa" w:w="90"/>
              <w:left w:type="dxa" w:w="120"/>
              <w:bottom w:type="dxa" w:w="90"/>
              <w:right w:type="dxa" w:w="120"/>
            </w:tcMar>
            <w:vAlign w:val="center"/>
          </w:tcPr>
          <w:p>
            <w:r>
              <w:rPr>
                <w:color w:val="2A2D31"/>
                <w:sz w:val="19"/>
                <w:szCs w:val="19"/>
              </w:rPr>
              <w:t xml:space="preserve">Passive plano or single-vision ground lens, standard optical-grade polycarbonate or CR-39</w:t>
            </w:r>
          </w:p>
        </w:tc>
        <w:tc>
          <w:tcPr>
            <w:tcW w:type="dxa" w:w="2280"/>
            <w:shd w:fill="FFFFFF" w:val="clear"/>
            <w:tcMar>
              <w:top w:type="dxa" w:w="90"/>
              <w:left w:type="dxa" w:w="120"/>
              <w:bottom w:type="dxa" w:w="90"/>
              <w:right w:type="dxa" w:w="120"/>
            </w:tcMar>
            <w:vAlign w:val="center"/>
          </w:tcPr>
          <w:p>
            <w:r>
              <w:rPr>
                <w:color w:val="2A2D31"/>
                <w:sz w:val="19"/>
                <w:szCs w:val="19"/>
              </w:rPr>
              <w:t xml:space="preserve">Prescription glazing done by optician post-manufacture, not by factory</w:t>
            </w:r>
          </w:p>
        </w:tc>
      </w:tr>
      <w:tr>
        <w:tc>
          <w:tcPr>
            <w:tcW w:type="dxa" w:w="2400"/>
            <w:shd w:fill="F5F4F1" w:val="clear"/>
            <w:tcMar>
              <w:top w:type="dxa" w:w="90"/>
              <w:left w:type="dxa" w:w="120"/>
              <w:bottom w:type="dxa" w:w="90"/>
              <w:right w:type="dxa" w:w="120"/>
            </w:tcMar>
            <w:vAlign w:val="center"/>
          </w:tcPr>
          <w:p>
            <w:r>
              <w:rPr>
                <w:color w:val="2A2D31"/>
                <w:sz w:val="19"/>
                <w:szCs w:val="19"/>
              </w:rPr>
              <w:t xml:space="preserve">Ambient light sensor</w:t>
            </w:r>
          </w:p>
        </w:tc>
        <w:tc>
          <w:tcPr>
            <w:tcW w:type="dxa" w:w="4680"/>
            <w:shd w:fill="F5F4F1" w:val="clear"/>
            <w:tcMar>
              <w:top w:type="dxa" w:w="90"/>
              <w:left w:type="dxa" w:w="120"/>
              <w:bottom w:type="dxa" w:w="90"/>
              <w:right w:type="dxa" w:w="120"/>
            </w:tcMar>
            <w:vAlign w:val="center"/>
          </w:tcPr>
          <w:p>
            <w:r>
              <w:rPr>
                <w:color w:val="2A2D31"/>
                <w:sz w:val="19"/>
                <w:szCs w:val="19"/>
              </w:rPr>
              <w:t xml:space="preserve">Digital ALS, I2C interface, lux range 1–65,000</w:t>
            </w:r>
          </w:p>
        </w:tc>
        <w:tc>
          <w:tcPr>
            <w:tcW w:type="dxa" w:w="2280"/>
            <w:shd w:fill="F5F4F1" w:val="clear"/>
            <w:tcMar>
              <w:top w:type="dxa" w:w="90"/>
              <w:left w:type="dxa" w:w="120"/>
              <w:bottom w:type="dxa" w:w="90"/>
              <w:right w:type="dxa" w:w="120"/>
            </w:tcMar>
            <w:vAlign w:val="center"/>
          </w:tcPr>
          <w:p>
            <w:r>
              <w:rPr>
                <w:color w:val="2A2D31"/>
                <w:sz w:val="19"/>
                <w:szCs w:val="19"/>
              </w:rPr>
              <w:t xml:space="preserve">Mounted at upper lens edge or bridge, unobtrusive</w:t>
            </w:r>
          </w:p>
        </w:tc>
      </w:tr>
      <w:tr>
        <w:tc>
          <w:tcPr>
            <w:tcW w:type="dxa" w:w="2400"/>
            <w:shd w:fill="FFFFFF" w:val="clear"/>
            <w:tcMar>
              <w:top w:type="dxa" w:w="90"/>
              <w:left w:type="dxa" w:w="120"/>
              <w:bottom w:type="dxa" w:w="90"/>
              <w:right w:type="dxa" w:w="120"/>
            </w:tcMar>
            <w:vAlign w:val="center"/>
          </w:tcPr>
          <w:p>
            <w:r>
              <w:rPr>
                <w:color w:val="2A2D31"/>
                <w:sz w:val="19"/>
                <w:szCs w:val="19"/>
              </w:rPr>
              <w:t xml:space="preserve">Motion sensor (IMU)</w:t>
            </w:r>
          </w:p>
        </w:tc>
        <w:tc>
          <w:tcPr>
            <w:tcW w:type="dxa" w:w="4680"/>
            <w:shd w:fill="FFFFFF" w:val="clear"/>
            <w:tcMar>
              <w:top w:type="dxa" w:w="90"/>
              <w:left w:type="dxa" w:w="120"/>
              <w:bottom w:type="dxa" w:w="90"/>
              <w:right w:type="dxa" w:w="120"/>
            </w:tcMar>
            <w:vAlign w:val="center"/>
          </w:tcPr>
          <w:p>
            <w:r>
              <w:rPr>
                <w:color w:val="2A2D31"/>
                <w:sz w:val="19"/>
                <w:szCs w:val="19"/>
              </w:rPr>
              <w:t xml:space="preserve">6-axis accelerometer + gyroscope, low-power mode</w:t>
            </w:r>
          </w:p>
        </w:tc>
        <w:tc>
          <w:tcPr>
            <w:tcW w:type="dxa" w:w="2280"/>
            <w:shd w:fill="FFFFFF" w:val="clear"/>
            <w:tcMar>
              <w:top w:type="dxa" w:w="90"/>
              <w:left w:type="dxa" w:w="120"/>
              <w:bottom w:type="dxa" w:w="90"/>
              <w:right w:type="dxa" w:w="120"/>
            </w:tcMar>
            <w:vAlign w:val="center"/>
          </w:tcPr>
          <w:p>
            <w:r>
              <w:rPr>
                <w:color w:val="2A2D31"/>
                <w:sz w:val="19"/>
                <w:szCs w:val="19"/>
              </w:rPr>
              <w:t xml:space="preserve">Used for wear detection and basic activity sensing</w:t>
            </w:r>
          </w:p>
        </w:tc>
      </w:tr>
      <w:tr>
        <w:tc>
          <w:tcPr>
            <w:tcW w:type="dxa" w:w="2400"/>
            <w:shd w:fill="F5F4F1" w:val="clear"/>
            <w:tcMar>
              <w:top w:type="dxa" w:w="90"/>
              <w:left w:type="dxa" w:w="120"/>
              <w:bottom w:type="dxa" w:w="90"/>
              <w:right w:type="dxa" w:w="120"/>
            </w:tcMar>
            <w:vAlign w:val="center"/>
          </w:tcPr>
          <w:p>
            <w:r>
              <w:rPr>
                <w:color w:val="2A2D31"/>
                <w:sz w:val="19"/>
                <w:szCs w:val="19"/>
              </w:rPr>
              <w:t xml:space="preserve">Connectivity</w:t>
            </w:r>
          </w:p>
        </w:tc>
        <w:tc>
          <w:tcPr>
            <w:tcW w:type="dxa" w:w="4680"/>
            <w:shd w:fill="F5F4F1" w:val="clear"/>
            <w:tcMar>
              <w:top w:type="dxa" w:w="90"/>
              <w:left w:type="dxa" w:w="120"/>
              <w:bottom w:type="dxa" w:w="90"/>
              <w:right w:type="dxa" w:w="120"/>
            </w:tcMar>
            <w:vAlign w:val="center"/>
          </w:tcPr>
          <w:p>
            <w:r>
              <w:rPr>
                <w:color w:val="2A2D31"/>
                <w:sz w:val="19"/>
                <w:szCs w:val="19"/>
              </w:rPr>
              <w:t xml:space="preserve">Bluetooth Low Energy 5.3, standard GATT profile</w:t>
            </w:r>
          </w:p>
        </w:tc>
        <w:tc>
          <w:tcPr>
            <w:tcW w:type="dxa" w:w="2280"/>
            <w:shd w:fill="F5F4F1" w:val="clear"/>
            <w:tcMar>
              <w:top w:type="dxa" w:w="90"/>
              <w:left w:type="dxa" w:w="120"/>
              <w:bottom w:type="dxa" w:w="90"/>
              <w:right w:type="dxa" w:w="120"/>
            </w:tcMar>
            <w:vAlign w:val="center"/>
          </w:tcPr>
          <w:p>
            <w:r>
              <w:rPr>
                <w:color w:val="2A2D31"/>
                <w:sz w:val="19"/>
                <w:szCs w:val="19"/>
              </w:rPr>
              <w:t xml:space="preserve">Must support custom service/characteristic for app control</w:t>
            </w:r>
          </w:p>
        </w:tc>
      </w:tr>
      <w:tr>
        <w:tc>
          <w:tcPr>
            <w:tcW w:type="dxa" w:w="2400"/>
            <w:shd w:fill="FFFFFF" w:val="clear"/>
            <w:tcMar>
              <w:top w:type="dxa" w:w="90"/>
              <w:left w:type="dxa" w:w="120"/>
              <w:bottom w:type="dxa" w:w="90"/>
              <w:right w:type="dxa" w:w="120"/>
            </w:tcMar>
            <w:vAlign w:val="center"/>
          </w:tcPr>
          <w:p>
            <w:r>
              <w:rPr>
                <w:color w:val="2A2D31"/>
                <w:sz w:val="19"/>
                <w:szCs w:val="19"/>
              </w:rPr>
              <w:t xml:space="preserve">Processor</w:t>
            </w:r>
          </w:p>
        </w:tc>
        <w:tc>
          <w:tcPr>
            <w:tcW w:type="dxa" w:w="4680"/>
            <w:shd w:fill="FFFFFF" w:val="clear"/>
            <w:tcMar>
              <w:top w:type="dxa" w:w="90"/>
              <w:left w:type="dxa" w:w="120"/>
              <w:bottom w:type="dxa" w:w="90"/>
              <w:right w:type="dxa" w:w="120"/>
            </w:tcMar>
            <w:vAlign w:val="center"/>
          </w:tcPr>
          <w:p>
            <w:r>
              <w:rPr>
                <w:color w:val="2A2D31"/>
                <w:sz w:val="19"/>
                <w:szCs w:val="19"/>
              </w:rPr>
              <w:t xml:space="preserve">Low-power ARM Cortex-M0/M4 class MCU</w:t>
            </w:r>
          </w:p>
        </w:tc>
        <w:tc>
          <w:tcPr>
            <w:tcW w:type="dxa" w:w="2280"/>
            <w:shd w:fill="FFFFFF" w:val="clear"/>
            <w:tcMar>
              <w:top w:type="dxa" w:w="90"/>
              <w:left w:type="dxa" w:w="120"/>
              <w:bottom w:type="dxa" w:w="90"/>
              <w:right w:type="dxa" w:w="120"/>
            </w:tcMar>
            <w:vAlign w:val="center"/>
          </w:tcPr>
          <w:p>
            <w:r>
              <w:rPr>
                <w:color w:val="2A2D31"/>
                <w:sz w:val="19"/>
                <w:szCs w:val="19"/>
              </w:rPr>
              <w:t xml:space="preserve">Sufficient for sensor fusion + BLE stack</w:t>
            </w:r>
          </w:p>
        </w:tc>
      </w:tr>
      <w:tr>
        <w:tc>
          <w:tcPr>
            <w:tcW w:type="dxa" w:w="2400"/>
            <w:shd w:fill="F5F4F1" w:val="clear"/>
            <w:tcMar>
              <w:top w:type="dxa" w:w="90"/>
              <w:left w:type="dxa" w:w="120"/>
              <w:bottom w:type="dxa" w:w="90"/>
              <w:right w:type="dxa" w:w="120"/>
            </w:tcMar>
            <w:vAlign w:val="center"/>
          </w:tcPr>
          <w:p>
            <w:r>
              <w:rPr>
                <w:color w:val="2A2D31"/>
                <w:sz w:val="19"/>
                <w:szCs w:val="19"/>
              </w:rPr>
              <w:t xml:space="preserve">Battery</w:t>
            </w:r>
          </w:p>
        </w:tc>
        <w:tc>
          <w:tcPr>
            <w:tcW w:type="dxa" w:w="4680"/>
            <w:shd w:fill="F5F4F1" w:val="clear"/>
            <w:tcMar>
              <w:top w:type="dxa" w:w="90"/>
              <w:left w:type="dxa" w:w="120"/>
              <w:bottom w:type="dxa" w:w="90"/>
              <w:right w:type="dxa" w:w="120"/>
            </w:tcMar>
            <w:vAlign w:val="center"/>
          </w:tcPr>
          <w:p>
            <w:r>
              <w:rPr>
                <w:color w:val="2A2D31"/>
                <w:sz w:val="19"/>
                <w:szCs w:val="19"/>
              </w:rPr>
              <w:t xml:space="preserve">Li-polymer, target 35–40mAh per temple</w:t>
            </w:r>
          </w:p>
        </w:tc>
        <w:tc>
          <w:tcPr>
            <w:tcW w:type="dxa" w:w="2280"/>
            <w:shd w:fill="F5F4F1" w:val="clear"/>
            <w:tcMar>
              <w:top w:type="dxa" w:w="90"/>
              <w:left w:type="dxa" w:w="120"/>
              <w:bottom w:type="dxa" w:w="90"/>
              <w:right w:type="dxa" w:w="120"/>
            </w:tcMar>
            <w:vAlign w:val="center"/>
          </w:tcPr>
          <w:p>
            <w:r>
              <w:rPr>
                <w:color w:val="2A2D31"/>
                <w:sz w:val="19"/>
                <w:szCs w:val="19"/>
              </w:rPr>
              <w:t xml:space="preserve">UN38.3 certified cells required for air freight</w:t>
            </w:r>
          </w:p>
        </w:tc>
      </w:tr>
      <w:tr>
        <w:tc>
          <w:tcPr>
            <w:tcW w:type="dxa" w:w="2400"/>
            <w:shd w:fill="FFFFFF" w:val="clear"/>
            <w:tcMar>
              <w:top w:type="dxa" w:w="90"/>
              <w:left w:type="dxa" w:w="120"/>
              <w:bottom w:type="dxa" w:w="90"/>
              <w:right w:type="dxa" w:w="120"/>
            </w:tcMar>
            <w:vAlign w:val="center"/>
          </w:tcPr>
          <w:p>
            <w:r>
              <w:rPr>
                <w:color w:val="2A2D31"/>
                <w:sz w:val="19"/>
                <w:szCs w:val="19"/>
              </w:rPr>
              <w:t xml:space="preserve">Charging</w:t>
            </w:r>
          </w:p>
        </w:tc>
        <w:tc>
          <w:tcPr>
            <w:tcW w:type="dxa" w:w="4680"/>
            <w:shd w:fill="FFFFFF" w:val="clear"/>
            <w:tcMar>
              <w:top w:type="dxa" w:w="90"/>
              <w:left w:type="dxa" w:w="120"/>
              <w:bottom w:type="dxa" w:w="90"/>
              <w:right w:type="dxa" w:w="120"/>
            </w:tcMar>
            <w:vAlign w:val="center"/>
          </w:tcPr>
          <w:p>
            <w:r>
              <w:rPr>
                <w:color w:val="2A2D31"/>
                <w:sz w:val="19"/>
                <w:szCs w:val="19"/>
              </w:rPr>
              <w:t xml:space="preserve">Magnetic pogo-pin contacts, 2–4 pin</w:t>
            </w:r>
          </w:p>
        </w:tc>
        <w:tc>
          <w:tcPr>
            <w:tcW w:type="dxa" w:w="2280"/>
            <w:shd w:fill="FFFFFF" w:val="clear"/>
            <w:tcMar>
              <w:top w:type="dxa" w:w="90"/>
              <w:left w:type="dxa" w:w="120"/>
              <w:bottom w:type="dxa" w:w="90"/>
              <w:right w:type="dxa" w:w="120"/>
            </w:tcMar>
            <w:vAlign w:val="center"/>
          </w:tcPr>
          <w:p>
            <w:r>
              <w:rPr>
                <w:color w:val="2A2D31"/>
                <w:sz w:val="19"/>
                <w:szCs w:val="19"/>
              </w:rPr>
              <w:t xml:space="preserve">Auto-aligning with case dock</w:t>
            </w:r>
          </w:p>
        </w:tc>
      </w:tr>
      <w:tr>
        <w:tc>
          <w:tcPr>
            <w:tcW w:type="dxa" w:w="2400"/>
            <w:shd w:fill="F5F4F1" w:val="clear"/>
            <w:tcMar>
              <w:top w:type="dxa" w:w="90"/>
              <w:left w:type="dxa" w:w="120"/>
              <w:bottom w:type="dxa" w:w="90"/>
              <w:right w:type="dxa" w:w="120"/>
            </w:tcMar>
            <w:vAlign w:val="center"/>
          </w:tcPr>
          <w:p>
            <w:r>
              <w:rPr>
                <w:color w:val="2A2D31"/>
                <w:sz w:val="19"/>
                <w:szCs w:val="19"/>
              </w:rPr>
              <w:t xml:space="preserve">Controls</w:t>
            </w:r>
          </w:p>
        </w:tc>
        <w:tc>
          <w:tcPr>
            <w:tcW w:type="dxa" w:w="4680"/>
            <w:shd w:fill="F5F4F1" w:val="clear"/>
            <w:tcMar>
              <w:top w:type="dxa" w:w="90"/>
              <w:left w:type="dxa" w:w="120"/>
              <w:bottom w:type="dxa" w:w="90"/>
              <w:right w:type="dxa" w:w="120"/>
            </w:tcMar>
            <w:vAlign w:val="center"/>
          </w:tcPr>
          <w:p>
            <w:r>
              <w:rPr>
                <w:color w:val="2A2D31"/>
                <w:sz w:val="19"/>
                <w:szCs w:val="19"/>
              </w:rPr>
              <w:t xml:space="preserve">One physical push button minimum</w:t>
            </w:r>
          </w:p>
        </w:tc>
        <w:tc>
          <w:tcPr>
            <w:tcW w:type="dxa" w:w="2280"/>
            <w:shd w:fill="F5F4F1" w:val="clear"/>
            <w:tcMar>
              <w:top w:type="dxa" w:w="90"/>
              <w:left w:type="dxa" w:w="120"/>
              <w:bottom w:type="dxa" w:w="90"/>
              <w:right w:type="dxa" w:w="120"/>
            </w:tcMar>
            <w:vAlign w:val="center"/>
          </w:tcPr>
          <w:p>
            <w:r>
              <w:rPr>
                <w:color w:val="2A2D31"/>
                <w:sz w:val="19"/>
                <w:szCs w:val="19"/>
              </w:rPr>
              <w:t xml:space="preserve">Capacitive touch zone optional, secondary</w:t>
            </w:r>
          </w:p>
        </w:tc>
      </w:tr>
      <w:tr>
        <w:tc>
          <w:tcPr>
            <w:tcW w:type="dxa" w:w="2400"/>
            <w:shd w:fill="FFFFFF" w:val="clear"/>
            <w:tcMar>
              <w:top w:type="dxa" w:w="90"/>
              <w:left w:type="dxa" w:w="120"/>
              <w:bottom w:type="dxa" w:w="90"/>
              <w:right w:type="dxa" w:w="120"/>
            </w:tcMar>
            <w:vAlign w:val="center"/>
          </w:tcPr>
          <w:p>
            <w:r>
              <w:rPr>
                <w:color w:val="2A2D31"/>
                <w:sz w:val="19"/>
                <w:szCs w:val="19"/>
              </w:rPr>
              <w:t xml:space="preserve">Status LED</w:t>
            </w:r>
          </w:p>
        </w:tc>
        <w:tc>
          <w:tcPr>
            <w:tcW w:type="dxa" w:w="4680"/>
            <w:shd w:fill="FFFFFF" w:val="clear"/>
            <w:tcMar>
              <w:top w:type="dxa" w:w="90"/>
              <w:left w:type="dxa" w:w="120"/>
              <w:bottom w:type="dxa" w:w="90"/>
              <w:right w:type="dxa" w:w="120"/>
            </w:tcMar>
            <w:vAlign w:val="center"/>
          </w:tcPr>
          <w:p>
            <w:r>
              <w:rPr>
                <w:color w:val="2A2D31"/>
                <w:sz w:val="19"/>
                <w:szCs w:val="19"/>
              </w:rPr>
              <w:t xml:space="preserve">Single color, &lt;2mm visible aperture</w:t>
            </w:r>
          </w:p>
        </w:tc>
        <w:tc>
          <w:tcPr>
            <w:tcW w:type="dxa" w:w="2280"/>
            <w:shd w:fill="FFFFFF" w:val="clear"/>
            <w:tcMar>
              <w:top w:type="dxa" w:w="90"/>
              <w:left w:type="dxa" w:w="120"/>
              <w:bottom w:type="dxa" w:w="90"/>
              <w:right w:type="dxa" w:w="120"/>
            </w:tcMar>
            <w:vAlign w:val="center"/>
          </w:tcPr>
          <w:p>
            <w:r>
              <w:rPr>
                <w:color w:val="2A2D31"/>
                <w:sz w:val="19"/>
                <w:szCs w:val="19"/>
              </w:rPr>
              <w:t xml:space="preserve">Brightness should scale with ambient light</w:t>
            </w:r>
          </w:p>
        </w:tc>
      </w:tr>
      <w:tr>
        <w:tc>
          <w:tcPr>
            <w:tcW w:type="dxa" w:w="2400"/>
            <w:shd w:fill="F5F4F1" w:val="clear"/>
            <w:tcMar>
              <w:top w:type="dxa" w:w="90"/>
              <w:left w:type="dxa" w:w="120"/>
              <w:bottom w:type="dxa" w:w="90"/>
              <w:right w:type="dxa" w:w="120"/>
            </w:tcMar>
            <w:vAlign w:val="center"/>
          </w:tcPr>
          <w:p>
            <w:r>
              <w:rPr>
                <w:color w:val="2A2D31"/>
                <w:sz w:val="19"/>
                <w:szCs w:val="19"/>
              </w:rPr>
              <w:t xml:space="preserve">Nose pads</w:t>
            </w:r>
          </w:p>
        </w:tc>
        <w:tc>
          <w:tcPr>
            <w:tcW w:type="dxa" w:w="4680"/>
            <w:shd w:fill="F5F4F1" w:val="clear"/>
            <w:tcMar>
              <w:top w:type="dxa" w:w="90"/>
              <w:left w:type="dxa" w:w="120"/>
              <w:bottom w:type="dxa" w:w="90"/>
              <w:right w:type="dxa" w:w="120"/>
            </w:tcMar>
            <w:vAlign w:val="center"/>
          </w:tcPr>
          <w:p>
            <w:r>
              <w:rPr>
                <w:color w:val="2A2D31"/>
                <w:sz w:val="19"/>
                <w:szCs w:val="19"/>
              </w:rPr>
              <w:t xml:space="preserve">Replaceable silicone, 3 sizes</w:t>
            </w:r>
          </w:p>
        </w:tc>
        <w:tc>
          <w:tcPr>
            <w:tcW w:type="dxa" w:w="2280"/>
            <w:shd w:fill="F5F4F1" w:val="clear"/>
            <w:tcMar>
              <w:top w:type="dxa" w:w="90"/>
              <w:left w:type="dxa" w:w="120"/>
              <w:bottom w:type="dxa" w:w="90"/>
              <w:right w:type="dxa" w:w="120"/>
            </w:tcMar>
            <w:vAlign w:val="center"/>
          </w:tcPr>
          <w:p>
            <w:r>
              <w:rPr>
                <w:color w:val="2A2D31"/>
                <w:sz w:val="19"/>
                <w:szCs w:val="19"/>
              </w:rPr>
              <w:t xml:space="preserve">Standard eyewear industry mounting</w:t>
            </w:r>
          </w:p>
        </w:tc>
      </w:tr>
      <w:tr>
        <w:tc>
          <w:tcPr>
            <w:tcW w:type="dxa" w:w="2400"/>
            <w:shd w:fill="FFFFFF" w:val="clear"/>
            <w:tcMar>
              <w:top w:type="dxa" w:w="90"/>
              <w:left w:type="dxa" w:w="120"/>
              <w:bottom w:type="dxa" w:w="90"/>
              <w:right w:type="dxa" w:w="120"/>
            </w:tcMar>
            <w:vAlign w:val="center"/>
          </w:tcPr>
          <w:p>
            <w:r>
              <w:rPr>
                <w:color w:val="2A2D31"/>
                <w:sz w:val="19"/>
                <w:szCs w:val="19"/>
              </w:rPr>
              <w:t xml:space="preserve">Water resistance</w:t>
            </w:r>
          </w:p>
        </w:tc>
        <w:tc>
          <w:tcPr>
            <w:tcW w:type="dxa" w:w="4680"/>
            <w:shd w:fill="FFFFFF" w:val="clear"/>
            <w:tcMar>
              <w:top w:type="dxa" w:w="90"/>
              <w:left w:type="dxa" w:w="120"/>
              <w:bottom w:type="dxa" w:w="90"/>
              <w:right w:type="dxa" w:w="120"/>
            </w:tcMar>
            <w:vAlign w:val="center"/>
          </w:tcPr>
          <w:p>
            <w:r>
              <w:rPr>
                <w:color w:val="2A2D31"/>
                <w:sz w:val="19"/>
                <w:szCs w:val="19"/>
              </w:rPr>
              <w:t xml:space="preserve">IPX4 minimum</w:t>
            </w:r>
          </w:p>
        </w:tc>
        <w:tc>
          <w:tcPr>
            <w:tcW w:type="dxa" w:w="2280"/>
            <w:shd w:fill="FFFFFF" w:val="clear"/>
            <w:tcMar>
              <w:top w:type="dxa" w:w="90"/>
              <w:left w:type="dxa" w:w="120"/>
              <w:bottom w:type="dxa" w:w="90"/>
              <w:right w:type="dxa" w:w="120"/>
            </w:tcMar>
            <w:vAlign w:val="center"/>
          </w:tcPr>
          <w:p>
            <w:r>
              <w:rPr>
                <w:color w:val="2A2D31"/>
                <w:sz w:val="19"/>
                <w:szCs w:val="19"/>
              </w:rPr>
              <w:t xml:space="preserve">Light rain / sweat resistance, not submersion</w:t>
            </w:r>
          </w:p>
        </w:tc>
      </w:tr>
      <w:tr>
        <w:tc>
          <w:tcPr>
            <w:tcW w:type="dxa" w:w="2400"/>
            <w:shd w:fill="F5F4F1" w:val="clear"/>
            <w:tcMar>
              <w:top w:type="dxa" w:w="90"/>
              <w:left w:type="dxa" w:w="120"/>
              <w:bottom w:type="dxa" w:w="90"/>
              <w:right w:type="dxa" w:w="120"/>
            </w:tcMar>
            <w:vAlign w:val="center"/>
          </w:tcPr>
          <w:p>
            <w:r>
              <w:rPr>
                <w:color w:val="2A2D31"/>
                <w:sz w:val="19"/>
                <w:szCs w:val="19"/>
              </w:rPr>
              <w:t xml:space="preserve">Charging case</w:t>
            </w:r>
          </w:p>
        </w:tc>
        <w:tc>
          <w:tcPr>
            <w:tcW w:type="dxa" w:w="4680"/>
            <w:shd w:fill="F5F4F1" w:val="clear"/>
            <w:tcMar>
              <w:top w:type="dxa" w:w="90"/>
              <w:left w:type="dxa" w:w="120"/>
              <w:bottom w:type="dxa" w:w="90"/>
              <w:right w:type="dxa" w:w="120"/>
            </w:tcMar>
            <w:vAlign w:val="center"/>
          </w:tcPr>
          <w:p>
            <w:r>
              <w:rPr>
                <w:color w:val="2A2D31"/>
                <w:sz w:val="19"/>
                <w:szCs w:val="19"/>
              </w:rPr>
              <w:t xml:space="preserve">Aluminum or polycarbonate shell, capacity ≥1000mAh</w:t>
            </w:r>
          </w:p>
        </w:tc>
        <w:tc>
          <w:tcPr>
            <w:tcW w:type="dxa" w:w="2280"/>
            <w:shd w:fill="F5F4F1" w:val="clear"/>
            <w:tcMar>
              <w:top w:type="dxa" w:w="90"/>
              <w:left w:type="dxa" w:w="120"/>
              <w:bottom w:type="dxa" w:w="90"/>
              <w:right w:type="dxa" w:w="120"/>
            </w:tcMar>
            <w:vAlign w:val="center"/>
          </w:tcPr>
          <w:p>
            <w:r>
              <w:rPr>
                <w:color w:val="2A2D31"/>
                <w:sz w:val="19"/>
                <w:szCs w:val="19"/>
              </w:rPr>
              <w:t xml:space="preserve">USB-C input; Qi wireless input is a nice-to-have, not required for sample</w:t>
            </w:r>
          </w:p>
        </w:tc>
      </w:tr>
    </w:tbl>
    <w:p>
      <w:pPr>
        <w:pStyle w:val="Heading1"/>
        <w:spacing w:after="140" w:before="340"/>
      </w:pPr>
      <w:r>
        <w:rPr>
          <w:b/>
          <w:bCs/>
          <w:color w:val="1C1E22"/>
          <w:sz w:val="26"/>
          <w:szCs w:val="26"/>
        </w:rPr>
        <w:t xml:space="preserve">4. Certifications Required Before Sale</w:t>
      </w:r>
    </w:p>
    <w:p>
      <w:pPr>
        <w:pStyle w:val="ListParagraph"/>
        <w:numPr>
          <w:ilvl w:val="0"/>
          <w:numId w:val="2"/>
        </w:numPr>
        <w:spacing w:after="90"/>
      </w:pPr>
      <w:r>
        <w:rPr>
          <w:color w:val="2A2D31"/>
          <w:sz w:val="21"/>
          <w:szCs w:val="21"/>
        </w:rPr>
        <w:t xml:space="preserve">CE marking (EU) and FCC certification (US) for the electronic module</w:t>
      </w:r>
    </w:p>
    <w:p>
      <w:pPr>
        <w:pStyle w:val="ListParagraph"/>
        <w:numPr>
          <w:ilvl w:val="0"/>
          <w:numId w:val="2"/>
        </w:numPr>
        <w:spacing w:after="90"/>
      </w:pPr>
      <w:r>
        <w:rPr>
          <w:color w:val="2A2D31"/>
          <w:sz w:val="21"/>
          <w:szCs w:val="21"/>
        </w:rPr>
        <w:t xml:space="preserve">RoHS compliance for all materials</w:t>
      </w:r>
    </w:p>
    <w:p>
      <w:pPr>
        <w:pStyle w:val="ListParagraph"/>
        <w:numPr>
          <w:ilvl w:val="0"/>
          <w:numId w:val="2"/>
        </w:numPr>
        <w:spacing w:after="90"/>
      </w:pPr>
      <w:r>
        <w:rPr>
          <w:color w:val="2A2D31"/>
          <w:sz w:val="21"/>
          <w:szCs w:val="21"/>
        </w:rPr>
        <w:t xml:space="preserve">UN38.3 test report for lithium battery cells (required for air shipment)</w:t>
      </w:r>
    </w:p>
    <w:p>
      <w:pPr>
        <w:spacing w:after="160"/>
      </w:pPr>
      <w:r>
        <w:rPr>
          <w:color w:val="2A2D31"/>
          <w:sz w:val="21"/>
          <w:szCs w:val="21"/>
        </w:rPr>
        <w:t xml:space="preserve">Founder is separately assessing whether marketing claims trigger medical-device regulatory review (FDA/MDR); this is not a manufacturing certification and is outside the scope of this RFQ.</w:t>
      </w:r>
    </w:p>
    <w:p>
      <w:pPr>
        <w:pStyle w:val="Heading1"/>
        <w:spacing w:after="140" w:before="340"/>
      </w:pPr>
      <w:r>
        <w:rPr>
          <w:b/>
          <w:bCs/>
          <w:color w:val="1C1E22"/>
          <w:sz w:val="26"/>
          <w:szCs w:val="26"/>
        </w:rPr>
        <w:t xml:space="preserve">5. Requested Quotation Detail</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3960"/>
      </w:tblGrid>
      <w:tr>
        <w:trPr>
          <w:tblHeader/>
        </w:trPr>
        <w:tc>
          <w:tcPr>
            <w:tcW w:type="dxa" w:w="3200"/>
            <w:shd w:fill="1C1E22" w:val="clear"/>
            <w:tcMar>
              <w:top w:type="dxa" w:w="100"/>
              <w:left w:type="dxa" w:w="120"/>
              <w:bottom w:type="dxa" w:w="100"/>
              <w:right w:type="dxa" w:w="120"/>
            </w:tcMar>
            <w:vAlign w:val="center"/>
          </w:tcPr>
          <w:p>
            <w:r>
              <w:rPr>
                <w:b/>
                <w:bCs/>
                <w:color w:val="FFFFFF"/>
                <w:sz w:val="19"/>
                <w:szCs w:val="19"/>
              </w:rPr>
              <w:t xml:space="preserve">Component</w:t>
            </w:r>
          </w:p>
        </w:tc>
        <w:tc>
          <w:tcPr>
            <w:tcW w:type="dxa" w:w="4200"/>
            <w:shd w:fill="1C1E22" w:val="clear"/>
            <w:tcMar>
              <w:top w:type="dxa" w:w="100"/>
              <w:left w:type="dxa" w:w="120"/>
              <w:bottom w:type="dxa" w:w="100"/>
              <w:right w:type="dxa" w:w="120"/>
            </w:tcMar>
            <w:vAlign w:val="center"/>
          </w:tcPr>
          <w:p>
            <w:r>
              <w:rPr>
                <w:b/>
                <w:bCs/>
                <w:color w:val="FFFFFF"/>
                <w:sz w:val="19"/>
                <w:szCs w:val="19"/>
              </w:rPr>
              <w:t xml:space="preserve">Specification</w:t>
            </w:r>
          </w:p>
        </w:tc>
        <w:tc>
          <w:tcPr>
            <w:tcW w:type="dxa" w:w="3960"/>
            <w:shd w:fill="1C1E22" w:val="clear"/>
            <w:tcMar>
              <w:top w:type="dxa" w:w="100"/>
              <w:left w:type="dxa" w:w="120"/>
              <w:bottom w:type="dxa" w:w="100"/>
              <w:right w:type="dxa" w:w="120"/>
            </w:tcMar>
            <w:vAlign w:val="center"/>
          </w:tcPr>
          <w:p>
            <w:r>
              <w:rPr>
                <w:b/>
                <w:bCs/>
                <w:color w:val="FFFFFF"/>
                <w:sz w:val="19"/>
                <w:szCs w:val="19"/>
              </w:rPr>
              <w:t xml:space="preserve">Notes</w:t>
            </w:r>
          </w:p>
        </w:tc>
      </w:tr>
      <w:tr>
        <w:tc>
          <w:tcPr>
            <w:tcW w:type="dxa" w:w="3200"/>
            <w:shd w:fill="FFFFFF" w:val="clear"/>
            <w:tcMar>
              <w:top w:type="dxa" w:w="90"/>
              <w:left w:type="dxa" w:w="120"/>
              <w:bottom w:type="dxa" w:w="90"/>
              <w:right w:type="dxa" w:w="120"/>
            </w:tcMar>
            <w:vAlign w:val="center"/>
          </w:tcPr>
          <w:p>
            <w:r>
              <w:rPr>
                <w:color w:val="2A2D31"/>
                <w:sz w:val="19"/>
                <w:szCs w:val="19"/>
              </w:rPr>
              <w:t xml:space="preserve">Sample / prototype run</w:t>
            </w:r>
          </w:p>
        </w:tc>
        <w:tc>
          <w:tcPr>
            <w:tcW w:type="dxa" w:w="4200"/>
            <w:shd w:fill="FFFFFF" w:val="clear"/>
            <w:tcMar>
              <w:top w:type="dxa" w:w="90"/>
              <w:left w:type="dxa" w:w="120"/>
              <w:bottom w:type="dxa" w:w="90"/>
              <w:right w:type="dxa" w:w="120"/>
            </w:tcMar>
            <w:vAlign w:val="center"/>
          </w:tcPr>
          <w:p>
            <w:r>
              <w:rPr>
                <w:color w:val="2A2D31"/>
                <w:sz w:val="19"/>
                <w:szCs w:val="19"/>
              </w:rPr>
              <w:t xml:space="preserve">5–10 units, all components as specified</w:t>
            </w:r>
          </w:p>
        </w:tc>
        <w:tc>
          <w:tcPr>
            <w:tcW w:type="dxa" w:w="3960"/>
            <w:shd w:fill="FFFFFF" w:val="clear"/>
            <w:tcMar>
              <w:top w:type="dxa" w:w="90"/>
              <w:left w:type="dxa" w:w="120"/>
              <w:bottom w:type="dxa" w:w="90"/>
              <w:right w:type="dxa" w:w="120"/>
            </w:tcMar>
            <w:vAlign w:val="center"/>
          </w:tcPr>
          <w:p>
            <w:r>
              <w:rPr>
                <w:color w:val="2A2D31"/>
                <w:sz w:val="19"/>
                <w:szCs w:val="19"/>
              </w:rPr>
              <w:t xml:space="preserve">Please quote unit cost, tooling cost (if any), and lead time</w:t>
            </w:r>
          </w:p>
        </w:tc>
      </w:tr>
      <w:tr>
        <w:tc>
          <w:tcPr>
            <w:tcW w:type="dxa" w:w="3200"/>
            <w:shd w:fill="F5F4F1" w:val="clear"/>
            <w:tcMar>
              <w:top w:type="dxa" w:w="90"/>
              <w:left w:type="dxa" w:w="120"/>
              <w:bottom w:type="dxa" w:w="90"/>
              <w:right w:type="dxa" w:w="120"/>
            </w:tcMar>
            <w:vAlign w:val="center"/>
          </w:tcPr>
          <w:p>
            <w:r>
              <w:rPr>
                <w:color w:val="2A2D31"/>
                <w:sz w:val="19"/>
                <w:szCs w:val="19"/>
              </w:rPr>
              <w:t xml:space="preserve">Pilot production run</w:t>
            </w:r>
          </w:p>
        </w:tc>
        <w:tc>
          <w:tcPr>
            <w:tcW w:type="dxa" w:w="4200"/>
            <w:shd w:fill="F5F4F1" w:val="clear"/>
            <w:tcMar>
              <w:top w:type="dxa" w:w="90"/>
              <w:left w:type="dxa" w:w="120"/>
              <w:bottom w:type="dxa" w:w="90"/>
              <w:right w:type="dxa" w:w="120"/>
            </w:tcMar>
            <w:vAlign w:val="center"/>
          </w:tcPr>
          <w:p>
            <w:r>
              <w:rPr>
                <w:color w:val="2A2D31"/>
                <w:sz w:val="19"/>
                <w:szCs w:val="19"/>
              </w:rPr>
              <w:t xml:space="preserve">500–1,000 units</w:t>
            </w:r>
          </w:p>
        </w:tc>
        <w:tc>
          <w:tcPr>
            <w:tcW w:type="dxa" w:w="3960"/>
            <w:shd w:fill="F5F4F1" w:val="clear"/>
            <w:tcMar>
              <w:top w:type="dxa" w:w="90"/>
              <w:left w:type="dxa" w:w="120"/>
              <w:bottom w:type="dxa" w:w="90"/>
              <w:right w:type="dxa" w:w="120"/>
            </w:tcMar>
            <w:vAlign w:val="center"/>
          </w:tcPr>
          <w:p>
            <w:r>
              <w:rPr>
                <w:color w:val="2A2D31"/>
                <w:sz w:val="19"/>
                <w:szCs w:val="19"/>
              </w:rPr>
              <w:t xml:space="preserve">Please quote unit cost at this volume and lead time</w:t>
            </w:r>
          </w:p>
        </w:tc>
      </w:tr>
      <w:tr>
        <w:tc>
          <w:tcPr>
            <w:tcW w:type="dxa" w:w="3200"/>
            <w:shd w:fill="FFFFFF" w:val="clear"/>
            <w:tcMar>
              <w:top w:type="dxa" w:w="90"/>
              <w:left w:type="dxa" w:w="120"/>
              <w:bottom w:type="dxa" w:w="90"/>
              <w:right w:type="dxa" w:w="120"/>
            </w:tcMar>
            <w:vAlign w:val="center"/>
          </w:tcPr>
          <w:p>
            <w:r>
              <w:rPr>
                <w:color w:val="2A2D31"/>
                <w:sz w:val="19"/>
                <w:szCs w:val="19"/>
              </w:rPr>
              <w:t xml:space="preserve">Mass production run</w:t>
            </w:r>
          </w:p>
        </w:tc>
        <w:tc>
          <w:tcPr>
            <w:tcW w:type="dxa" w:w="4200"/>
            <w:shd w:fill="FFFFFF" w:val="clear"/>
            <w:tcMar>
              <w:top w:type="dxa" w:w="90"/>
              <w:left w:type="dxa" w:w="120"/>
              <w:bottom w:type="dxa" w:w="90"/>
              <w:right w:type="dxa" w:w="120"/>
            </w:tcMar>
            <w:vAlign w:val="center"/>
          </w:tcPr>
          <w:p>
            <w:r>
              <w:rPr>
                <w:color w:val="2A2D31"/>
                <w:sz w:val="19"/>
                <w:szCs w:val="19"/>
              </w:rPr>
              <w:t xml:space="preserve">5,000+ units (indicative only)</w:t>
            </w:r>
          </w:p>
        </w:tc>
        <w:tc>
          <w:tcPr>
            <w:tcW w:type="dxa" w:w="3960"/>
            <w:shd w:fill="FFFFFF" w:val="clear"/>
            <w:tcMar>
              <w:top w:type="dxa" w:w="90"/>
              <w:left w:type="dxa" w:w="120"/>
              <w:bottom w:type="dxa" w:w="90"/>
              <w:right w:type="dxa" w:w="120"/>
            </w:tcMar>
            <w:vAlign w:val="center"/>
          </w:tcPr>
          <w:p>
            <w:r>
              <w:rPr>
                <w:color w:val="2A2D31"/>
                <w:sz w:val="19"/>
                <w:szCs w:val="19"/>
              </w:rPr>
              <w:t xml:space="preserve">Please provide indicative pricing and MOQ tiers</w:t>
            </w:r>
          </w:p>
        </w:tc>
      </w:tr>
    </w:tbl>
    <w:p>
      <w:pPr>
        <w:pStyle w:val="Heading1"/>
        <w:spacing w:after="140" w:before="340"/>
      </w:pPr>
      <w:r>
        <w:rPr>
          <w:b/>
          <w:bCs/>
          <w:color w:val="1C1E22"/>
          <w:sz w:val="26"/>
          <w:szCs w:val="26"/>
        </w:rPr>
        <w:t xml:space="preserve">6. Information Requested From Manufacturer</w:t>
      </w:r>
    </w:p>
    <w:p>
      <w:pPr>
        <w:pStyle w:val="ListParagraph"/>
        <w:numPr>
          <w:ilvl w:val="0"/>
          <w:numId w:val="2"/>
        </w:numPr>
        <w:spacing w:after="90"/>
      </w:pPr>
      <w:r>
        <w:rPr>
          <w:color w:val="2A2D31"/>
          <w:sz w:val="21"/>
          <w:szCs w:val="21"/>
        </w:rPr>
        <w:t xml:space="preserve">Company name, business license number, and years in operation</w:t>
      </w:r>
    </w:p>
    <w:p>
      <w:pPr>
        <w:pStyle w:val="ListParagraph"/>
        <w:numPr>
          <w:ilvl w:val="0"/>
          <w:numId w:val="2"/>
        </w:numPr>
        <w:spacing w:after="90"/>
      </w:pPr>
      <w:r>
        <w:rPr>
          <w:color w:val="2A2D31"/>
          <w:sz w:val="21"/>
          <w:szCs w:val="21"/>
        </w:rPr>
        <w:t xml:space="preserve">Prior experience manufacturing smart eyewear, electrochromic/photochromic lenses, or similar wearable electronics (references or case studies welcome)</w:t>
      </w:r>
    </w:p>
    <w:p>
      <w:pPr>
        <w:pStyle w:val="ListParagraph"/>
        <w:numPr>
          <w:ilvl w:val="0"/>
          <w:numId w:val="2"/>
        </w:numPr>
        <w:spacing w:after="90"/>
      </w:pPr>
      <w:r>
        <w:rPr>
          <w:color w:val="2A2D31"/>
          <w:sz w:val="21"/>
          <w:szCs w:val="21"/>
        </w:rPr>
        <w:t xml:space="preserve">Full itemized quotation per Section 5, including tooling/mold costs if applicable</w:t>
      </w:r>
    </w:p>
    <w:p>
      <w:pPr>
        <w:pStyle w:val="ListParagraph"/>
        <w:numPr>
          <w:ilvl w:val="0"/>
          <w:numId w:val="2"/>
        </w:numPr>
        <w:spacing w:after="90"/>
      </w:pPr>
      <w:r>
        <w:rPr>
          <w:color w:val="2A2D31"/>
          <w:sz w:val="21"/>
          <w:szCs w:val="21"/>
        </w:rPr>
        <w:t xml:space="preserve">Sample lead time and mass production lead time</w:t>
      </w:r>
    </w:p>
    <w:p>
      <w:pPr>
        <w:pStyle w:val="ListParagraph"/>
        <w:numPr>
          <w:ilvl w:val="0"/>
          <w:numId w:val="2"/>
        </w:numPr>
        <w:spacing w:after="90"/>
      </w:pPr>
      <w:r>
        <w:rPr>
          <w:color w:val="2A2D31"/>
          <w:sz w:val="21"/>
          <w:szCs w:val="21"/>
        </w:rPr>
        <w:t xml:space="preserve">Willingness to sign the accompanying NNN Agreement prior to receiving detailed design files</w:t>
      </w:r>
    </w:p>
    <w:p>
      <w:pPr>
        <w:pStyle w:val="ListParagraph"/>
        <w:numPr>
          <w:ilvl w:val="0"/>
          <w:numId w:val="2"/>
        </w:numPr>
        <w:spacing w:after="90"/>
      </w:pPr>
      <w:r>
        <w:rPr>
          <w:color w:val="2A2D31"/>
          <w:sz w:val="21"/>
          <w:szCs w:val="21"/>
        </w:rPr>
        <w:t xml:space="preserve">Applicable certifications already held (ISO 9001, CE, RoHS testing capability, etc.)</w:t>
      </w:r>
    </w:p>
    <w:p>
      <w:pPr>
        <w:pStyle w:val="Heading1"/>
        <w:spacing w:after="140" w:before="340"/>
      </w:pPr>
      <w:r>
        <w:rPr>
          <w:b/>
          <w:bCs/>
          <w:color w:val="1C1E22"/>
          <w:sz w:val="26"/>
          <w:szCs w:val="26"/>
        </w:rPr>
        <w:t xml:space="preserve">7. Contact</w:t>
      </w:r>
    </w:p>
    <w:p>
      <w:pPr>
        <w:spacing w:after="160"/>
      </w:pPr>
      <w:r>
        <w:rPr>
          <w:color w:val="2A2D31"/>
          <w:sz w:val="21"/>
          <w:szCs w:val="21"/>
        </w:rPr>
        <w:t xml:space="preserve">Company/Founder name: ____________________________</w:t>
      </w:r>
    </w:p>
    <w:p>
      <w:pPr>
        <w:spacing w:after="160"/>
      </w:pPr>
      <w:r>
        <w:rPr>
          <w:color w:val="2A2D31"/>
          <w:sz w:val="21"/>
          <w:szCs w:val="21"/>
        </w:rPr>
        <w:t xml:space="preserve">Email: ____________________________</w:t>
      </w:r>
    </w:p>
    <w:p>
      <w:pPr>
        <w:spacing w:after="160"/>
      </w:pPr>
      <w:r>
        <w:rPr>
          <w:color w:val="2A2D31"/>
          <w:sz w:val="21"/>
          <w:szCs w:val="21"/>
        </w:rPr>
        <w:t xml:space="preserve">Preferred contact method / time zone: 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2026-08-27T02:20:02.936Z</dcterms:created>
  <dcterms:modified xsi:type="dcterms:W3CDTF">2026-08-27T02:20:02.937Z</dcterms:modified>
</cp:coreProperties>
</file>

<file path=docProps/custom.xml><?xml version="1.0" encoding="utf-8"?>
<Properties xmlns="http://schemas.openxmlformats.org/officeDocument/2006/custom-properties" xmlns:vt="http://schemas.openxmlformats.org/officeDocument/2006/docPropsVTypes"/>
</file>