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/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br w:type="page"/>
      </w:r>
    </w:p>
    <w:p>
      <w:pPr/>
      <w:r>
        <w:rPr>
          <w:b/>
          <w:sz w:val="32"/>
          <w:color w:val="2D6A4F"/>
        </w:rPr>
        <w:t>第一章 市场在说话：谁会来横山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第二章 客群画像：谁在为横山买单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市场深化：近郊休闲消费市场测算</w:t>
      </w:r>
    </w:p>
    <w:p>
      <w:pPr/>
      <w:r>
        <w:rPr>
          <w:sz w:val="22"/>
        </w:rPr>
        <w:t>基于松江区人口基线(196.18万常住人口)和上海市居民出行调查数据，横山可触及的近郊休闲消费市场规模如下：</w:t>
      </w:r>
    </w:p>
    <w:p>
      <w:pPr/>
      <w:r>
        <w:rPr>
          <w:sz w:val="22"/>
        </w:rPr>
        <w:t>• 周末近郊休闲：约600万人次/年 × 客单价200-500元 = 12-30亿元/年市场规模（证据等级：推算估算）</w:t>
      </w:r>
    </w:p>
    <w:p>
      <w:pPr/>
      <w:r>
        <w:rPr>
          <w:sz w:val="22"/>
        </w:rPr>
        <w:t>• 亲子户外/研学：约240万人次/年 × 客单价300-800元 = 7-19亿元/年（证据等级：推算估算）</w:t>
      </w:r>
    </w:p>
    <w:p>
      <w:pPr/>
      <w:r>
        <w:rPr>
          <w:sz w:val="22"/>
        </w:rPr>
        <w:t>• 乡村餐饮体验：约500万人次/年 × 客单价150-300元 = 7.5-15亿元/年（证据等级：推算估算）</w:t>
      </w:r>
    </w:p>
    <w:p>
      <w:pPr/>
      <w:r>
        <w:rPr>
          <w:sz w:val="22"/>
        </w:rPr>
        <w:t>• 民宿/短期度假：约120万人次/年 × 客单价600-2,500元 = 7-30亿元/年（证据等级：推算估算）</w:t>
      </w:r>
    </w:p>
    <w:p>
      <w:pPr/>
      <w:r>
        <w:rPr>
          <w:sz w:val="22"/>
        </w:rPr>
        <w:t>横山目标：获取松江近郊市场的千分之五至百分之一，结合佘山1,570万客流的1-2%分流，保守估算稳定期年客流可达20-40万人次。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运营深化：获客渠道矩阵与内容日历</w:t>
      </w:r>
    </w:p>
    <w:p>
      <w:pPr/>
      <w:r>
        <w:rPr>
          <w:b/>
          <w:sz w:val="26"/>
        </w:rPr>
        <w:t>获客渠道矩阵：</w:t>
      </w:r>
    </w:p>
    <w:p>
      <w:pPr/>
      <w:r>
        <w:rPr>
          <w:sz w:val="22"/>
        </w:rPr>
        <w:t>• 小红书：UGC内容激励(发帖集赞兑换邮花)+KOC种草+话题运营，目标月产200篇以上横山相关内容，开业前3个月启动</w:t>
      </w:r>
    </w:p>
    <w:p>
      <w:pPr/>
      <w:r>
        <w:rPr>
          <w:sz w:val="22"/>
        </w:rPr>
        <w:t>• 抖音/视频号：25秒短视频系列(竹林雾境、骑行、咖啡、日落、围炉)，MoneyPrinterTurbo批量生产，月均发布60条，年度1,000条以上</w:t>
      </w:r>
    </w:p>
    <w:p>
      <w:pPr/>
      <w:r>
        <w:rPr>
          <w:sz w:val="22"/>
        </w:rPr>
        <w:t>• OTA平台(携程、美团、途家)：横云山居上线，打包住宿+品米+骑行套餐，目标贡献30%住宿预订</w:t>
      </w:r>
    </w:p>
    <w:p>
      <w:pPr/>
      <w:r>
        <w:rPr>
          <w:sz w:val="22"/>
        </w:rPr>
        <w:t>• 私域(微信公众号+小程序)：二十四节气内容(24篇/年)+黄公望AI日记(每周)+碳账户积分推送，积累1万+用户，月复购率&gt;15%</w:t>
      </w:r>
    </w:p>
    <w:p>
      <w:pPr/>
      <w:r>
        <w:rPr>
          <w:sz w:val="22"/>
        </w:rPr>
        <w:t>• 线下渠道：佘山度假区路口引流牌+松江旅游集散中心宣传册+旅行社合作+企业团建直推，贡献30%客流</w:t>
      </w:r>
    </w:p>
    <w:p>
      <w:pPr/>
      <w:r>
        <w:rPr>
          <w:sz w:val="22"/>
        </w:rPr>
        <w:t>• 事件营销：中国首个暗夜社区认证+横山雅集(每季)+稻田晚宴(每年4场)，每事件获得1-3次主流媒体报道</w:t>
      </w:r>
    </w:p>
    <w:p>
      <w:pPr/>
      <w:r>
        <w:rPr>
          <w:b/>
          <w:sz w:val="26"/>
        </w:rPr>
        <w:t>内容日历：</w:t>
      </w:r>
    </w:p>
    <w:p>
      <w:pPr/>
      <w:r>
        <w:rPr>
          <w:sz w:val="22"/>
        </w:rPr>
        <w:t>春(3-5月)：清明·兰笋猎人——全年最高光15天，小红书+抖音内容预热，首次媒体集中报道</w:t>
      </w:r>
    </w:p>
    <w:p>
      <w:pPr/>
      <w:r>
        <w:rPr>
          <w:sz w:val="22"/>
        </w:rPr>
        <w:t>夏(6-8月)：夏至·环山夜骑——全年最长白昼，凉夏卡上线，抖音短视频高峰</w:t>
      </w:r>
    </w:p>
    <w:p>
      <w:pPr/>
      <w:r>
        <w:rPr>
          <w:sz w:val="22"/>
        </w:rPr>
        <w:t>秋(9-11月)：秋分·收割+新米品鉴——全年第二高光，稻田晚宴(4场)，OTA住宿套餐峰值</w:t>
      </w:r>
    </w:p>
    <w:p>
      <w:pPr/>
      <w:r>
        <w:rPr>
          <w:sz w:val="22"/>
        </w:rPr>
        <w:t>冬(12-2月)：冬至·围炉+暗夜星空——全年最长的夜，暗夜社区认证冲刺，温泉/药浴产品上线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第六章 投资框架与社会效益</w:t>
      </w:r>
    </w:p>
    <w:p>
      <w:pPr/>
      <w:r>
        <w:rPr>
          <w:b/>
          <w:sz w:val="26"/>
        </w:rPr>
        <w:t>6.1 A+B+C投资组合</w:t>
      </w:r>
    </w:p>
    <w:p>
      <w:pPr/>
      <w:r>
        <w:rPr>
          <w:sz w:val="22"/>
        </w:rPr>
        <w:t>核心问题：每增加一元投资，换来多少额外的客户买单意愿？A/B/C不是先后顺序的线性逻辑——而是基于边际成本效率的投资组合优化。</w:t>
      </w:r>
    </w:p>
    <w:p>
      <w:pPr/>
      <w:r>
        <w:rPr>
          <w:sz w:val="22"/>
        </w:rPr>
        <w:t>A 基础盘（8条·43-47万）：立即可启动，每项小于50万，3个月上线。包括米主题咖啡、田块品鉴、环山骑行（日间）、横山邮驿、邮花、五感地图、气味银行·四季、环山四点集章。</w:t>
      </w:r>
    </w:p>
    <w:p>
      <w:pPr/>
      <w:r>
        <w:rPr>
          <w:sz w:val="22"/>
        </w:rPr>
        <w:t>C 最优组合（7条·49-56万）：边际成本趋零，A已铺好的路让这些几乎免费。竹林雾境（8万·媒体爆点，A的客流基础已存在）、环山夜骑（A骑行已建租车系统，LED路标是纯增益）、米酒封坛、碳账户、物种护照、横山期货、艺术驻留。多花50万多出7种产品。</w:t>
      </w:r>
    </w:p>
    <w:p>
      <w:pPr/>
      <w:r>
        <w:rPr>
          <w:b/>
          <w:sz w:val="22"/>
        </w:rPr>
        <w:t>A+C = 93-103万 = 15条差异化业态 = 横山最优启动包。A提供基础设施和首批产品，C在A的骨架上几乎免费地长出7种新产品。A和C同时上线——横山开业即有15种差异化体验。B的投入节奏由A+C的运营数据决定。</w:t>
      </w:r>
    </w:p>
    <w:p>
      <w:pPr/>
      <w:r>
        <w:rPr>
          <w:sz w:val="22"/>
        </w:rPr>
        <w:t>B 完整版（7条·155-270万）：能级跃升——五幕分布式晚餐、唐代疗愈四法、黄公望AI导览（AI训练20-30万+小程序15-20万）、暗夜社区（中国首个·全村灯光改造50-70万+IDA认证费用）、轻量化野营（日本Forest Adventure模式）、稻田晚宴（每年4场·¥880/人·40席/场）、城市驿站（黄公望的茶寮·市中心店·50-80万/店）。每条单独拉高横山上限。</w:t>
      </w:r>
    </w:p>
    <w:p>
      <w:pPr/>
      <w:r>
        <w:rPr>
          <w:b/>
          <w:sz w:val="26"/>
        </w:rPr>
        <w:t>6.2 投资概算</w:t>
      </w:r>
    </w:p>
    <w:p>
      <w:pPr/>
      <w:r>
        <w:rPr>
          <w:sz w:val="22"/>
        </w:rPr>
        <w:t>公共基础设施（道路、河道、管线、停车、景观）：政府/投资平台 · 1,500-3,000万</w:t>
      </w:r>
    </w:p>
    <w:p>
      <w:pPr/>
      <w:r>
        <w:rPr>
          <w:sz w:val="22"/>
        </w:rPr>
        <w:t>建筑外立面统一改造（4个核心点位）：政府/投资平台 · 500-1,000万</w:t>
      </w:r>
    </w:p>
    <w:p>
      <w:pPr/>
      <w:r>
        <w:rPr>
          <w:sz w:val="22"/>
        </w:rPr>
        <w:t>横山一点通数字平台开发（小程序+碳账户+预订+电商+数据分析）：政府/投资平台 · 150-300万</w:t>
      </w:r>
    </w:p>
    <w:p>
      <w:pPr/>
      <w:r>
        <w:rPr>
          <w:sz w:val="22"/>
        </w:rPr>
        <w:t>A+C运营启动包：运营方 · 93-103万</w:t>
      </w:r>
    </w:p>
    <w:p>
      <w:pPr/>
      <w:r>
        <w:rPr>
          <w:sz w:val="22"/>
        </w:rPr>
        <w:t>品牌方室内设计装修（全部点位·根据引入品牌浮动）：各品牌方 · 2,000-5,000万</w:t>
      </w:r>
    </w:p>
    <w:p>
      <w:pPr/>
      <w:r>
        <w:rPr>
          <w:b/>
          <w:sz w:val="22"/>
        </w:rPr>
        <w:t>项目整体拉动投资（公共+品牌+运营）：4,350-9,700万</w:t>
      </w:r>
    </w:p>
    <w:p>
      <w:pPr/>
      <w:r>
        <w:rPr>
          <w:b/>
          <w:sz w:val="26"/>
        </w:rPr>
        <w:t>6.3 社会效益量化</w:t>
      </w:r>
    </w:p>
    <w:p>
      <w:pPr/>
      <w:r>
        <w:rPr>
          <w:sz w:val="22"/>
        </w:rPr>
        <w:t>直接就业：80-150个岗位（稳定期）。A+C阶段约30-50岗，B阶段新增50-100岗（民宿管家、餐饮厨师、疗愈师、非遗工坊师傅、骑行向导、品米师、咖啡师）。间接就业约200-400个岗位（农产品供应、交通、物流、周边服务业）。</w:t>
      </w:r>
    </w:p>
    <w:p>
      <w:pPr/>
      <w:r>
        <w:rPr>
          <w:sz w:val="22"/>
        </w:rPr>
        <w:t>村集体增收：年50-300万元。A+C阶段约50-100万（租金+碳账户管理费），B阶段约150-300万（租金+分成+碳账户管理费+自营业态分红）。</w:t>
      </w:r>
    </w:p>
    <w:p>
      <w:pPr/>
      <w:r>
        <w:rPr>
          <w:sz w:val="22"/>
        </w:rPr>
        <w:t>村民增收：年人均增收5,000-15,000元。来源：本地用工（优先录用）、农产品采购（松江大米、佘山兰笋、蔬菜）、民宿管家培训、非遗传承人培养。</w:t>
      </w:r>
    </w:p>
    <w:p>
      <w:pPr/>
      <w:r>
        <w:rPr>
          <w:sz w:val="22"/>
        </w:rPr>
        <w:t>非遗传承：培训5-10名正式传承人。王师傅（竹编·68岁·38年经验）+顾绣传承人入驻。夜校课程每年培养20-50名学员。</w:t>
      </w:r>
    </w:p>
    <w:p>
      <w:pPr/>
      <w:r>
        <w:rPr>
          <w:sz w:val="22"/>
        </w:rPr>
        <w:t>税收贡献：稳定期年税收约100-300万（增值税、所得税、房产税，具体税率需税务核算）。</w:t>
      </w:r>
    </w:p>
    <w:p>
      <w:pPr/>
      <w:r>
        <w:rPr>
          <w:sz w:val="22"/>
        </w:rPr>
        <w:t>生态效益：40亩林地保持+光污染控制（暗夜社区灯光改造）+碳汇约50-100吨/年（林木碳汇+减少硬化+低碳交通替代）。</w:t>
      </w:r>
    </w:p>
    <w:p>
      <w:pPr/>
      <w:r>
        <w:rPr>
          <w:b/>
          <w:sz w:val="26"/>
        </w:rPr>
        <w:t>6.4 风险登记与应对</w:t>
      </w:r>
    </w:p>
    <w:p>
      <w:pPr/>
      <w:r>
        <w:rPr>
          <w:sz w:val="22"/>
        </w:rPr>
        <w:t>风险一·同质化竞争加剧：影响客流不足→应对：坚持IP差异化（黄公望+松江大米）+四季活动日历+全球对标（日本稻田艺术/国际暗夜协会）。证据：第三章竞品对比表已论证横山独有条件。</w:t>
      </w:r>
    </w:p>
    <w:p>
      <w:pPr/>
      <w:r>
        <w:rPr>
          <w:sz w:val="22"/>
        </w:rPr>
        <w:t>风险二·资金到位延迟：影响基建工期拖后→应对：分期实施，优先核心点位，A+C仅93-103万即可开业。证据：A+C方案已在6.1详述。</w:t>
      </w:r>
    </w:p>
    <w:p>
      <w:pPr/>
      <w:r>
        <w:rPr>
          <w:sz w:val="22"/>
        </w:rPr>
        <w:t>风险三·品牌方经营不善：影响空置率上升→应对：6个月退出机制+品牌储备库维护。证据：准入标准（5.2招商章节）包含退出条款。</w:t>
      </w:r>
    </w:p>
    <w:p>
      <w:pPr/>
      <w:r>
        <w:rPr>
          <w:sz w:val="22"/>
        </w:rPr>
        <w:t>风险四·政策变化：影响补贴或支持力度下降→应对：多元收入模型（策划管理费+运营管理费+租金+自营+佣金），不依赖单一政策。</w:t>
      </w:r>
    </w:p>
    <w:p>
      <w:pPr/>
      <w:r>
        <w:rPr>
          <w:sz w:val="22"/>
        </w:rPr>
        <w:t>风险五·村民参与度低：影响社区关系紧张→应对：优先本地用工+农产品本地采购+利益共享机制。证据：非遗到村民技能变现路径已确认（第六章附录二）。</w:t>
      </w:r>
    </w:p>
    <w:p>
      <w:pPr/>
      <w:r>
        <w:rPr>
          <w:b/>
          <w:sz w:val="26"/>
        </w:rPr>
        <w:t>6.5 提请政府决策事项</w:t>
      </w:r>
    </w:p>
    <w:p>
      <w:pPr/>
      <w:r>
        <w:rPr>
          <w:sz w:val="22"/>
        </w:rPr>
        <w:t>1. 确认四方结构合作框架（政府、平台、运营方、品牌方），明确运营方统筹地位。</w:t>
      </w:r>
    </w:p>
    <w:p>
      <w:pPr/>
      <w:r>
        <w:rPr>
          <w:sz w:val="22"/>
        </w:rPr>
        <w:t>2. 授权启动资产权属与基建条件实地核查（10项待核实事项见附录C）。</w:t>
      </w:r>
    </w:p>
    <w:p>
      <w:pPr/>
      <w:r>
        <w:rPr>
          <w:sz w:val="22"/>
        </w:rPr>
        <w:t>3. 确认A+C组合方案（93-103万元·15条业态·3-12个月分批呈现）。</w:t>
      </w:r>
    </w:p>
    <w:p>
      <w:pPr/>
      <w:r>
        <w:rPr>
          <w:sz w:val="22"/>
        </w:rPr>
        <w:t>4. 协调规资局明确控规边界与生态保护红线。</w:t>
      </w:r>
    </w:p>
    <w:p>
      <w:pPr/>
      <w:r>
        <w:rPr>
          <w:sz w:val="22"/>
        </w:rPr>
        <w:t>5. 指定对口部门与联络人，建立月度联席会机制。</w:t>
      </w:r>
    </w:p>
    <w:p>
      <w:pPr/>
      <w:r>
        <w:rPr>
          <w:sz w:val="22"/>
        </w:rPr>
        <w:t>6. 授权运营方启动一期招商预热（接触头部民宿品牌+本地特色商户）。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附录</w:t>
      </w:r>
    </w:p>
    <w:p>
      <w:pPr/>
      <w:r>
        <w:rPr>
          <w:b/>
          <w:sz w:val="26"/>
        </w:rPr>
        <w:t>A. 松江大米国家地理标志详情</w:t>
      </w:r>
    </w:p>
    <w:p>
      <w:pPr/>
      <w:r>
        <w:rPr>
          <w:sz w:val="22"/>
        </w:rPr>
        <w:t>批准时间：2014年，原国家质检总局。品种：松江本地粳稻，短圆形，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，松江区外不得使用此名称。元代黄公望隐居期间食用的即是松江大米——同一片田、同一品种、同一条河的水——700年历史纵深。</w:t>
      </w:r>
    </w:p>
    <w:p>
      <w:pPr/>
      <w:r>
        <w:rPr>
          <w:b/>
          <w:sz w:val="26"/>
        </w:rPr>
        <w:t>B. 可产业化松江非物质文化遗产</w:t>
      </w:r>
    </w:p>
    <w:p>
      <w:pPr/>
      <w:r>
        <w:rPr>
          <w:sz w:val="22"/>
        </w:rPr>
        <w:t>松江顾绣（国家级·四大名绣之一）→横山小学·绣黄公望画作局部 · 松江竹编（市级·王师傅68岁·38年经验）→横山大院·竹编工坊+夜校课程 · 叶榭软糕（市级）→来云吧·横山版软糕（松江大米为原料） · 松江剪纸（市级）→横山大院·剪纸体验 · 松江丝网版画（市级）→横山小学·版画工坊 · 泗泾豆腐制作（市级）→横云山居·豆腐体验课+豆乳饮品 · 松江米酒酿造（区级）→碾米坊·酿造课+封坛 · 松江皮影戏（市级）→横山小学·每月一场·演黄公望的故事。</w:t>
      </w:r>
    </w:p>
    <w:p>
      <w:pPr/>
      <w:r>
        <w:rPr>
          <w:b/>
          <w:sz w:val="26"/>
        </w:rPr>
        <w:t>C. 待核实事项清单（启动前必查·依赖实地踏勘与第三方检测）</w:t>
      </w:r>
    </w:p>
    <w:p>
      <w:pPr/>
      <w:r>
        <w:rPr>
          <w:sz w:val="22"/>
        </w:rPr>
        <w:t>V01 四处资产权属（村集体/个人）→村委访谈+不动产登记查询 · V02 各点位出租期限与续约条件→村委访谈 · V03 水电污消防容量实测→专业工程踏勘 · V04 建筑结构安全鉴定→第三方检测机构 · V05 山体生态保护红线/控规边界→规资局查询 · V06 林地使用权及经营限制→林业部门确认 · V07 河道排涝条件→水利部门确认 · V08 光污染环境实测（Bortle等级）→天文爱好者协会/自测。以上事项需在项目启动后由实地踏勘确认，是后续投资的硬约束条件。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