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Executive Summary</w:t>
      </w:r>
    </w:p>
    <w:p>
      <w:pPr>
        <w:spacing w:after="80"/>
        <w:jc w:val="center"/>
      </w:pPr>
      <w:r>
        <w:rPr>
          <w:b/>
          <w:bCs/>
          <w:color w:val="2E75B6"/>
          <w:sz w:val="28"/>
          <w:szCs w:val="28"/>
        </w:rPr>
        <w:t xml:space="preserve">NYC QA Lab — In-Basket Bag Hook Retrofit</w:t>
      </w:r>
    </w:p>
    <w:p>
      <w:pPr>
        <w:spacing w:after="400"/>
        <w:jc w:val="center"/>
      </w:pPr>
      <w:r>
        <w:rPr>
          <w:color w:val="808080"/>
          <w:sz w:val="18"/>
          <w:szCs w:val="18"/>
        </w:rPr>
        <w:t xml:space="preserve">Date: July 27, 2026  |  Scope: 7 NYC QA Caper Carts</w:t>
      </w:r>
    </w:p>
    <w:p>
      <w:pPr>
        <w:pBdr>
          <w:bottom w:val="single" w:color="2E75B6" w:sz="6"/>
        </w:pBdr>
        <w:spacing w:after="160"/>
      </w:pPr>
      <w:r>
        <w:rPr>
          <w:b/>
          <w:bCs/>
          <w:color w:val="1F3864"/>
          <w:sz w:val="22"/>
          <w:szCs w:val="22"/>
        </w:rPr>
        <w:t xml:space="preserve">PURPOSE</w:t>
      </w:r>
    </w:p>
    <w:p>
      <w:pPr>
        <w:spacing w:after="320"/>
      </w:pPr>
      <w:r>
        <w:rPr>
          <w:sz w:val="22"/>
          <w:szCs w:val="22"/>
        </w:rPr>
        <w:t xml:space="preserve">This document summarizes the results of the in-basket bag hook retrofit completed across all 7 Caper Carts in the NYC QA Lab. The retrofit involved installing bag hooks, rebooting/reinitializing carts, and validating scale accuracy through weight testing.</w:t>
      </w:r>
    </w:p>
    <w:p>
      <w:pPr>
        <w:pBdr>
          <w:bottom w:val="single" w:color="2E75B6" w:sz="6"/>
        </w:pBdr>
        <w:spacing w:after="160"/>
      </w:pPr>
      <w:r>
        <w:rPr>
          <w:b/>
          <w:bCs/>
          <w:color w:val="375623"/>
          <w:sz w:val="22"/>
          <w:szCs w:val="22"/>
        </w:rPr>
        <w:t xml:space="preserve">STATUS: COMPLETE ✓</w:t>
      </w:r>
    </w:p>
    <w:p>
      <w:pPr>
        <w:spacing w:after="320"/>
      </w:pPr>
      <w:r>
        <w:rPr>
          <w:sz w:val="22"/>
          <w:szCs w:val="22"/>
        </w:rPr>
        <w:t xml:space="preserve">All 7 NYC QA carts have successfully completed the bag hook retrofit. Every cart passed required weight checks following bag hook installation and reinitialization. Detailed test results and cart-level data are documented in the supporting Excel file.</w:t>
      </w:r>
    </w:p>
    <w:p>
      <w:pPr>
        <w:pBdr>
          <w:bottom w:val="single" w:color="2E75B6" w:sz="6"/>
        </w:pBdr>
        <w:spacing w:after="160"/>
      </w:pPr>
      <w:r>
        <w:rPr>
          <w:b/>
          <w:bCs/>
          <w:color w:val="1F3864"/>
          <w:sz w:val="22"/>
          <w:szCs w:val="22"/>
        </w:rPr>
        <w:t xml:space="preserve">KEY FINDINGS</w:t>
      </w:r>
    </w:p>
    <w:p>
      <w:pPr>
        <w:spacing w:after="80"/>
      </w:pPr>
      <w:r>
        <w:rPr>
          <w:b/>
          <w:bCs/>
          <w:sz w:val="22"/>
          <w:szCs w:val="22"/>
        </w:rPr>
        <w:t xml:space="preserve">1.  All 7 carts passed weight checks</w:t>
      </w:r>
    </w:p>
    <w:p>
      <w:pPr>
        <w:spacing w:after="200"/>
        <w:ind w:left="400"/>
      </w:pPr>
      <w:r>
        <w:rPr>
          <w:color w:val="404040"/>
          <w:sz w:val="22"/>
          <w:szCs w:val="22"/>
        </w:rPr>
        <w:t xml:space="preserve">Every cart passed the required weight validation after bag hook installation and reinitialization. No recalibration was needed post-reinitialization.</w:t>
      </w:r>
    </w:p>
    <w:p>
      <w:pPr>
        <w:spacing w:after="80"/>
      </w:pPr>
      <w:r>
        <w:rPr>
          <w:b/>
          <w:bCs/>
          <w:sz w:val="22"/>
          <w:szCs w:val="22"/>
        </w:rPr>
        <w:t xml:space="preserve">2.  Reinitialization (not just reboot) is required</w:t>
      </w:r>
    </w:p>
    <w:p>
      <w:pPr>
        <w:spacing w:after="80"/>
        <w:ind w:left="400"/>
      </w:pPr>
      <w:r>
        <w:rPr>
          <w:color w:val="404040"/>
          <w:sz w:val="22"/>
          <w:szCs w:val="22"/>
        </w:rPr>
        <w:t xml:space="preserve">A detailed comparison was run on cart CAM3STMI011MI23D0250 across three scenarios:</w:t>
      </w:r>
    </w:p>
    <w:tbl>
      <w:tblPr>
        <w:tblW w:type="dxa" w:w="8560"/>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2880"/>
      </w:tblGrid>
      <w:tr>
        <w:tc>
          <w:tcPr>
            <w:shd w:fill="2E75B6" w:color="auto" w:val="clear"/>
            <w:tcMar>
              <w:top w:type="dxa" w:w="60"/>
              <w:left w:type="dxa" w:w="100"/>
              <w:bottom w:type="dxa" w:w="60"/>
              <w:right w:type="dxa" w:w="100"/>
            </w:tcMar>
          </w:tcPr>
          <w:p>
            <w:pPr>
              <w:spacing w:after="60" w:before="60"/>
            </w:pPr>
            <w:r>
              <w:rPr>
                <w:b/>
                <w:bCs/>
                <w:sz w:val="20"/>
                <w:szCs w:val="20"/>
              </w:rPr>
              <w:t xml:space="preserve">Scenario</w:t>
            </w:r>
          </w:p>
        </w:tc>
        <w:tc>
          <w:tcPr>
            <w:shd w:fill="2E75B6" w:color="auto" w:val="clear"/>
            <w:tcMar>
              <w:top w:type="dxa" w:w="60"/>
              <w:left w:type="dxa" w:w="100"/>
              <w:bottom w:type="dxa" w:w="60"/>
              <w:right w:type="dxa" w:w="100"/>
            </w:tcMar>
          </w:tcPr>
          <w:p>
            <w:pPr>
              <w:spacing w:after="60" w:before="60"/>
            </w:pPr>
            <w:r>
              <w:rPr>
                <w:b/>
                <w:bCs/>
                <w:sz w:val="20"/>
                <w:szCs w:val="20"/>
              </w:rPr>
              <w:t xml:space="preserve">Max Weight (80 lb) Test</w:t>
            </w:r>
          </w:p>
        </w:tc>
        <w:tc>
          <w:tcPr>
            <w:shd w:fill="2E75B6" w:color="auto" w:val="clear"/>
            <w:tcMar>
              <w:top w:type="dxa" w:w="60"/>
              <w:left w:type="dxa" w:w="100"/>
              <w:bottom w:type="dxa" w:w="60"/>
              <w:right w:type="dxa" w:w="100"/>
            </w:tcMar>
          </w:tcPr>
          <w:p>
            <w:pPr>
              <w:spacing w:after="60" w:before="60"/>
            </w:pPr>
            <w:r>
              <w:rPr>
                <w:b/>
                <w:bCs/>
                <w:sz w:val="20"/>
                <w:szCs w:val="20"/>
              </w:rPr>
              <w:t xml:space="preserve">Outcome</w:t>
            </w:r>
          </w:p>
        </w:tc>
      </w:tr>
      <w:tr>
        <w:tc>
          <w:tcPr>
            <w:tcMar>
              <w:top w:type="dxa" w:w="60"/>
              <w:left w:type="dxa" w:w="100"/>
              <w:bottom w:type="dxa" w:w="60"/>
              <w:right w:type="dxa" w:w="100"/>
            </w:tcMar>
          </w:tcPr>
          <w:p>
            <w:pPr>
              <w:spacing w:after="60" w:before="60"/>
            </w:pPr>
            <w:r>
              <w:rPr>
                <w:sz w:val="20"/>
                <w:szCs w:val="20"/>
              </w:rPr>
              <w:t xml:space="preserve">Before bag hook installation</w:t>
            </w:r>
          </w:p>
        </w:tc>
        <w:tc>
          <w:tcPr>
            <w:tcMar>
              <w:top w:type="dxa" w:w="60"/>
              <w:left w:type="dxa" w:w="100"/>
              <w:bottom w:type="dxa" w:w="60"/>
              <w:right w:type="dxa" w:w="100"/>
            </w:tcMar>
          </w:tcPr>
          <w:p>
            <w:pPr>
              <w:spacing w:after="60" w:before="60"/>
            </w:pPr>
            <w:r>
              <w:rPr>
                <w:sz w:val="20"/>
                <w:szCs w:val="20"/>
              </w:rPr>
              <w:t xml:space="preserve">Baseline</w:t>
            </w:r>
          </w:p>
        </w:tc>
        <w:tc>
          <w:tcPr>
            <w:shd w:fill="E2EFDA" w:color="auto" w:val="clear"/>
            <w:tcMar>
              <w:top w:type="dxa" w:w="60"/>
              <w:left w:type="dxa" w:w="100"/>
              <w:bottom w:type="dxa" w:w="60"/>
              <w:right w:type="dxa" w:w="100"/>
            </w:tcMar>
          </w:tcPr>
          <w:p>
            <w:pPr>
              <w:spacing w:after="60" w:before="60"/>
            </w:pPr>
            <w:r>
              <w:rPr>
                <w:color w:val="375623"/>
                <w:sz w:val="20"/>
                <w:szCs w:val="20"/>
              </w:rPr>
              <w:t xml:space="preserve">Passed</w:t>
            </w:r>
          </w:p>
        </w:tc>
      </w:tr>
      <w:tr>
        <w:tc>
          <w:tcPr>
            <w:shd w:fill="FFF2CC" w:color="auto" w:val="clear"/>
            <w:tcMar>
              <w:top w:type="dxa" w:w="60"/>
              <w:left w:type="dxa" w:w="100"/>
              <w:bottom w:type="dxa" w:w="60"/>
              <w:right w:type="dxa" w:w="100"/>
            </w:tcMar>
          </w:tcPr>
          <w:p>
            <w:pPr>
              <w:spacing w:after="60" w:before="60"/>
            </w:pPr>
            <w:r>
              <w:rPr>
                <w:sz w:val="20"/>
                <w:szCs w:val="20"/>
              </w:rPr>
              <w:t xml:space="preserve">After bag hook install — reboot only</w:t>
            </w:r>
          </w:p>
        </w:tc>
        <w:tc>
          <w:tcPr>
            <w:shd w:fill="FFF2CC" w:color="auto" w:val="clear"/>
            <w:tcMar>
              <w:top w:type="dxa" w:w="60"/>
              <w:left w:type="dxa" w:w="100"/>
              <w:bottom w:type="dxa" w:w="60"/>
              <w:right w:type="dxa" w:w="100"/>
            </w:tcMar>
          </w:tcPr>
          <w:p>
            <w:pPr>
              <w:spacing w:after="60" w:before="60"/>
            </w:pPr>
            <w:r>
              <w:rPr>
                <w:color w:val="9C0006"/>
                <w:sz w:val="20"/>
                <w:szCs w:val="20"/>
              </w:rPr>
              <w:t xml:space="preserve">Failed</w:t>
            </w:r>
          </w:p>
        </w:tc>
        <w:tc>
          <w:tcPr>
            <w:shd w:fill="FFF2CC" w:color="auto" w:val="clear"/>
            <w:tcMar>
              <w:top w:type="dxa" w:w="60"/>
              <w:left w:type="dxa" w:w="100"/>
              <w:bottom w:type="dxa" w:w="60"/>
              <w:right w:type="dxa" w:w="100"/>
            </w:tcMar>
          </w:tcPr>
          <w:p>
            <w:pPr>
              <w:spacing w:after="60" w:before="60"/>
            </w:pPr>
            <w:r>
              <w:rPr>
                <w:color w:val="7F6000"/>
                <w:sz w:val="20"/>
                <w:szCs w:val="20"/>
              </w:rPr>
              <w:t xml:space="preserve">Reinitialization required</w:t>
            </w:r>
          </w:p>
        </w:tc>
      </w:tr>
      <w:tr>
        <w:tc>
          <w:tcPr>
            <w:tcMar>
              <w:top w:type="dxa" w:w="60"/>
              <w:left w:type="dxa" w:w="100"/>
              <w:bottom w:type="dxa" w:w="60"/>
              <w:right w:type="dxa" w:w="100"/>
            </w:tcMar>
          </w:tcPr>
          <w:p>
            <w:pPr>
              <w:spacing w:after="60" w:before="60"/>
            </w:pPr>
            <w:r>
              <w:rPr>
                <w:sz w:val="20"/>
                <w:szCs w:val="20"/>
              </w:rPr>
              <w:t xml:space="preserve">After bag hook install — reinitialization</w:t>
            </w:r>
          </w:p>
        </w:tc>
        <w:tc>
          <w:tcPr>
            <w:shd w:fill="E2EFDA" w:color="auto" w:val="clear"/>
            <w:tcMar>
              <w:top w:type="dxa" w:w="60"/>
              <w:left w:type="dxa" w:w="100"/>
              <w:bottom w:type="dxa" w:w="60"/>
              <w:right w:type="dxa" w:w="100"/>
            </w:tcMar>
          </w:tcPr>
          <w:p>
            <w:pPr>
              <w:spacing w:after="60" w:before="60"/>
            </w:pPr>
            <w:r>
              <w:rPr>
                <w:color w:val="375623"/>
                <w:sz w:val="20"/>
                <w:szCs w:val="20"/>
              </w:rPr>
              <w:t xml:space="preserve">Passed</w:t>
            </w:r>
          </w:p>
        </w:tc>
        <w:tc>
          <w:tcPr>
            <w:shd w:fill="E2EFDA" w:color="auto" w:val="clear"/>
            <w:tcMar>
              <w:top w:type="dxa" w:w="60"/>
              <w:left w:type="dxa" w:w="100"/>
              <w:bottom w:type="dxa" w:w="60"/>
              <w:right w:type="dxa" w:w="100"/>
            </w:tcMar>
          </w:tcPr>
          <w:p>
            <w:pPr>
              <w:spacing w:after="60" w:before="60"/>
            </w:pPr>
            <w:r>
              <w:rPr>
                <w:color w:val="375623"/>
                <w:sz w:val="20"/>
                <w:szCs w:val="20"/>
              </w:rPr>
              <w:t xml:space="preserve">No recalibration needed</w:t>
            </w:r>
          </w:p>
        </w:tc>
      </w:tr>
    </w:tbl>
    <w:p>
      <w:pPr>
        <w:spacing w:after="200"/>
      </w:pPr>
    </w:p>
    <w:p>
      <w:pPr>
        <w:pBdr>
          <w:bottom w:val="single" w:color="ED7D31" w:sz="6"/>
        </w:pBdr>
        <w:spacing w:after="160"/>
      </w:pPr>
      <w:r>
        <w:rPr>
          <w:b/>
          <w:bCs/>
          <w:color w:val="7F3F00"/>
          <w:sz w:val="22"/>
          <w:szCs w:val="22"/>
        </w:rPr>
        <w:t xml:space="preserve">OPEN QUESTION — Bag Weight Standard</w:t>
      </w:r>
    </w:p>
    <w:p>
      <w:pPr>
        <w:spacing w:after="160"/>
      </w:pPr>
      <w:r>
        <w:rPr>
          <w:sz w:val="22"/>
          <w:szCs w:val="22"/>
        </w:rPr>
        <w:t xml:space="preserve">Testing used an approximate recommended bag weight of </w:t>
      </w:r>
      <w:r>
        <w:rPr>
          <w:b/>
          <w:bCs/>
          <w:sz w:val="22"/>
          <w:szCs w:val="22"/>
        </w:rPr>
        <w:t xml:space="preserve">2.75 lbs per hook</w:t>
      </w:r>
      <w:r>
        <w:rPr>
          <w:sz w:val="22"/>
          <w:szCs w:val="22"/>
        </w:rPr>
        <w:t xml:space="preserve">. However, the hooks have physical capacity to hold more bags. If retailer staff adds bags above this threshold, the cart may fail the max weight (80 lb) test due to the additional tare weight exceeding the reinitialized scale baseline.</w:t>
      </w:r>
    </w:p>
    <w:p>
      <w:pPr>
        <w:spacing w:after="320"/>
      </w:pPr>
      <w:r>
        <w:rPr>
          <w:i/>
          <w:iCs/>
          <w:color w:val="595959"/>
          <w:sz w:val="22"/>
          <w:szCs w:val="22"/>
        </w:rPr>
        <w:t xml:space="preserve">Viz: Andrew Cha, Dan Chen</w:t>
      </w:r>
    </w:p>
    <w:p>
      <w:pPr>
        <w:pBdr>
          <w:bottom w:val="single" w:color="2E75B6" w:sz="6"/>
        </w:pBdr>
        <w:spacing w:after="160"/>
      </w:pPr>
      <w:r>
        <w:rPr>
          <w:b/>
          <w:bCs/>
          <w:color w:val="1F3864"/>
          <w:sz w:val="22"/>
          <w:szCs w:val="22"/>
        </w:rPr>
        <w:t xml:space="preserve">RECOMMENDATION</w:t>
      </w:r>
    </w:p>
    <w:p>
      <w:pPr>
        <w:spacing w:after="120"/>
      </w:pPr>
      <w:r>
        <w:rPr>
          <w:sz w:val="22"/>
          <w:szCs w:val="22"/>
        </w:rPr>
        <w:t xml:space="preserve">Establish a clear standard for bag quantity and weight per cart hook, covering:</w:t>
      </w:r>
    </w:p>
    <w:p>
      <w:pPr>
        <w:spacing w:after="80"/>
        <w:ind w:left="400"/>
      </w:pPr>
      <w:r>
        <w:rPr>
          <w:sz w:val="22"/>
          <w:szCs w:val="22"/>
        </w:rPr>
        <w:t xml:space="preserve">•  Maximum bag weight per hook (with appropriate margin below the 80 lb test threshold)</w:t>
      </w:r>
    </w:p>
    <w:p>
      <w:pPr>
        <w:spacing w:after="80"/>
        <w:ind w:left="400"/>
      </w:pPr>
      <w:r>
        <w:rPr>
          <w:sz w:val="22"/>
          <w:szCs w:val="22"/>
        </w:rPr>
        <w:t xml:space="preserve">•  Handling guidance for heavier bag types (e.g., paper vs. plastic)</w:t>
      </w:r>
    </w:p>
    <w:p>
      <w:pPr>
        <w:spacing w:after="80"/>
        <w:ind w:left="400"/>
      </w:pPr>
      <w:r>
        <w:rPr>
          <w:sz w:val="22"/>
          <w:szCs w:val="22"/>
        </w:rPr>
        <w:t xml:space="preserve">•  Retailer instructions to prevent overstocking bags on hooks</w:t>
      </w:r>
    </w:p>
    <w:p>
      <w:pPr>
        <w:spacing w:after="320"/>
        <w:ind w:left="400"/>
      </w:pPr>
      <w:r>
        <w:rPr>
          <w:sz w:val="22"/>
          <w:szCs w:val="22"/>
        </w:rPr>
        <w:t xml:space="preserve">•  Field SOP update to require reinitialization (not just reboot) after any bag hook installation</w:t>
      </w:r>
    </w:p>
    <w:p>
      <w:pPr>
        <w:pBdr>
          <w:bottom w:val="single" w:color="2E75B6" w:sz="6"/>
        </w:pBdr>
        <w:spacing w:after="160"/>
      </w:pPr>
      <w:r>
        <w:rPr>
          <w:b/>
          <w:bCs/>
          <w:color w:val="1F3864"/>
          <w:sz w:val="22"/>
          <w:szCs w:val="22"/>
        </w:rPr>
        <w:t xml:space="preserve">ACKNOWLEDGEMENTS</w:t>
      </w:r>
    </w:p>
    <w:p>
      <w:pPr>
        <w:spacing w:after="80"/>
        <w:ind w:left="400"/>
      </w:pPr>
      <w:r>
        <w:rPr>
          <w:sz w:val="22"/>
          <w:szCs w:val="22"/>
        </w:rPr>
        <w:t xml:space="preserve">•  John Poli &amp; QC Team — facility access and on-site support</w:t>
      </w:r>
    </w:p>
    <w:p>
      <w:pPr>
        <w:spacing w:after="80"/>
        <w:ind w:left="400"/>
      </w:pPr>
      <w:r>
        <w:rPr>
          <w:sz w:val="22"/>
          <w:szCs w:val="22"/>
        </w:rPr>
        <w:t xml:space="preserve">•  Rehnuma Tarannum — retrofit process and testing support</w:t>
      </w:r>
    </w:p>
    <w:p>
      <w:pPr>
        <w:spacing w:after="80"/>
        <w:ind w:left="400"/>
      </w:pPr>
      <w:r>
        <w:rPr>
          <w:sz w:val="22"/>
          <w:szCs w:val="22"/>
        </w:rPr>
        <w:t xml:space="preserve">•  Veronica Yang — parts delivery coordination</w:t>
      </w:r>
    </w:p>
    <w:p>
      <w:pPr>
        <w:spacing w:after="320"/>
        <w:ind w:left="400"/>
      </w:pPr>
      <w:r>
        <w:rPr>
          <w:sz w:val="22"/>
          <w:szCs w:val="22"/>
        </w:rPr>
        <w:t xml:space="preserve">•  Andrew Cha — overall coordination</w:t>
      </w:r>
    </w:p>
    <w:p>
      <w:pPr>
        <w:pBdr>
          <w:bottom w:val="single" w:color="2E75B6" w:sz="6"/>
        </w:pBdr>
        <w:spacing w:after="160"/>
      </w:pPr>
      <w:r>
        <w:rPr>
          <w:b/>
          <w:bCs/>
          <w:color w:val="1F3864"/>
          <w:sz w:val="22"/>
          <w:szCs w:val="22"/>
        </w:rPr>
        <w:t xml:space="preserve">SUPPORTING ASSETS</w:t>
      </w:r>
    </w:p>
    <w:p>
      <w:pPr>
        <w:spacing w:after="80"/>
        <w:ind w:left="400"/>
      </w:pPr>
      <w:r>
        <w:rPr>
          <w:sz w:val="22"/>
          <w:szCs w:val="22"/>
        </w:rPr>
        <w:t xml:space="preserve">•  Excel file: NYC QA lab test results + cart-level detail data</w:t>
      </w:r>
    </w:p>
    <w:p>
      <w:pPr>
        <w:spacing w:after="80"/>
        <w:ind w:left="400"/>
      </w:pPr>
      <w:r>
        <w:rPr>
          <w:sz w:val="22"/>
          <w:szCs w:val="22"/>
        </w:rPr>
        <w:t xml:space="preserve">•  Photos / Videos (for Retail Go-To-Market enablement plan, attn: Andrea Metcalfe):</w:t>
      </w:r>
    </w:p>
    <w:p>
      <w:pPr>
        <w:spacing w:after="80"/>
        <w:ind w:left="800"/>
      </w:pPr>
      <w:r>
        <w:rPr>
          <w:color w:val="1155CC"/>
          <w:sz w:val="22"/>
          <w:szCs w:val="22"/>
        </w:rPr>
        <w:t xml:space="preserve">drive.google.com/drive/u/0/folders/1xF3u6jE8hbWQ8ac8hdQttkyjf3GKXWU9</w:t>
      </w:r>
    </w:p>
    <w:p>
      <w:pPr>
        <w:spacing w:after="80"/>
        <w:ind w:left="400"/>
      </w:pPr>
      <w:r>
        <w:rPr>
          <w:sz w:val="22"/>
          <w:szCs w:val="22"/>
        </w:rPr>
        <w:t xml:space="preserve">•  All 12 requested enablement plan sections completed (minus sections previously discussed as exceptions)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2026-07-27T22:47:21.814Z</dcterms:created>
  <dcterms:modified xsi:type="dcterms:W3CDTF">2026-07-27T22:47:21.815Z</dcterms:modified>
</cp:coreProperties>
</file>

<file path=docProps/custom.xml><?xml version="1.0" encoding="utf-8"?>
<Properties xmlns="http://schemas.openxmlformats.org/officeDocument/2006/custom-properties" xmlns:vt="http://schemas.openxmlformats.org/officeDocument/2006/docPropsVTypes"/>
</file>