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0b0b0b"/>
          <w:sz w:val="36"/>
          <w:szCs w:val="36"/>
        </w:rPr>
        <w:t xml:space="preserve">AI Gateway Budget Request</w:t>
      </w:r>
    </w:p>
    <w:p>
      <w:pPr>
        <w:spacing w:after="240" w:before="0"/>
      </w:pPr>
      <w:r>
        <w:rPr>
          <w:color w:val="52514e"/>
          <w:sz w:val="26"/>
          <w:szCs w:val="26"/>
        </w:rPr>
        <w:t xml:space="preserve">RSA Agent — Hardware Ops Slack Automation</w:t>
      </w:r>
    </w:p>
    <w:p>
      <w:pPr>
        <w:pBdr>
          <w:bottom w:val="single" w:color="E1E0D9" w:sz="4"/>
        </w:pBdr>
        <w:spacing w:after="0" w:before="200"/>
      </w:pPr>
    </w:p>
    <w:p>
      <w:pPr>
        <w:spacing w:after="80" w:before="200"/>
      </w:pPr>
    </w:p>
    <w:tbl>
      <w:tblPr>
        <w:tblW w:type="dxa" w:w="9240"/>
        <w:tblBorders>
          <w:top w:val="none"/>
          <w:left w:val="none"/>
          <w:bottom w:val="none"/>
          <w:right w:val="none"/>
          <w:insideH w:val="single" w:color="auto" w:sz="4"/>
          <w:insideV w:val="single" w:color="auto" w:sz="4"/>
        </w:tblBorders>
      </w:tblPr>
      <w:tblGrid>
        <w:gridCol w:w="100"/>
        <w:gridCol w:w="100"/>
      </w:tblGrid>
      <w:tr>
        <w:tc>
          <w:tcPr>
            <w:tcW w:type="dxa" w:w="2400"/>
          </w:tcPr>
          <w:p>
            <w:r>
              <w:rPr>
                <w:b/>
                <w:bCs/>
                <w:color w:val="0b0b0b"/>
                <w:sz w:val="20"/>
                <w:szCs w:val="20"/>
              </w:rPr>
              <w:t xml:space="preserve">Source name</w:t>
            </w:r>
          </w:p>
        </w:tc>
        <w:tc>
          <w:tcPr>
            <w:tcW w:type="dxa" w:w="6840"/>
          </w:tcPr>
          <w:p>
            <w:r>
              <w:rPr>
                <w:color w:val="0b0b0b"/>
                <w:sz w:val="20"/>
                <w:szCs w:val="20"/>
              </w:rPr>
              <w:t xml:space="preserve">rsa_agent</w:t>
            </w:r>
          </w:p>
        </w:tc>
      </w:tr>
      <w:tr>
        <w:tc>
          <w:tcPr>
            <w:tcW w:type="dxa" w:w="2400"/>
            <w:shd w:fill="F1EFE8" w:color="auto" w:val="clear"/>
          </w:tcPr>
          <w:p>
            <w:r>
              <w:rPr>
                <w:b/>
                <w:bCs/>
                <w:color w:val="0b0b0b"/>
                <w:sz w:val="20"/>
                <w:szCs w:val="20"/>
              </w:rPr>
              <w:t xml:space="preserve">DRI</w:t>
            </w:r>
          </w:p>
        </w:tc>
        <w:tc>
          <w:tcPr>
            <w:tcW w:type="dxa" w:w="6840"/>
            <w:shd w:fill="F1EFE8" w:color="auto" w:val="clear"/>
          </w:tcPr>
          <w:p>
            <w:r>
              <w:rPr>
                <w:color w:val="0b0b0b"/>
                <w:sz w:val="20"/>
                <w:szCs w:val="20"/>
              </w:rPr>
              <w:t xml:space="preserve">Sai VS (sai.vs@instacart.com)</w:t>
            </w:r>
          </w:p>
        </w:tc>
      </w:tr>
      <w:tr>
        <w:tc>
          <w:tcPr>
            <w:tcW w:type="dxa" w:w="2400"/>
          </w:tcPr>
          <w:p>
            <w:r>
              <w:rPr>
                <w:b/>
                <w:bCs/>
                <w:color w:val="0b0b0b"/>
                <w:sz w:val="20"/>
                <w:szCs w:val="20"/>
              </w:rPr>
              <w:t xml:space="preserve">Team</w:t>
            </w:r>
          </w:p>
        </w:tc>
        <w:tc>
          <w:tcPr>
            <w:tcW w:type="dxa" w:w="6840"/>
          </w:tcPr>
          <w:p>
            <w:r>
              <w:rPr>
                <w:color w:val="0b0b0b"/>
                <w:sz w:val="20"/>
                <w:szCs w:val="20"/>
              </w:rPr>
              <w:t xml:space="preserve">Hardware Ops</w:t>
            </w:r>
          </w:p>
        </w:tc>
      </w:tr>
      <w:tr>
        <w:tc>
          <w:tcPr>
            <w:tcW w:type="dxa" w:w="2400"/>
            <w:shd w:fill="F1EFE8" w:color="auto" w:val="clear"/>
          </w:tcPr>
          <w:p>
            <w:r>
              <w:rPr>
                <w:b/>
                <w:bCs/>
                <w:color w:val="0b0b0b"/>
                <w:sz w:val="20"/>
                <w:szCs w:val="20"/>
              </w:rPr>
              <w:t xml:space="preserve">Model</w:t>
            </w:r>
          </w:p>
        </w:tc>
        <w:tc>
          <w:tcPr>
            <w:tcW w:type="dxa" w:w="6840"/>
            <w:shd w:fill="F1EFE8" w:color="auto" w:val="clear"/>
          </w:tcPr>
          <w:p>
            <w:r>
              <w:rPr>
                <w:color w:val="0b0b0b"/>
                <w:sz w:val="20"/>
                <w:szCs w:val="20"/>
              </w:rPr>
              <w:t xml:space="preserve">claude-opus-4-8 via AI Gateway</w:t>
            </w:r>
          </w:p>
        </w:tc>
      </w:tr>
      <w:tr>
        <w:tc>
          <w:tcPr>
            <w:tcW w:type="dxa" w:w="2400"/>
          </w:tcPr>
          <w:p>
            <w:r>
              <w:rPr>
                <w:b/>
                <w:bCs/>
                <w:color w:val="0b0b0b"/>
                <w:sz w:val="20"/>
                <w:szCs w:val="20"/>
              </w:rPr>
              <w:t xml:space="preserve">Gateway proxy</w:t>
            </w:r>
          </w:p>
        </w:tc>
        <w:tc>
          <w:tcPr>
            <w:tcW w:type="dxa" w:w="6840"/>
          </w:tcPr>
          <w:p>
            <w:r>
              <w:rPr>
                <w:color w:val="0b0b0b"/>
                <w:sz w:val="20"/>
                <w:szCs w:val="20"/>
              </w:rPr>
              <w:t xml:space="preserve">aigateway.instacart.tools/proxy/rsa_agent/</w:t>
            </w:r>
          </w:p>
        </w:tc>
      </w:tr>
      <w:tr>
        <w:tc>
          <w:tcPr>
            <w:tcW w:type="dxa" w:w="2400"/>
            <w:shd w:fill="F1EFE8" w:color="auto" w:val="clear"/>
          </w:tcPr>
          <w:p>
            <w:r>
              <w:rPr>
                <w:b/>
                <w:bCs/>
                <w:color w:val="0b0b0b"/>
                <w:sz w:val="20"/>
                <w:szCs w:val="20"/>
              </w:rPr>
              <w:t xml:space="preserve">Projected spend</w:t>
            </w:r>
          </w:p>
        </w:tc>
        <w:tc>
          <w:tcPr>
            <w:tcW w:type="dxa" w:w="6840"/>
            <w:shd w:fill="F1EFE8" w:color="auto" w:val="clear"/>
          </w:tcPr>
          <w:p>
            <w:r>
              <w:rPr>
                <w:color w:val="0b0b0b"/>
                <w:sz w:val="20"/>
                <w:szCs w:val="20"/>
              </w:rPr>
              <w:t xml:space="preserve">~$50–$112 through end of 2026 (scenario-dependent)</w:t>
            </w:r>
          </w:p>
        </w:tc>
      </w:tr>
      <w:tr>
        <w:tc>
          <w:tcPr>
            <w:tcW w:type="dxa" w:w="2400"/>
          </w:tcPr>
          <w:p>
            <w:r>
              <w:rPr>
                <w:b/>
                <w:bCs/>
                <w:color w:val="0b0b0b"/>
                <w:sz w:val="20"/>
                <w:szCs w:val="20"/>
              </w:rPr>
              <w:t xml:space="preserve">Status</w:t>
            </w:r>
          </w:p>
        </w:tc>
        <w:tc>
          <w:tcPr>
            <w:tcW w:type="dxa" w:w="6840"/>
          </w:tcPr>
          <w:p>
            <w:r>
              <w:rPr>
                <w:color w:val="0b0b0b"/>
                <w:sz w:val="20"/>
                <w:szCs w:val="20"/>
              </w:rPr>
              <w:t xml:space="preserve">PermissionDeniedError on all calls — budget/access blocked</w:t>
            </w:r>
          </w:p>
        </w:tc>
      </w:tr>
    </w:tbl>
    <w:p>
      <w:pPr>
        <w:spacing w:after="0" w:before="200"/>
      </w:pPr>
    </w:p>
    <w:p>
      <w:pPr>
        <w:pBdr>
          <w:bottom w:val="single" w:color="E1E0D9" w:sz="4"/>
        </w:pBdr>
        <w:spacing w:after="0" w:before="200"/>
      </w:pPr>
    </w:p>
    <w:p>
      <w:pPr>
        <w:pStyle w:val="Heading2"/>
        <w:spacing w:after="80" w:before="240"/>
      </w:pPr>
      <w:r>
        <w:t xml:space="preserve">Use case description</w:t>
      </w:r>
    </w:p>
    <w:p>
      <w:pPr>
        <w:spacing w:after="100" w:before="60"/>
      </w:pPr>
      <w:r>
        <w:rPr>
          <w:color w:val="0b0b0b"/>
          <w:sz w:val="22"/>
          <w:szCs w:val="22"/>
        </w:rPr>
        <w:t xml:space="preserve">RSA Agent is a Slack bot that automates Hardware Ops workflows for the RSA (Retail-Store Activation) cart tracker. Ops managers @mention the bot in Slack to create, update, and query carts — replacing manual Google Sheets edits and email chains.</w:t>
      </w:r>
    </w:p>
    <w:p>
      <w:pPr>
        <w:spacing w:after="100" w:before="60"/>
      </w:pPr>
      <w:r>
        <w:rPr>
          <w:color w:val="0b0b0b"/>
          <w:sz w:val="22"/>
          <w:szCs w:val="22"/>
        </w:rPr>
        <w:t xml:space="preserve">The bot makes one LLM call per Slack message to parse the ops manager's natural-language intent into a structured JSON action, then executes the appropriate workflow against the RSA Tracker spreadsheet. Supported workflows include:</w:t>
      </w:r>
    </w:p>
    <w:p>
      <w:pPr>
        <w:spacing w:after="40" w:before="40"/>
        <w:ind w:left="360"/>
      </w:pPr>
      <w:r>
        <w:rPr>
          <w:color w:val="185FA5"/>
          <w:sz w:val="22"/>
          <w:szCs w:val="22"/>
        </w:rPr>
        <w:t xml:space="preserve">•  </w:t>
      </w:r>
      <w:r>
        <w:rPr>
          <w:color w:val="0b0b0b"/>
          <w:sz w:val="22"/>
          <w:szCs w:val="22"/>
        </w:rPr>
        <w:t xml:space="preserve">New cart onboarding — adds carts to the RSA Tracker, schedules a Truno inspection visit, and emails the Truno coordinator</w:t>
      </w:r>
    </w:p>
    <w:p>
      <w:pPr>
        <w:spacing w:after="40" w:before="40"/>
        <w:ind w:left="360"/>
      </w:pPr>
      <w:r>
        <w:rPr>
          <w:color w:val="185FA5"/>
          <w:sz w:val="22"/>
          <w:szCs w:val="22"/>
        </w:rPr>
        <w:t xml:space="preserve">•  </w:t>
      </w:r>
      <w:r>
        <w:rPr>
          <w:color w:val="0b0b0b"/>
          <w:sz w:val="22"/>
          <w:szCs w:val="22"/>
        </w:rPr>
        <w:t xml:space="preserve">Status updates — sets RSA/W&amp;M status, DRI, notes, and scheduled dates on existing carts</w:t>
      </w:r>
    </w:p>
    <w:p>
      <w:pPr>
        <w:spacing w:after="40" w:before="40"/>
        <w:ind w:left="360"/>
      </w:pPr>
      <w:r>
        <w:rPr>
          <w:color w:val="185FA5"/>
          <w:sz w:val="22"/>
          <w:szCs w:val="22"/>
        </w:rPr>
        <w:t xml:space="preserve">•  </w:t>
      </w:r>
      <w:r>
        <w:rPr>
          <w:color w:val="0b0b0b"/>
          <w:sz w:val="22"/>
          <w:szCs w:val="22"/>
        </w:rPr>
        <w:t xml:space="preserve">Cart queries — returns current status for a specific cart or filtered list (by state, DRI, stale age)</w:t>
      </w:r>
    </w:p>
    <w:p>
      <w:pPr>
        <w:spacing w:after="40" w:before="40"/>
        <w:ind w:left="360"/>
      </w:pPr>
      <w:r>
        <w:rPr>
          <w:color w:val="185FA5"/>
          <w:sz w:val="22"/>
          <w:szCs w:val="22"/>
        </w:rPr>
        <w:t xml:space="preserve">•  </w:t>
      </w:r>
      <w:r>
        <w:rPr>
          <w:color w:val="0b0b0b"/>
          <w:sz w:val="22"/>
          <w:szCs w:val="22"/>
        </w:rPr>
        <w:t xml:space="preserve">Monthly reporting — visits completed and scheduled for a given month across RSA Tracker and Truno</w:t>
      </w:r>
    </w:p>
    <w:p>
      <w:pPr>
        <w:spacing w:after="40" w:before="40"/>
        <w:ind w:left="360"/>
      </w:pPr>
      <w:r>
        <w:rPr>
          <w:color w:val="185FA5"/>
          <w:sz w:val="22"/>
          <w:szCs w:val="22"/>
        </w:rPr>
        <w:t xml:space="preserve">•  </w:t>
      </w:r>
      <w:r>
        <w:rPr>
          <w:color w:val="0b0b0b"/>
          <w:sz w:val="22"/>
          <w:szCs w:val="22"/>
        </w:rPr>
        <w:t xml:space="preserve">Compliance lookup — retrieves RSA/W&amp;M requirements for a store/state from the compliance guide</w:t>
      </w:r>
    </w:p>
    <w:p>
      <w:pPr>
        <w:spacing w:after="40" w:before="40"/>
        <w:ind w:left="360"/>
      </w:pPr>
      <w:r>
        <w:rPr>
          <w:color w:val="185FA5"/>
          <w:sz w:val="22"/>
          <w:szCs w:val="22"/>
        </w:rPr>
        <w:t xml:space="preserve">•  </w:t>
      </w:r>
      <w:r>
        <w:rPr>
          <w:color w:val="0b0b0b"/>
          <w:sz w:val="22"/>
          <w:szCs w:val="22"/>
        </w:rPr>
        <w:t xml:space="preserve">Tech result ingestion — processes uploaded calibration files and writes results back to the tracker</w:t>
      </w:r>
    </w:p>
    <w:p>
      <w:pPr>
        <w:pBdr>
          <w:bottom w:val="single" w:color="E1E0D9" w:sz="4"/>
        </w:pBdr>
        <w:spacing w:after="0" w:before="200"/>
      </w:pPr>
    </w:p>
    <w:p>
      <w:pPr>
        <w:pStyle w:val="Heading2"/>
        <w:spacing w:after="80" w:before="240"/>
      </w:pPr>
      <w:r>
        <w:t xml:space="preserve">DRI / Pillar lead</w:t>
      </w:r>
    </w:p>
    <w:p>
      <w:pPr>
        <w:spacing w:after="60" w:before="60"/>
      </w:pPr>
      <w:r>
        <w:rPr>
          <w:b/>
          <w:bCs/>
          <w:color w:val="0b0b0b"/>
          <w:sz w:val="22"/>
          <w:szCs w:val="22"/>
        </w:rPr>
        <w:t xml:space="preserve">DRI: </w:t>
      </w:r>
      <w:r>
        <w:rPr>
          <w:color w:val="52514e"/>
          <w:sz w:val="22"/>
          <w:szCs w:val="22"/>
        </w:rPr>
        <w:t xml:space="preserve">Sai VS — Hardware Ops</w:t>
      </w:r>
    </w:p>
    <w:p>
      <w:pPr>
        <w:spacing w:after="60" w:before="60"/>
      </w:pPr>
      <w:r>
        <w:rPr>
          <w:b/>
          <w:bCs/>
          <w:color w:val="0b0b0b"/>
          <w:sz w:val="22"/>
          <w:szCs w:val="22"/>
        </w:rPr>
        <w:t xml:space="preserve">Team: </w:t>
      </w:r>
      <w:r>
        <w:rPr>
          <w:color w:val="52514e"/>
          <w:sz w:val="22"/>
          <w:szCs w:val="22"/>
        </w:rPr>
        <w:t xml:space="preserve">Hardware Ops (Sai VS, Vishnu Kariyattu, Maitland Kelly, Andrew Cha, Reshmi Chowdhury)</w:t>
      </w:r>
    </w:p>
    <w:p>
      <w:pPr>
        <w:spacing w:after="60" w:before="60"/>
      </w:pPr>
      <w:r>
        <w:rPr>
          <w:b/>
          <w:bCs/>
          <w:color w:val="0b0b0b"/>
          <w:sz w:val="22"/>
          <w:szCs w:val="22"/>
        </w:rPr>
        <w:t xml:space="preserve">PM: </w:t>
      </w:r>
      <w:r>
        <w:rPr>
          <w:color w:val="52514e"/>
          <w:sz w:val="22"/>
          <w:szCs w:val="22"/>
        </w:rPr>
        <w:t xml:space="preserve">[Confirm PM]</w:t>
      </w:r>
    </w:p>
    <w:p>
      <w:pPr>
        <w:pBdr>
          <w:bottom w:val="single" w:color="E1E0D9" w:sz="4"/>
        </w:pBdr>
        <w:spacing w:after="0" w:before="200"/>
      </w:pPr>
    </w:p>
    <w:p>
      <w:pPr>
        <w:pStyle w:val="Heading2"/>
        <w:spacing w:after="80" w:before="240"/>
      </w:pPr>
      <w:r>
        <w:t xml:space="preserve">Primary cost driver</w:t>
      </w:r>
    </w:p>
    <w:p>
      <w:pPr>
        <w:spacing w:after="100" w:before="60"/>
      </w:pPr>
      <w:r>
        <w:rPr>
          <w:color w:val="0b0b0b"/>
          <w:sz w:val="22"/>
          <w:szCs w:val="22"/>
        </w:rPr>
        <w:t xml:space="preserve">One LLM inference call per Slack message. The cost per request is fixed regardless of cart count or tracker size:</w:t>
      </w:r>
    </w:p>
    <w:p>
      <w:pPr>
        <w:spacing w:after="40" w:before="40"/>
        <w:ind w:left="360"/>
      </w:pPr>
      <w:r>
        <w:rPr>
          <w:color w:val="185FA5"/>
          <w:sz w:val="22"/>
          <w:szCs w:val="22"/>
        </w:rPr>
        <w:t xml:space="preserve">•  </w:t>
      </w:r>
      <w:r>
        <w:rPr>
          <w:color w:val="0b0b0b"/>
          <w:sz w:val="22"/>
          <w:szCs w:val="22"/>
        </w:rPr>
        <w:t xml:space="preserve">Input: ~1,722 tokens per request (1,692-token system prompt + ~30-token user message)</w:t>
      </w:r>
    </w:p>
    <w:p>
      <w:pPr>
        <w:spacing w:after="40" w:before="40"/>
        <w:ind w:left="360"/>
      </w:pPr>
      <w:r>
        <w:rPr>
          <w:color w:val="185FA5"/>
          <w:sz w:val="22"/>
          <w:szCs w:val="22"/>
        </w:rPr>
        <w:t xml:space="preserve">•  </w:t>
      </w:r>
      <w:r>
        <w:rPr>
          <w:color w:val="0b0b0b"/>
          <w:sz w:val="22"/>
          <w:szCs w:val="22"/>
        </w:rPr>
        <w:t xml:space="preserve">Output: ~200 tokens per request (structured JSON intent, max 1,000 allowed)</w:t>
      </w:r>
    </w:p>
    <w:p>
      <w:pPr>
        <w:spacing w:after="40" w:before="40"/>
        <w:ind w:left="360"/>
      </w:pPr>
      <w:r>
        <w:rPr>
          <w:color w:val="185FA5"/>
          <w:sz w:val="22"/>
          <w:szCs w:val="22"/>
        </w:rPr>
        <w:t xml:space="preserve">•  </w:t>
      </w:r>
      <w:r>
        <w:rPr>
          <w:color w:val="0b0b0b"/>
          <w:sz w:val="22"/>
          <w:szCs w:val="22"/>
        </w:rPr>
        <w:t xml:space="preserve">Cost per request on claude-opus-4-8: ~$0.014 ($5.00 input / $25.00 output per 1M tokens)</w:t>
      </w:r>
    </w:p>
    <w:p>
      <w:pPr>
        <w:spacing w:after="100" w:before="60"/>
      </w:pPr>
      <w:r>
        <w:rPr>
          <w:color w:val="0b0b0b"/>
          <w:sz w:val="22"/>
          <w:szCs w:val="22"/>
        </w:rPr>
        <w:t xml:space="preserve">No usage logging is currently implemented. Actual request volume is unknown. Estimates below are scenario-based pending instrumentation.</w:t>
      </w:r>
    </w:p>
    <w:p>
      <w:pPr>
        <w:pBdr>
          <w:bottom w:val="single" w:color="E1E0D9" w:sz="4"/>
        </w:pBdr>
        <w:spacing w:after="0" w:before="200"/>
      </w:pPr>
    </w:p>
    <w:p>
      <w:pPr>
        <w:pStyle w:val="Heading2"/>
        <w:spacing w:after="80" w:before="240"/>
      </w:pPr>
      <w:r>
        <w:t xml:space="preserve">Does it scale with orders or other business metrics?</w:t>
      </w:r>
    </w:p>
    <w:p>
      <w:pPr>
        <w:spacing w:after="100" w:before="60"/>
      </w:pPr>
      <w:r>
        <w:rPr>
          <w:color w:val="0b0b0b"/>
          <w:sz w:val="22"/>
          <w:szCs w:val="22"/>
        </w:rPr>
        <w:t xml:space="preserve">Cost scales with the number of Slack messages sent by ops managers — not with order volume or cart count. Each message triggers exactly one LLM call regardless of how many carts or stores are referenced. Usage grows with team headcount and the number of active RSA deployments being managed, not with Instacart transaction volume.</w:t>
      </w:r>
    </w:p>
    <w:p>
      <w:pPr>
        <w:pBdr>
          <w:bottom w:val="single" w:color="E1E0D9" w:sz="4"/>
        </w:pBdr>
        <w:spacing w:after="0" w:before="200"/>
      </w:pPr>
    </w:p>
    <w:p>
      <w:pPr>
        <w:pStyle w:val="Heading2"/>
        <w:spacing w:after="80" w:before="240"/>
      </w:pPr>
      <w:r>
        <w:t xml:space="preserve">Projected cost (now – end of year)</w:t>
      </w:r>
    </w:p>
    <w:p>
      <w:pPr>
        <w:spacing w:after="100" w:before="60"/>
      </w:pPr>
      <w:r>
        <w:rPr>
          <w:color w:val="0b0b0b"/>
          <w:sz w:val="22"/>
          <w:szCs w:val="22"/>
        </w:rPr>
        <w:t xml:space="preserve">Remaining period: ~5.5 months (August–December 2026). Three scenarios based on daily message volume:</w:t>
      </w:r>
    </w:p>
    <w:p>
      <w:pPr>
        <w:spacing w:after="80" w:before="120"/>
      </w:pPr>
    </w:p>
    <w:tbl>
      <w:tblPr>
        <w:tblW w:type="dxa" w:w="9240"/>
        <w:tblBorders>
          <w:top w:val="single" w:color="E1E0D9" w:sz="4"/>
          <w:left w:val="none"/>
          <w:bottom w:val="single" w:color="E1E0D9" w:sz="4"/>
          <w:right w:val="none"/>
          <w:insideH w:val="single" w:color="auto" w:sz="4"/>
          <w:insideV w:val="single" w:color="auto" w:sz="4"/>
        </w:tblBorders>
      </w:tblPr>
      <w:tblGrid>
        <w:gridCol w:w="100"/>
        <w:gridCol w:w="100"/>
        <w:gridCol w:w="100"/>
        <w:gridCol w:w="100"/>
      </w:tblGrid>
      <w:tr>
        <w:tc>
          <w:tcPr>
            <w:tcW w:type="dxa" w:w="2400"/>
            <w:shd w:fill="E6F1FB" w:color="auto" w:val="clear"/>
          </w:tcPr>
          <w:p>
            <w:r>
              <w:rPr>
                <w:b/>
                <w:bCs/>
                <w:color w:val="0b0b0b"/>
                <w:sz w:val="20"/>
                <w:szCs w:val="20"/>
              </w:rPr>
              <w:t xml:space="preserve">Scenario</w:t>
            </w:r>
          </w:p>
        </w:tc>
        <w:tc>
          <w:tcPr>
            <w:tcW w:type="dxa" w:w="2280"/>
            <w:shd w:fill="E6F1FB" w:color="auto" w:val="clear"/>
          </w:tcPr>
          <w:p>
            <w:r>
              <w:rPr>
                <w:b/>
                <w:bCs/>
                <w:color w:val="0b0b0b"/>
                <w:sz w:val="20"/>
                <w:szCs w:val="20"/>
              </w:rPr>
              <w:t xml:space="preserve">Daily msgs</w:t>
            </w:r>
          </w:p>
        </w:tc>
        <w:tc>
          <w:tcPr>
            <w:tcW w:type="dxa" w:w="2280"/>
            <w:shd w:fill="E6F1FB" w:color="auto" w:val="clear"/>
          </w:tcPr>
          <w:p>
            <w:r>
              <w:rPr>
                <w:b/>
                <w:bCs/>
                <w:color w:val="0b0b0b"/>
                <w:sz w:val="20"/>
                <w:szCs w:val="20"/>
              </w:rPr>
              <w:t xml:space="preserve">Monthly cost</w:t>
            </w:r>
          </w:p>
        </w:tc>
        <w:tc>
          <w:tcPr>
            <w:tcW w:type="dxa" w:w="2280"/>
            <w:shd w:fill="E6F1FB" w:color="auto" w:val="clear"/>
          </w:tcPr>
          <w:p>
            <w:r>
              <w:rPr>
                <w:b/>
                <w:bCs/>
                <w:color w:val="0b0b0b"/>
                <w:sz w:val="20"/>
                <w:szCs w:val="20"/>
              </w:rPr>
              <w:t xml:space="preserve">Remaining 2026</w:t>
            </w:r>
          </w:p>
        </w:tc>
      </w:tr>
      <w:tr>
        <w:tc>
          <w:tcPr>
            <w:tcW w:type="dxa" w:w="2400"/>
          </w:tcPr>
          <w:p>
            <w:r>
              <w:rPr>
                <w:color w:val="0b0b0b"/>
                <w:sz w:val="20"/>
                <w:szCs w:val="20"/>
              </w:rPr>
              <w:t xml:space="preserve">Low</w:t>
            </w:r>
          </w:p>
        </w:tc>
        <w:tc>
          <w:tcPr>
            <w:tcW w:type="dxa" w:w="2280"/>
          </w:tcPr>
          <w:p>
            <w:r>
              <w:rPr>
                <w:color w:val="0b0b0b"/>
                <w:sz w:val="20"/>
                <w:szCs w:val="20"/>
              </w:rPr>
              <w:t xml:space="preserve">5</w:t>
            </w:r>
          </w:p>
        </w:tc>
        <w:tc>
          <w:tcPr>
            <w:tcW w:type="dxa" w:w="2280"/>
          </w:tcPr>
          <w:p>
            <w:r>
              <w:rPr>
                <w:color w:val="0b0b0b"/>
                <w:sz w:val="20"/>
                <w:szCs w:val="20"/>
              </w:rPr>
              <w:t xml:space="preserve">~$2</w:t>
            </w:r>
          </w:p>
        </w:tc>
        <w:tc>
          <w:tcPr>
            <w:tcW w:type="dxa" w:w="2280"/>
          </w:tcPr>
          <w:p>
            <w:r>
              <w:rPr>
                <w:color w:val="0b0b0b"/>
                <w:sz w:val="20"/>
                <w:szCs w:val="20"/>
              </w:rPr>
              <w:t xml:space="preserve">~$11</w:t>
            </w:r>
          </w:p>
        </w:tc>
      </w:tr>
      <w:tr>
        <w:tc>
          <w:tcPr>
            <w:tcW w:type="dxa" w:w="2400"/>
            <w:shd w:fill="F1EFE8" w:color="auto" w:val="clear"/>
          </w:tcPr>
          <w:p>
            <w:r>
              <w:rPr>
                <w:color w:val="0b0b0b"/>
                <w:sz w:val="20"/>
                <w:szCs w:val="20"/>
              </w:rPr>
              <w:t xml:space="preserve">Medium</w:t>
            </w:r>
          </w:p>
        </w:tc>
        <w:tc>
          <w:tcPr>
            <w:tcW w:type="dxa" w:w="2280"/>
            <w:shd w:fill="F1EFE8" w:color="auto" w:val="clear"/>
          </w:tcPr>
          <w:p>
            <w:r>
              <w:rPr>
                <w:color w:val="0b0b0b"/>
                <w:sz w:val="20"/>
                <w:szCs w:val="20"/>
              </w:rPr>
              <w:t xml:space="preserve">20</w:t>
            </w:r>
          </w:p>
        </w:tc>
        <w:tc>
          <w:tcPr>
            <w:tcW w:type="dxa" w:w="2280"/>
            <w:shd w:fill="F1EFE8" w:color="auto" w:val="clear"/>
          </w:tcPr>
          <w:p>
            <w:r>
              <w:rPr>
                <w:color w:val="0b0b0b"/>
                <w:sz w:val="20"/>
                <w:szCs w:val="20"/>
              </w:rPr>
              <w:t xml:space="preserve">~$8</w:t>
            </w:r>
          </w:p>
        </w:tc>
        <w:tc>
          <w:tcPr>
            <w:tcW w:type="dxa" w:w="2280"/>
            <w:shd w:fill="F1EFE8" w:color="auto" w:val="clear"/>
          </w:tcPr>
          <w:p>
            <w:r>
              <w:rPr>
                <w:color w:val="0b0b0b"/>
                <w:sz w:val="20"/>
                <w:szCs w:val="20"/>
              </w:rPr>
              <w:t xml:space="preserve">~$44</w:t>
            </w:r>
          </w:p>
        </w:tc>
      </w:tr>
      <w:tr>
        <w:tc>
          <w:tcPr>
            <w:tcW w:type="dxa" w:w="2400"/>
          </w:tcPr>
          <w:p>
            <w:r>
              <w:rPr>
                <w:color w:val="0b0b0b"/>
                <w:sz w:val="20"/>
                <w:szCs w:val="20"/>
              </w:rPr>
              <w:t xml:space="preserve">High</w:t>
            </w:r>
          </w:p>
        </w:tc>
        <w:tc>
          <w:tcPr>
            <w:tcW w:type="dxa" w:w="2280"/>
          </w:tcPr>
          <w:p>
            <w:r>
              <w:rPr>
                <w:color w:val="0b0b0b"/>
                <w:sz w:val="20"/>
                <w:szCs w:val="20"/>
              </w:rPr>
              <w:t xml:space="preserve">50</w:t>
            </w:r>
          </w:p>
        </w:tc>
        <w:tc>
          <w:tcPr>
            <w:tcW w:type="dxa" w:w="2280"/>
          </w:tcPr>
          <w:p>
            <w:r>
              <w:rPr>
                <w:color w:val="0b0b0b"/>
                <w:sz w:val="20"/>
                <w:szCs w:val="20"/>
              </w:rPr>
              <w:t xml:space="preserve">~$20</w:t>
            </w:r>
          </w:p>
        </w:tc>
        <w:tc>
          <w:tcPr>
            <w:tcW w:type="dxa" w:w="2280"/>
          </w:tcPr>
          <w:p>
            <w:r>
              <w:rPr>
                <w:color w:val="0b0b0b"/>
                <w:sz w:val="20"/>
                <w:szCs w:val="20"/>
              </w:rPr>
              <w:t xml:space="preserve">~$112</w:t>
            </w:r>
          </w:p>
        </w:tc>
      </w:tr>
    </w:tbl>
    <w:p>
      <w:pPr>
        <w:spacing w:after="0" w:before="120"/>
      </w:pPr>
    </w:p>
    <w:p>
      <w:pPr>
        <w:spacing w:after="100" w:before="60"/>
      </w:pPr>
      <w:r>
        <w:rPr>
          <w:color w:val="0b0b0b"/>
          <w:sz w:val="22"/>
          <w:szCs w:val="22"/>
        </w:rPr>
        <w:t xml:space="preserve">Note: switching from claude-opus-4-8 to claude-sonnet-5 reduces cost by ~60% with no expected change in intent-parsing quality, given the structured JSON output task. Sonnet 5 is available at $2.00/$10.00 per 1M tokens through August 2026, then $3.00/$15.00.</w:t>
      </w:r>
    </w:p>
    <w:p>
      <w:pPr>
        <w:pBdr>
          <w:bottom w:val="single" w:color="E1E0D9" w:sz="4"/>
        </w:pBdr>
        <w:spacing w:after="0" w:before="200"/>
      </w:pPr>
    </w:p>
    <w:p>
      <w:pPr>
        <w:pStyle w:val="Heading2"/>
        <w:spacing w:after="80" w:before="240"/>
      </w:pPr>
      <w:r>
        <w:t xml:space="preserve">Timing of spend</w:t>
      </w:r>
    </w:p>
    <w:p>
      <w:pPr>
        <w:spacing w:after="100" w:before="60"/>
      </w:pPr>
      <w:r>
        <w:rPr>
          <w:color w:val="0b0b0b"/>
          <w:sz w:val="22"/>
          <w:szCs w:val="22"/>
        </w:rPr>
        <w:t xml:space="preserve">Spend is ongoing. The bot is deployed and receiving Slack @mentions from the Hardware Ops team. All requests are currently failing with PermissionDeniedError — the gateway proxy has hit an access/budget limit. Immediate budget approval is needed to restore service.</w:t>
      </w:r>
    </w:p>
    <w:p>
      <w:pPr>
        <w:pBdr>
          <w:bottom w:val="single" w:color="E1E0D9" w:sz="4"/>
        </w:pBdr>
        <w:spacing w:after="0" w:before="200"/>
      </w:pPr>
    </w:p>
    <w:p>
      <w:pPr>
        <w:pStyle w:val="Heading2"/>
        <w:spacing w:after="80" w:before="240"/>
      </w:pPr>
      <w:r>
        <w:t xml:space="preserve">VP / Pillar leader approval</w:t>
      </w:r>
    </w:p>
    <w:p>
      <w:pPr>
        <w:spacing w:after="100" w:before="60"/>
      </w:pPr>
      <w:r>
        <w:rPr>
          <w:color w:val="0b0b0b"/>
          <w:sz w:val="22"/>
          <w:szCs w:val="22"/>
        </w:rPr>
        <w:t xml:space="preserve">[Pending — tag pillar lead and PM in the #ai-infra thread per the AI Gateway cost-control process.]</w:t>
      </w:r>
    </w:p>
    <w:p>
      <w:pPr>
        <w:pBdr>
          <w:bottom w:val="single" w:color="E1E0D9" w:sz="4"/>
        </w:pBdr>
        <w:spacing w:after="0" w:before="200"/>
      </w:pPr>
    </w:p>
    <w:p>
      <w:pPr>
        <w:pStyle w:val="Heading2"/>
        <w:spacing w:after="80" w:before="240"/>
      </w:pPr>
      <w:r>
        <w:t xml:space="preserve">Expected ROI</w:t>
      </w:r>
    </w:p>
    <w:p>
      <w:pPr>
        <w:spacing w:after="100" w:before="60"/>
      </w:pPr>
      <w:r>
        <w:rPr>
          <w:color w:val="0b0b0b"/>
          <w:sz w:val="22"/>
          <w:szCs w:val="22"/>
        </w:rPr>
        <w:t xml:space="preserve">The RSA Agent eliminates manual Sheets edits and email coordination for RSA inspection workflows across all active cart deployments. Key value:</w:t>
      </w:r>
    </w:p>
    <w:p>
      <w:pPr>
        <w:spacing w:after="40" w:before="40"/>
        <w:ind w:left="360"/>
      </w:pPr>
      <w:r>
        <w:rPr>
          <w:color w:val="185FA5"/>
          <w:sz w:val="22"/>
          <w:szCs w:val="22"/>
        </w:rPr>
        <w:t xml:space="preserve">•  </w:t>
      </w:r>
      <w:r>
        <w:rPr>
          <w:color w:val="0b0b0b"/>
          <w:sz w:val="22"/>
          <w:szCs w:val="22"/>
        </w:rPr>
        <w:t xml:space="preserve">Ops managers submit new carts and check status directly in Slack — no Sheets access or training required</w:t>
      </w:r>
    </w:p>
    <w:p>
      <w:pPr>
        <w:spacing w:after="40" w:before="40"/>
        <w:ind w:left="360"/>
      </w:pPr>
      <w:r>
        <w:rPr>
          <w:color w:val="185FA5"/>
          <w:sz w:val="22"/>
          <w:szCs w:val="22"/>
        </w:rPr>
        <w:t xml:space="preserve">•  </w:t>
      </w:r>
      <w:r>
        <w:rPr>
          <w:color w:val="0b0b0b"/>
          <w:sz w:val="22"/>
          <w:szCs w:val="22"/>
        </w:rPr>
        <w:t xml:space="preserve">Truno scheduling emails are sent automatically, reducing coordination lag</w:t>
      </w:r>
    </w:p>
    <w:p>
      <w:pPr>
        <w:spacing w:after="40" w:before="40"/>
        <w:ind w:left="360"/>
      </w:pPr>
      <w:r>
        <w:rPr>
          <w:color w:val="185FA5"/>
          <w:sz w:val="22"/>
          <w:szCs w:val="22"/>
        </w:rPr>
        <w:t xml:space="preserve">•  </w:t>
      </w:r>
      <w:r>
        <w:rPr>
          <w:color w:val="0b0b0b"/>
          <w:sz w:val="22"/>
          <w:szCs w:val="22"/>
        </w:rPr>
        <w:t xml:space="preserve">Automated DRI normalization and date backfill reduce tracker errors that delay CSM handoffs</w:t>
      </w:r>
    </w:p>
    <w:p>
      <w:pPr>
        <w:spacing w:after="40" w:before="40"/>
        <w:ind w:left="360"/>
      </w:pPr>
      <w:r>
        <w:rPr>
          <w:color w:val="185FA5"/>
          <w:sz w:val="22"/>
          <w:szCs w:val="22"/>
        </w:rPr>
        <w:t xml:space="preserve">•  </w:t>
      </w:r>
      <w:r>
        <w:rPr>
          <w:color w:val="0b0b0b"/>
          <w:sz w:val="22"/>
          <w:szCs w:val="22"/>
        </w:rPr>
        <w:t xml:space="preserve">Monthly summary and compliance lookups that previously required manual Sheets queries run in seconds</w:t>
      </w:r>
    </w:p>
    <w:p>
      <w:pPr>
        <w:spacing w:after="100" w:before="60"/>
      </w:pPr>
      <w:r>
        <w:rPr>
          <w:color w:val="0b0b0b"/>
          <w:sz w:val="22"/>
          <w:szCs w:val="22"/>
        </w:rPr>
        <w:t xml:space="preserve">The cost is negligible relative to the engineering time saved — even at the high scenario (~$20/month), it is less than 15 minutes of eng time per month.</w:t>
      </w:r>
    </w:p>
    <w:p>
      <w:pPr>
        <w:pBdr>
          <w:bottom w:val="single" w:color="E1E0D9" w:sz="4"/>
        </w:pBdr>
        <w:spacing w:after="0" w:before="200"/>
      </w:pPr>
    </w:p>
    <w:p>
      <w:pPr>
        <w:pStyle w:val="Heading2"/>
        <w:spacing w:after="80" w:before="240"/>
      </w:pPr>
      <w:r>
        <w:t xml:space="preserve">What happens if not approved</w:t>
      </w:r>
    </w:p>
    <w:p>
      <w:pPr>
        <w:spacing w:after="100" w:before="60"/>
      </w:pPr>
      <w:r>
        <w:rPr>
          <w:color w:val="0b0b0b"/>
          <w:sz w:val="22"/>
          <w:szCs w:val="22"/>
        </w:rPr>
        <w:t xml:space="preserve">All Slack @mentions to RSA_Agent currently return "PermissionDeniedError. Please try again." — the bot is fully non-functional. Without budget approval:</w:t>
      </w:r>
    </w:p>
    <w:p>
      <w:pPr>
        <w:spacing w:after="40" w:before="40"/>
        <w:ind w:left="360"/>
      </w:pPr>
      <w:r>
        <w:rPr>
          <w:color w:val="185FA5"/>
          <w:sz w:val="22"/>
          <w:szCs w:val="22"/>
        </w:rPr>
        <w:t xml:space="preserve">•  </w:t>
      </w:r>
      <w:r>
        <w:rPr>
          <w:color w:val="0b0b0b"/>
          <w:sz w:val="22"/>
          <w:szCs w:val="22"/>
        </w:rPr>
        <w:t xml:space="preserve">All RSA cart onboarding, status updates, and queries revert to manual Sheets edits</w:t>
      </w:r>
    </w:p>
    <w:p>
      <w:pPr>
        <w:spacing w:after="40" w:before="40"/>
        <w:ind w:left="360"/>
      </w:pPr>
      <w:r>
        <w:rPr>
          <w:color w:val="185FA5"/>
          <w:sz w:val="22"/>
          <w:szCs w:val="22"/>
        </w:rPr>
        <w:t xml:space="preserve">•  </w:t>
      </w:r>
      <w:r>
        <w:rPr>
          <w:color w:val="0b0b0b"/>
          <w:sz w:val="22"/>
          <w:szCs w:val="22"/>
        </w:rPr>
        <w:t xml:space="preserve">Truno scheduling emails must be sent manually by ops managers</w:t>
      </w:r>
    </w:p>
    <w:p>
      <w:pPr>
        <w:spacing w:after="40" w:before="40"/>
        <w:ind w:left="360"/>
      </w:pPr>
      <w:r>
        <w:rPr>
          <w:color w:val="185FA5"/>
          <w:sz w:val="22"/>
          <w:szCs w:val="22"/>
        </w:rPr>
        <w:t xml:space="preserve">•  </w:t>
      </w:r>
      <w:r>
        <w:rPr>
          <w:color w:val="0b0b0b"/>
          <w:sz w:val="22"/>
          <w:szCs w:val="22"/>
        </w:rPr>
        <w:t xml:space="preserve">Automated DRI normalization, date backfill, and reminder posting stop</w:t>
      </w:r>
    </w:p>
    <w:p>
      <w:pPr>
        <w:spacing w:after="40" w:before="40"/>
        <w:ind w:left="360"/>
      </w:pPr>
      <w:r>
        <w:rPr>
          <w:color w:val="185FA5"/>
          <w:sz w:val="22"/>
          <w:szCs w:val="22"/>
        </w:rPr>
        <w:t xml:space="preserve">•  </w:t>
      </w:r>
      <w:r>
        <w:rPr>
          <w:color w:val="0b0b0b"/>
          <w:sz w:val="22"/>
          <w:szCs w:val="22"/>
        </w:rPr>
        <w:t xml:space="preserve">Tech result ingestion from uploaded files stops</w:t>
      </w:r>
    </w:p>
    <w:p>
      <w:pPr>
        <w:pBdr>
          <w:bottom w:val="single" w:color="E1E0D9" w:sz="4"/>
        </w:pBdr>
        <w:spacing w:after="0" w:before="200"/>
      </w:pPr>
    </w:p>
    <w:p>
      <w:pPr>
        <w:pStyle w:val="Heading2"/>
        <w:spacing w:after="80" w:before="240"/>
      </w:pPr>
      <w:r>
        <w:t xml:space="preserve">Why not requested in Nov 2025 budget season</w:t>
      </w:r>
    </w:p>
    <w:p>
      <w:pPr>
        <w:spacing w:after="100" w:before="60"/>
      </w:pPr>
      <w:r>
        <w:rPr>
          <w:color w:val="0b0b0b"/>
          <w:sz w:val="22"/>
          <w:szCs w:val="22"/>
        </w:rPr>
        <w:t xml:space="preserve">The RSA Agent was built and deployed in H1 2026 as an internal tooling project, after the Nov 2025 planning cycle. AI Gateway usage grew organically as the bot's feature set expanded to cover the full RSA workflow. This request formalizes the ongoing spend per the AI Gateway cost-control rollout.</w:t>
      </w:r>
    </w:p>
    <w:p>
      <w:pPr>
        <w:pBdr>
          <w:bottom w:val="single" w:color="E1E0D9" w:sz="4"/>
        </w:pBdr>
        <w:spacing w:after="0" w:before="200"/>
      </w:pPr>
    </w:p>
    <w:p>
      <w:pPr>
        <w:pStyle w:val="Heading2"/>
        <w:spacing w:after="80" w:before="240"/>
      </w:pPr>
      <w:r>
        <w:t xml:space="preserve">Cost optimization options</w:t>
      </w:r>
    </w:p>
    <w:p>
      <w:pPr>
        <w:spacing w:after="100" w:before="60"/>
      </w:pPr>
      <w:r>
        <w:rPr>
          <w:color w:val="0b0b0b"/>
          <w:sz w:val="22"/>
          <w:szCs w:val="22"/>
        </w:rPr>
        <w:t xml:space="preserve">Two levers available to reduce cost without changing functionality:</w:t>
      </w:r>
    </w:p>
    <w:p>
      <w:pPr>
        <w:spacing w:after="40" w:before="40"/>
        <w:ind w:left="360"/>
      </w:pPr>
      <w:r>
        <w:rPr>
          <w:color w:val="185FA5"/>
          <w:sz w:val="22"/>
          <w:szCs w:val="22"/>
        </w:rPr>
        <w:t xml:space="preserve">•  </w:t>
      </w:r>
      <w:r>
        <w:rPr>
          <w:color w:val="0b0b0b"/>
          <w:sz w:val="22"/>
          <w:szCs w:val="22"/>
        </w:rPr>
        <w:t xml:space="preserve">Switch model to claude-sonnet-5 — 60% cost reduction. The intent-parsing task (structured JSON output from a fixed schema) does not require Opus-class capability.</w:t>
      </w:r>
    </w:p>
    <w:p>
      <w:pPr>
        <w:spacing w:after="40" w:before="40"/>
        <w:ind w:left="360"/>
      </w:pPr>
      <w:r>
        <w:rPr>
          <w:color w:val="185FA5"/>
          <w:sz w:val="22"/>
          <w:szCs w:val="22"/>
        </w:rPr>
        <w:t xml:space="preserve">•  </w:t>
      </w:r>
      <w:r>
        <w:rPr>
          <w:color w:val="0b0b0b"/>
          <w:sz w:val="22"/>
          <w:szCs w:val="22"/>
        </w:rPr>
        <w:t xml:space="preserve">Add prompt caching on the system prompt — the 1,692-token system prompt is identical on every call and is an ideal cache candidate. Cached input tokens cost 90% less ($0.50/1M vs $5.00/1M on Opus), cutting per-request cost by ~62%.</w:t>
      </w:r>
    </w:p>
    <w:p>
      <w:pPr>
        <w:spacing w:after="100" w:before="60"/>
      </w:pPr>
      <w:r>
        <w:rPr>
          <w:color w:val="0b0b0b"/>
          <w:sz w:val="22"/>
          <w:szCs w:val="22"/>
        </w:rPr>
        <w:t xml:space="preserve">Implementing both would reduce cost per request from ~$0.014 to ~$0.002 — an ~85% reduction.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2026-07-16T23:42:14.969Z</dcterms:created>
  <dcterms:modified xsi:type="dcterms:W3CDTF">2026-07-16T23:42:14.969Z</dcterms:modified>
</cp:coreProperties>
</file>

<file path=docProps/custom.xml><?xml version="1.0" encoding="utf-8"?>
<Properties xmlns="http://schemas.openxmlformats.org/officeDocument/2006/custom-properties" xmlns:vt="http://schemas.openxmlformats.org/officeDocument/2006/docPropsVTypes"/>
</file>