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Arial" w:cs="Arial" w:eastAsia="Arial" w:hAnsi="Arial"/>
          <w:b/>
          <w:bCs/>
          <w:sz w:val="28"/>
          <w:szCs w:val="28"/>
        </w:rPr>
        <w:t xml:space="preserve">APTC106</w:t>
      </w:r>
    </w:p>
    <w:p>
      <w:pPr>
        <w:spacing w:after="50"/>
        <w:jc w:val="center"/>
      </w:pPr>
      <w:r>
        <w:rPr>
          <w:rFonts w:ascii="Arial" w:cs="Arial" w:eastAsia="Arial" w:hAnsi="Arial"/>
          <w:sz w:val="24"/>
          <w:szCs w:val="24"/>
        </w:rPr>
        <w:t xml:space="preserve">Semana 8</w:t>
      </w:r>
    </w:p>
    <w:p>
      <w:pPr>
        <w:spacing w:after="300"/>
        <w:jc w:val="center"/>
      </w:pPr>
      <w:r>
        <w:rPr>
          <w:rFonts w:ascii="Arial" w:cs="Arial" w:eastAsia="Arial" w:hAnsi="Arial"/>
          <w:b/>
          <w:bCs/>
          <w:sz w:val="28"/>
          <w:szCs w:val="28"/>
        </w:rPr>
        <w:t xml:space="preserve">Formativa 3: Propuesta de Mejora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Pr>
          <w:p>
            <w:r>
              <w:rPr>
                <w:rFonts w:ascii="Arial" w:cs="Arial" w:eastAsia="Arial" w:hAnsi="Arial"/>
                <w:b/>
                <w:bCs/>
                <w:color w:val="000000"/>
                <w:sz w:val="22"/>
                <w:szCs w:val="22"/>
              </w:rPr>
              <w:t xml:space="preserve">Integrantes</w:t>
            </w:r>
          </w:p>
        </w:tc>
        <w:tc>
          <w:tcPr>
            <w:tcW w:type="dxa" w:w="6640"/>
          </w:tcPr>
          <w:p>
            <w:r>
              <w:rPr>
                <w:rFonts w:ascii="Arial" w:cs="Arial" w:eastAsia="Arial" w:hAnsi="Arial"/>
                <w:sz w:val="22"/>
                <w:szCs w:val="22"/>
              </w:rPr>
              <w:t xml:space="preserve">Joaquin Olivares, Javiera Chávez, Claudio Yáñez</w:t>
            </w:r>
          </w:p>
        </w:tc>
      </w:tr>
      <w:tr>
        <w:tc>
          <w:tcPr>
            <w:tcW w:type="dxa" w:w="3200"/>
          </w:tcPr>
          <w:p>
            <w:r>
              <w:rPr>
                <w:rFonts w:ascii="Arial" w:cs="Arial" w:eastAsia="Arial" w:hAnsi="Arial"/>
                <w:b/>
                <w:bCs/>
                <w:color w:val="000000"/>
                <w:sz w:val="22"/>
                <w:szCs w:val="22"/>
              </w:rPr>
              <w:t xml:space="preserve">Asignatura</w:t>
            </w:r>
          </w:p>
        </w:tc>
        <w:tc>
          <w:tcPr>
            <w:tcW w:type="dxa" w:w="6640"/>
          </w:tcPr>
          <w:p>
            <w:r>
              <w:rPr>
                <w:rFonts w:ascii="Arial" w:cs="Arial" w:eastAsia="Arial" w:hAnsi="Arial"/>
                <w:sz w:val="22"/>
                <w:szCs w:val="22"/>
              </w:rPr>
              <w:t xml:space="preserve">Taller de Desarrollo Web y Móvil (APTC106)</w:t>
            </w:r>
          </w:p>
        </w:tc>
      </w:tr>
      <w:tr>
        <w:tc>
          <w:tcPr>
            <w:tcW w:type="dxa" w:w="3200"/>
          </w:tcPr>
          <w:p>
            <w:r>
              <w:rPr>
                <w:rFonts w:ascii="Arial" w:cs="Arial" w:eastAsia="Arial" w:hAnsi="Arial"/>
                <w:b/>
                <w:bCs/>
                <w:color w:val="000000"/>
                <w:sz w:val="22"/>
                <w:szCs w:val="22"/>
              </w:rPr>
              <w:t xml:space="preserve">Docente</w:t>
            </w:r>
          </w:p>
        </w:tc>
        <w:tc>
          <w:tcPr>
            <w:tcW w:type="dxa" w:w="6640"/>
          </w:tcPr>
          <w:p>
            <w:r>
              <w:rPr>
                <w:rFonts w:ascii="Arial" w:cs="Arial" w:eastAsia="Arial" w:hAnsi="Arial"/>
                <w:sz w:val="22"/>
                <w:szCs w:val="22"/>
              </w:rPr>
              <w:t xml:space="preserve">Ernesto Vivanco Tapia</w:t>
            </w:r>
          </w:p>
        </w:tc>
      </w:tr>
      <w:tr>
        <w:tc>
          <w:tcPr>
            <w:tcW w:type="dxa" w:w="3200"/>
          </w:tcPr>
          <w:p>
            <w:r>
              <w:rPr>
                <w:rFonts w:ascii="Arial" w:cs="Arial" w:eastAsia="Arial" w:hAnsi="Arial"/>
                <w:b/>
                <w:bCs/>
                <w:color w:val="000000"/>
                <w:sz w:val="22"/>
                <w:szCs w:val="22"/>
              </w:rPr>
              <w:t xml:space="preserve">Fecha</w:t>
            </w:r>
          </w:p>
        </w:tc>
        <w:tc>
          <w:tcPr>
            <w:tcW w:type="dxa" w:w="6640"/>
          </w:tcPr>
          <w:p>
            <w:r>
              <w:rPr>
                <w:rFonts w:ascii="Arial" w:cs="Arial" w:eastAsia="Arial" w:hAnsi="Arial"/>
                <w:sz w:val="22"/>
                <w:szCs w:val="22"/>
              </w:rPr>
              <w:t xml:space="preserve">22/08/2026</w:t>
            </w:r>
          </w:p>
        </w:tc>
      </w:tr>
    </w:tbl>
    <w:p>
      <w:pPr>
        <w:spacing w:after="300"/>
      </w:pPr>
    </w:p>
    <w:p>
      <w:pPr>
        <w:pStyle w:val="Heading1"/>
        <w:spacing w:after="150" w:before="300"/>
      </w:pPr>
      <w:r>
        <w:t xml:space="preserve">Índice</w:t>
      </w:r>
    </w:p>
    <w:p>
      <w:pPr>
        <w:spacing w:after="120" w:line="264"/>
        <w:jc w:val="both"/>
      </w:pPr>
      <w:r>
        <w:rPr>
          <w:rFonts w:ascii="Arial" w:cs="Arial" w:eastAsia="Arial" w:hAnsi="Arial"/>
          <w:sz w:val="22"/>
          <w:szCs w:val="22"/>
        </w:rPr>
        <w:t xml:space="preserve">1. Introducción — 2. Propuesta de integración móvil/web — 3. Mejoras incorporadas al MVP — 4. Estrategias de empaquetado y distribución del aplicativo móvil — 5. Repositorio y Readme en GitHub — 6. Análisis crítico — 7. Conclusiones — 8. Referencias</w:t>
      </w:r>
    </w:p>
    <w:p>
      <w:pPr>
        <w:pStyle w:val="Heading1"/>
        <w:spacing w:after="150" w:before="300"/>
      </w:pPr>
      <w:r>
        <w:t xml:space="preserve">1. Introducción</w:t>
      </w:r>
    </w:p>
    <w:p>
      <w:pPr>
        <w:spacing w:after="120" w:line="264"/>
        <w:jc w:val="both"/>
      </w:pPr>
      <w:r>
        <w:rPr>
          <w:rFonts w:ascii="Arial" w:cs="Arial" w:eastAsia="Arial" w:hAnsi="Arial"/>
          <w:sz w:val="22"/>
          <w:szCs w:val="22"/>
        </w:rPr>
        <w:t xml:space="preserve">Este informe da continuidad al trabajo realizado en la Sumativa 2 (APTC106_s6grupo1), donde se entregó un MVP funcional en Django para la gestión de un proceso de logística inversa (devoluciones y cambios de productos), estructurado en cinco roles y un flujo de estados.</w:t>
      </w:r>
    </w:p>
    <w:p>
      <w:pPr>
        <w:spacing w:after="120" w:line="264"/>
        <w:jc w:val="both"/>
      </w:pPr>
      <w:r>
        <w:rPr>
          <w:rFonts w:ascii="Arial" w:cs="Arial" w:eastAsia="Arial" w:hAnsi="Arial"/>
          <w:sz w:val="22"/>
          <w:szCs w:val="22"/>
        </w:rPr>
        <w:t xml:space="preserve">La motivación de este documento es doble: por un lado, incorporar formalmente las mejoras identificadas tras la revisión del MVP; por otro, investigar y documentar cómo se empaquetaría y distribuiría una versión móvil del sistema fuera de una tienda de aplicaciones, dando así el primer paso hacia la construcción paralela de la aplicación web y móvil.</w:t>
      </w:r>
    </w:p>
    <w:p>
      <w:pPr>
        <w:spacing w:after="120" w:line="264"/>
        <w:jc w:val="both"/>
      </w:pPr>
      <w:r>
        <w:rPr>
          <w:rFonts w:ascii="Arial" w:cs="Arial" w:eastAsia="Arial" w:hAnsi="Arial"/>
          <w:sz w:val="22"/>
          <w:szCs w:val="22"/>
        </w:rPr>
        <w:t xml:space="preserve">Los objetivos de este informe son: (1) proponer cómo se dividirán los roles entre la aplicación web y la aplicación móvil dentro de la lógica del negocio; (2) documentar las mejoras que se incorporarán al MVP; (3) investigar y comparar estrategias reales de empaquetado y distribución de aplicaciones móviles fuera de tiendas de aplicaciones, evaluando cada una con un análisis FODA; y (4) dejar establecidos los pasos para publicar el proyecto en un repositorio GitHub con un Readme ejecutable en un sistema externo.</w:t>
      </w:r>
    </w:p>
    <w:p>
      <w:pPr>
        <w:spacing w:after="120" w:line="264"/>
        <w:jc w:val="both"/>
      </w:pPr>
      <w:r>
        <w:rPr>
          <w:rFonts w:ascii="Arial" w:cs="Arial" w:eastAsia="Arial" w:hAnsi="Arial"/>
          <w:sz w:val="22"/>
          <w:szCs w:val="22"/>
        </w:rPr>
        <w:t xml:space="preserve">La estructura de este informe sigue el orden de los objetivos anteriores, cerrando con un análisis crítico de las decisiones tomadas y las conclusiones grupales del equipo.</w:t>
      </w:r>
    </w:p>
    <w:p>
      <w:pPr>
        <w:pStyle w:val="Heading1"/>
        <w:spacing w:after="150" w:before="300"/>
      </w:pPr>
      <w:r>
        <w:t xml:space="preserve">2. Propuesta de integración móvil/web</w:t>
      </w:r>
    </w:p>
    <w:p>
      <w:pPr>
        <w:spacing w:after="120" w:line="264"/>
        <w:jc w:val="both"/>
      </w:pPr>
      <w:r>
        <w:rPr>
          <w:rFonts w:ascii="Arial" w:cs="Arial" w:eastAsia="Arial" w:hAnsi="Arial"/>
          <w:sz w:val="22"/>
          <w:szCs w:val="22"/>
        </w:rPr>
        <w:t xml:space="preserve">Se propone una arquitectura donde la aplicación web (Django) concentra la administración, la validación de evidencia y los reportes, mientras que la aplicación móvil se enfoca en los roles que operan en terreno:</w:t>
      </w:r>
    </w:p>
    <w:p>
      <w:pPr>
        <w:pStyle w:val="ListParagraph"/>
        <w:numPr>
          <w:ilvl w:val="0"/>
          <w:numId w:val="1"/>
        </w:numPr>
        <w:spacing w:after="80" w:line="264"/>
        <w:jc w:val="both"/>
      </w:pPr>
      <w:r>
        <w:rPr>
          <w:rFonts w:ascii="Arial" w:cs="Arial" w:eastAsia="Arial" w:hAnsi="Arial"/>
          <w:sz w:val="22"/>
          <w:szCs w:val="22"/>
        </w:rPr>
        <w:t xml:space="preserve">Aplicación web: gestión administrativa completa (todos los roles), validación de evidencia fotográfica, generación de reportes CSV y panel de administración de la base de datos.</w:t>
      </w:r>
    </w:p>
    <w:p>
      <w:pPr>
        <w:pStyle w:val="ListParagraph"/>
        <w:numPr>
          <w:ilvl w:val="0"/>
          <w:numId w:val="1"/>
        </w:numPr>
        <w:spacing w:after="80" w:line="264"/>
        <w:jc w:val="both"/>
      </w:pPr>
      <w:r>
        <w:rPr>
          <w:rFonts w:ascii="Arial" w:cs="Arial" w:eastAsia="Arial" w:hAnsi="Arial"/>
          <w:sz w:val="22"/>
          <w:szCs w:val="22"/>
        </w:rPr>
        <w:t xml:space="preserve">Aplicación móvil: pensada para el rol de Ejecutivo/Operador de Logística en terreno — ver la lista de retiros asignados, visualizar el código de identificación (EAN simulado) de cada producto, y confirmar la coordinación de horario de retiro directamente desde el teléfono.</w:t>
      </w:r>
    </w:p>
    <w:p>
      <w:pPr>
        <w:spacing w:after="120" w:line="264"/>
        <w:jc w:val="both"/>
      </w:pPr>
      <w:r>
        <w:rPr>
          <w:rFonts w:ascii="Arial" w:cs="Arial" w:eastAsia="Arial" w:hAnsi="Arial"/>
          <w:sz w:val="22"/>
          <w:szCs w:val="22"/>
        </w:rPr>
        <w:t xml:space="preserve">Ambas capas comparten el mismo backend y modelo de datos (Django + SQLite), de modo que una acción realizada desde el móvil (por ejemplo, confirmar un retiro) se refleja de inmediato en los paneles web de postventa y administración.</w:t>
      </w:r>
    </w:p>
    <w:p>
      <w:pPr>
        <w:pStyle w:val="Heading1"/>
        <w:spacing w:after="150" w:before="300"/>
      </w:pPr>
      <w:r>
        <w:t xml:space="preserve">3. Mejoras incorporadas al MVP</w:t>
      </w:r>
    </w:p>
    <w:p>
      <w:pPr>
        <w:spacing w:after="120" w:line="264"/>
        <w:jc w:val="both"/>
      </w:pPr>
      <w:r>
        <w:rPr>
          <w:rFonts w:ascii="Arial" w:cs="Arial" w:eastAsia="Arial" w:hAnsi="Arial"/>
          <w:sz w:val="22"/>
          <w:szCs w:val="22"/>
        </w:rPr>
        <w:t xml:space="preserve">A partir de la revisión del MVP entregado en la Sumativa 2, se incorporarán las siguientes mejoras:</w:t>
      </w:r>
    </w:p>
    <w:p>
      <w:pPr>
        <w:pStyle w:val="ListParagraph"/>
        <w:numPr>
          <w:ilvl w:val="0"/>
          <w:numId w:val="1"/>
        </w:numPr>
        <w:spacing w:after="80" w:line="264"/>
        <w:jc w:val="both"/>
      </w:pPr>
      <w:r>
        <w:rPr>
          <w:rFonts w:ascii="Arial" w:cs="Arial" w:eastAsia="Arial" w:hAnsi="Arial"/>
          <w:sz w:val="22"/>
          <w:szCs w:val="22"/>
        </w:rPr>
        <w:t xml:space="preserve">Borrado lógico: en lugar de eliminar físicamente una solicitud, se marcará como inactiva/eliminada mediante un campo de estado, preservando el historial para efectos de auditoría y reportes.</w:t>
      </w:r>
    </w:p>
    <w:p>
      <w:pPr>
        <w:pStyle w:val="ListParagraph"/>
        <w:numPr>
          <w:ilvl w:val="0"/>
          <w:numId w:val="1"/>
        </w:numPr>
        <w:spacing w:after="80" w:line="264"/>
        <w:jc w:val="both"/>
      </w:pPr>
      <w:r>
        <w:rPr>
          <w:rFonts w:ascii="Arial" w:cs="Arial" w:eastAsia="Arial" w:hAnsi="Arial"/>
          <w:sz w:val="22"/>
          <w:szCs w:val="22"/>
        </w:rPr>
        <w:t xml:space="preserve">Identificación de producto mediante código EAN simulado: la etiqueta generada en el proceso de logística incorporará la representación visual de un código de barras, acercando el flujo a un escenario operativo real.</w:t>
      </w:r>
    </w:p>
    <w:p>
      <w:pPr>
        <w:pStyle w:val="ListParagraph"/>
        <w:numPr>
          <w:ilvl w:val="0"/>
          <w:numId w:val="1"/>
        </w:numPr>
        <w:spacing w:after="80" w:line="264"/>
        <w:jc w:val="both"/>
      </w:pPr>
      <w:r>
        <w:rPr>
          <w:rFonts w:ascii="Arial" w:cs="Arial" w:eastAsia="Arial" w:hAnsi="Arial"/>
          <w:sz w:val="22"/>
          <w:szCs w:val="22"/>
        </w:rPr>
        <w:t xml:space="preserve">Calendarización de retiros: se incorporará el registro de fecha y hora de retiro, permitiendo coordinar horarios entre el operador de logística y el cliente/tienda.</w:t>
      </w:r>
    </w:p>
    <w:p>
      <w:pPr>
        <w:spacing w:after="120" w:line="264"/>
        <w:jc w:val="both"/>
      </w:pPr>
      <w:r>
        <w:rPr>
          <w:rFonts w:ascii="Arial" w:cs="Arial" w:eastAsia="Arial" w:hAnsi="Arial"/>
          <w:sz w:val="22"/>
          <w:szCs w:val="22"/>
        </w:rPr>
        <w:t xml:space="preserve">Estas tres mejoras surgen del análisis crítico del MVP original (ausencia de borrado, ausencia de identificación física del producto y ausencia de coordinación temporal del retiro) y se detallan con su justificación en la sección 6 de este informe.</w:t>
      </w:r>
    </w:p>
    <w:p>
      <w:pPr>
        <w:pStyle w:val="Heading1"/>
        <w:spacing w:after="150" w:before="300"/>
      </w:pPr>
      <w:r>
        <w:t xml:space="preserve">4. Estrategias de empaquetado y distribución del aplicativo móvil</w:t>
      </w:r>
    </w:p>
    <w:p>
      <w:pPr>
        <w:spacing w:after="120" w:line="264"/>
        <w:jc w:val="both"/>
      </w:pPr>
      <w:r>
        <w:rPr>
          <w:rFonts w:ascii="Arial" w:cs="Arial" w:eastAsia="Arial" w:hAnsi="Arial"/>
          <w:sz w:val="22"/>
          <w:szCs w:val="22"/>
        </w:rPr>
        <w:t xml:space="preserve">Se investigaron dos estrategias para empaquetar un aplicativo móvil de forma distribuible fuera de una tienda de aplicaciones, ambas aplicables a un frontend basado en tecnologías web como el de este proyecto.</w:t>
      </w:r>
    </w:p>
    <w:p>
      <w:pPr>
        <w:pStyle w:val="Heading2"/>
        <w:spacing w:after="100" w:before="200"/>
      </w:pPr>
      <w:r>
        <w:t xml:space="preserve">4.1 Capacitor (Ionic)</w:t>
      </w:r>
    </w:p>
    <w:p>
      <w:pPr>
        <w:spacing w:after="120" w:line="264"/>
        <w:jc w:val="both"/>
      </w:pPr>
      <w:r>
        <w:rPr>
          <w:rFonts w:ascii="Arial" w:cs="Arial" w:eastAsia="Arial" w:hAnsi="Arial"/>
          <w:sz w:val="22"/>
          <w:szCs w:val="22"/>
        </w:rPr>
        <w:t xml:space="preserve">Capacitor es un framework de código abierto que envuelve una aplicación web (HTML/CSS/JS) en un contenedor nativo, generando un proyecto Android (Gradle) desde el cual se puede compilar directamente un archivo APK firmado, listo para instalarse por fuera de Google Play (sideloading).</w:t>
      </w:r>
    </w:p>
    <w:tbl>
      <w:tblPr>
        <w:tblW w:type="dxa" w:w="7140"/>
        <w:tblBorders>
          <w:top w:val="single" w:color="auto" w:sz="4"/>
          <w:left w:val="single" w:color="auto" w:sz="4"/>
          <w:bottom w:val="single" w:color="auto" w:sz="4"/>
          <w:right w:val="single" w:color="auto" w:sz="4"/>
          <w:insideH w:val="single" w:color="auto" w:sz="4"/>
          <w:insideV w:val="single" w:color="auto" w:sz="4"/>
        </w:tblBorders>
      </w:tblPr>
      <w:tblGrid>
        <w:gridCol w:w="2460"/>
        <w:gridCol w:w="4680"/>
      </w:tblGrid>
      <w:tr>
        <w:tc>
          <w:tcPr>
            <w:tcW w:type="dxa" w:w="2460"/>
            <w:shd w:fill="D9E2F3" w:val="clear"/>
          </w:tcPr>
          <w:p>
            <w:r>
              <w:rPr>
                <w:rFonts w:ascii="Arial" w:cs="Arial" w:eastAsia="Arial" w:hAnsi="Arial"/>
                <w:b/>
                <w:bCs/>
                <w:sz w:val="20"/>
                <w:szCs w:val="20"/>
              </w:rPr>
              <w:t xml:space="preserve">Fortalezas</w:t>
            </w:r>
          </w:p>
        </w:tc>
        <w:tc>
          <w:tcPr>
            <w:tcW w:type="dxa" w:w="4680"/>
          </w:tcPr>
          <w:p>
            <w:r>
              <w:rPr>
                <w:rFonts w:ascii="Arial" w:cs="Arial" w:eastAsia="Arial" w:hAnsi="Arial"/>
                <w:sz w:val="20"/>
                <w:szCs w:val="20"/>
              </w:rPr>
              <w:t xml:space="preserve">Reutiliza la interfaz web ya construida; acceso a APIs nativas del dispositivo (cámara, GPS) mediante plugins; comunidad y documentación amplias.</w:t>
            </w:r>
          </w:p>
        </w:tc>
      </w:tr>
      <w:tr>
        <w:tc>
          <w:tcPr>
            <w:tcW w:type="dxa" w:w="2460"/>
            <w:shd w:fill="D9E2F3" w:val="clear"/>
          </w:tcPr>
          <w:p>
            <w:r>
              <w:rPr>
                <w:rFonts w:ascii="Arial" w:cs="Arial" w:eastAsia="Arial" w:hAnsi="Arial"/>
                <w:b/>
                <w:bCs/>
                <w:sz w:val="20"/>
                <w:szCs w:val="20"/>
              </w:rPr>
              <w:t xml:space="preserve">Oportunidades</w:t>
            </w:r>
          </w:p>
        </w:tc>
        <w:tc>
          <w:tcPr>
            <w:tcW w:type="dxa" w:w="4680"/>
          </w:tcPr>
          <w:p>
            <w:r>
              <w:rPr>
                <w:rFonts w:ascii="Arial" w:cs="Arial" w:eastAsia="Arial" w:hAnsi="Arial"/>
                <w:sz w:val="20"/>
                <w:szCs w:val="20"/>
              </w:rPr>
              <w:t xml:space="preserve">Permite evolucionar gradualmente hacia funciones nativas (notificaciones push, escaneo de código de barras real) sin reescribir el backend.</w:t>
            </w:r>
          </w:p>
        </w:tc>
      </w:tr>
      <w:tr>
        <w:tc>
          <w:tcPr>
            <w:tcW w:type="dxa" w:w="2460"/>
            <w:shd w:fill="D9E2F3" w:val="clear"/>
          </w:tcPr>
          <w:p>
            <w:r>
              <w:rPr>
                <w:rFonts w:ascii="Arial" w:cs="Arial" w:eastAsia="Arial" w:hAnsi="Arial"/>
                <w:b/>
                <w:bCs/>
                <w:sz w:val="20"/>
                <w:szCs w:val="20"/>
              </w:rPr>
              <w:t xml:space="preserve">Debilidades</w:t>
            </w:r>
          </w:p>
        </w:tc>
        <w:tc>
          <w:tcPr>
            <w:tcW w:type="dxa" w:w="4680"/>
          </w:tcPr>
          <w:p>
            <w:r>
              <w:rPr>
                <w:rFonts w:ascii="Arial" w:cs="Arial" w:eastAsia="Arial" w:hAnsi="Arial"/>
                <w:sz w:val="20"/>
                <w:szCs w:val="20"/>
              </w:rPr>
              <w:t xml:space="preserve">El rendimiento no iguala al de una app 100% nativa; requiere Android Studio/Gradle instalados para compilar el APK.</w:t>
            </w:r>
          </w:p>
        </w:tc>
      </w:tr>
      <w:tr>
        <w:tc>
          <w:tcPr>
            <w:tcW w:type="dxa" w:w="2460"/>
            <w:shd w:fill="D9E2F3" w:val="clear"/>
          </w:tcPr>
          <w:p>
            <w:r>
              <w:rPr>
                <w:rFonts w:ascii="Arial" w:cs="Arial" w:eastAsia="Arial" w:hAnsi="Arial"/>
                <w:b/>
                <w:bCs/>
                <w:sz w:val="20"/>
                <w:szCs w:val="20"/>
              </w:rPr>
              <w:t xml:space="preserve">Amenazas</w:t>
            </w:r>
          </w:p>
        </w:tc>
        <w:tc>
          <w:tcPr>
            <w:tcW w:type="dxa" w:w="4680"/>
          </w:tcPr>
          <w:p>
            <w:r>
              <w:rPr>
                <w:rFonts w:ascii="Arial" w:cs="Arial" w:eastAsia="Arial" w:hAnsi="Arial"/>
                <w:sz w:val="20"/>
                <w:szCs w:val="20"/>
              </w:rPr>
              <w:t xml:space="preserve">Los usuarios deben habilitar 'orígenes desconocidos' para instalar el APK fuera de la tienda, lo que puede generar desconfianza si no se explica bien.</w:t>
            </w:r>
          </w:p>
        </w:tc>
      </w:tr>
    </w:tbl>
    <w:p>
      <w:pPr>
        <w:spacing w:after="150"/>
      </w:pPr>
    </w:p>
    <w:p>
      <w:pPr>
        <w:pStyle w:val="Heading2"/>
        <w:spacing w:after="100" w:before="200"/>
      </w:pPr>
      <w:r>
        <w:t xml:space="preserve">4.2 Trusted Web Activity / PWA empaquetada con Bubblewrap</w:t>
      </w:r>
    </w:p>
    <w:p>
      <w:pPr>
        <w:spacing w:after="120" w:line="264"/>
        <w:jc w:val="both"/>
      </w:pPr>
      <w:r>
        <w:rPr>
          <w:rFonts w:ascii="Arial" w:cs="Arial" w:eastAsia="Arial" w:hAnsi="Arial"/>
          <w:sz w:val="22"/>
          <w:szCs w:val="22"/>
        </w:rPr>
        <w:t xml:space="preserve">Esta estrategia convierte una Progressive Web App (PWA) en un APK instalable mediante la herramienta Bubblewrap de Google, usando una Trusted Web Activity (TWA) que muestra el sitio web dentro de un contenedor Android sin barra de navegador.</w:t>
      </w:r>
    </w:p>
    <w:tbl>
      <w:tblPr>
        <w:tblW w:type="dxa" w:w="7140"/>
        <w:tblBorders>
          <w:top w:val="single" w:color="auto" w:sz="4"/>
          <w:left w:val="single" w:color="auto" w:sz="4"/>
          <w:bottom w:val="single" w:color="auto" w:sz="4"/>
          <w:right w:val="single" w:color="auto" w:sz="4"/>
          <w:insideH w:val="single" w:color="auto" w:sz="4"/>
          <w:insideV w:val="single" w:color="auto" w:sz="4"/>
        </w:tblBorders>
      </w:tblPr>
      <w:tblGrid>
        <w:gridCol w:w="2460"/>
        <w:gridCol w:w="4680"/>
      </w:tblGrid>
      <w:tr>
        <w:tc>
          <w:tcPr>
            <w:tcW w:type="dxa" w:w="2460"/>
            <w:shd w:fill="D9E2F3" w:val="clear"/>
          </w:tcPr>
          <w:p>
            <w:r>
              <w:rPr>
                <w:rFonts w:ascii="Arial" w:cs="Arial" w:eastAsia="Arial" w:hAnsi="Arial"/>
                <w:b/>
                <w:bCs/>
                <w:sz w:val="20"/>
                <w:szCs w:val="20"/>
              </w:rPr>
              <w:t xml:space="preserve">Fortalezas</w:t>
            </w:r>
          </w:p>
        </w:tc>
        <w:tc>
          <w:tcPr>
            <w:tcW w:type="dxa" w:w="4680"/>
          </w:tcPr>
          <w:p>
            <w:r>
              <w:rPr>
                <w:rFonts w:ascii="Arial" w:cs="Arial" w:eastAsia="Arial" w:hAnsi="Arial"/>
                <w:sz w:val="20"/>
                <w:szCs w:val="20"/>
              </w:rPr>
              <w:t xml:space="preserve">No requiere reescribir la interfaz si ya existe una PWA; el APK resultante es muy liviano; actualizar el sitio web actualiza la app automáticamente.</w:t>
            </w:r>
          </w:p>
        </w:tc>
      </w:tr>
      <w:tr>
        <w:tc>
          <w:tcPr>
            <w:tcW w:type="dxa" w:w="2460"/>
            <w:shd w:fill="D9E2F3" w:val="clear"/>
          </w:tcPr>
          <w:p>
            <w:r>
              <w:rPr>
                <w:rFonts w:ascii="Arial" w:cs="Arial" w:eastAsia="Arial" w:hAnsi="Arial"/>
                <w:b/>
                <w:bCs/>
                <w:sz w:val="20"/>
                <w:szCs w:val="20"/>
              </w:rPr>
              <w:t xml:space="preserve">Oportunidades</w:t>
            </w:r>
          </w:p>
        </w:tc>
        <w:tc>
          <w:tcPr>
            <w:tcW w:type="dxa" w:w="4680"/>
          </w:tcPr>
          <w:p>
            <w:r>
              <w:rPr>
                <w:rFonts w:ascii="Arial" w:cs="Arial" w:eastAsia="Arial" w:hAnsi="Arial"/>
                <w:sz w:val="20"/>
                <w:szCs w:val="20"/>
              </w:rPr>
              <w:t xml:space="preserve">Facilita distribuir la misma URL como sitio web y como app instalable, útil para un proyecto con backend Django ya desplegado.</w:t>
            </w:r>
          </w:p>
        </w:tc>
      </w:tr>
      <w:tr>
        <w:tc>
          <w:tcPr>
            <w:tcW w:type="dxa" w:w="2460"/>
            <w:shd w:fill="D9E2F3" w:val="clear"/>
          </w:tcPr>
          <w:p>
            <w:r>
              <w:rPr>
                <w:rFonts w:ascii="Arial" w:cs="Arial" w:eastAsia="Arial" w:hAnsi="Arial"/>
                <w:b/>
                <w:bCs/>
                <w:sz w:val="20"/>
                <w:szCs w:val="20"/>
              </w:rPr>
              <w:t xml:space="preserve">Debilidades</w:t>
            </w:r>
          </w:p>
        </w:tc>
        <w:tc>
          <w:tcPr>
            <w:tcW w:type="dxa" w:w="4680"/>
          </w:tcPr>
          <w:p>
            <w:r>
              <w:rPr>
                <w:rFonts w:ascii="Arial" w:cs="Arial" w:eastAsia="Arial" w:hAnsi="Arial"/>
                <w:sz w:val="20"/>
                <w:szCs w:val="20"/>
              </w:rPr>
              <w:t xml:space="preserve">Acceso limitado a funciones nativas del dispositivo en comparación con Capacitor; requiere que el sitio cumpla los criterios de una PWA (manifest, service worker, HTTPS).</w:t>
            </w:r>
          </w:p>
        </w:tc>
      </w:tr>
      <w:tr>
        <w:tc>
          <w:tcPr>
            <w:tcW w:type="dxa" w:w="2460"/>
            <w:shd w:fill="D9E2F3" w:val="clear"/>
          </w:tcPr>
          <w:p>
            <w:r>
              <w:rPr>
                <w:rFonts w:ascii="Arial" w:cs="Arial" w:eastAsia="Arial" w:hAnsi="Arial"/>
                <w:b/>
                <w:bCs/>
                <w:sz w:val="20"/>
                <w:szCs w:val="20"/>
              </w:rPr>
              <w:t xml:space="preserve">Amenazas</w:t>
            </w:r>
          </w:p>
        </w:tc>
        <w:tc>
          <w:tcPr>
            <w:tcW w:type="dxa" w:w="4680"/>
          </w:tcPr>
          <w:p>
            <w:r>
              <w:rPr>
                <w:rFonts w:ascii="Arial" w:cs="Arial" w:eastAsia="Arial" w:hAnsi="Arial"/>
                <w:sz w:val="20"/>
                <w:szCs w:val="20"/>
              </w:rPr>
              <w:t xml:space="preserve">Depende de que el sitio web esté disponible en línea; si el hosting cae, la app deja de funcionar.</w:t>
            </w:r>
          </w:p>
        </w:tc>
      </w:tr>
    </w:tbl>
    <w:p>
      <w:pPr>
        <w:spacing w:after="150"/>
      </w:pPr>
    </w:p>
    <w:p>
      <w:pPr>
        <w:spacing w:after="120" w:line="264"/>
        <w:jc w:val="both"/>
      </w:pPr>
      <w:r>
        <w:rPr>
          <w:rFonts w:ascii="Arial" w:cs="Arial" w:eastAsia="Arial" w:hAnsi="Arial"/>
          <w:sz w:val="22"/>
          <w:szCs w:val="22"/>
        </w:rPr>
        <w:t xml:space="preserve">De ambas, Capacitor es la opción recomendada para este proyecto en el corto plazo, ya que no depende de mantener el sitio en línea de forma permanente y permite avanzar hacia funciones nativas (como la lectura real de códigos EAN) en iteraciones futuras.</w:t>
      </w:r>
    </w:p>
    <w:p>
      <w:pPr>
        <w:pStyle w:val="Heading1"/>
        <w:spacing w:after="150" w:before="300"/>
      </w:pPr>
      <w:r>
        <w:t xml:space="preserve">5. Repositorio y Readme en GitHub</w:t>
      </w:r>
    </w:p>
    <w:p>
      <w:pPr>
        <w:spacing w:after="120" w:line="264"/>
        <w:jc w:val="both"/>
      </w:pPr>
      <w:r>
        <w:rPr>
          <w:rFonts w:ascii="Arial" w:cs="Arial" w:eastAsia="Arial" w:hAnsi="Arial"/>
          <w:sz w:val="22"/>
          <w:szCs w:val="22"/>
        </w:rPr>
        <w:t xml:space="preserve">El proyecto se publicará en un repositorio público de GitHub, incluyendo un archivo Readme.md que documenta paso a paso cómo instalar dependencias, ejecutar migraciones y levantar el servidor de desarrollo en un computador distinto al de origen, de modo que el aplicativo distribuible pueda ejecutarse en un sistema externo. El detalle completo de estos pasos se encuentra en el Readme.md del repositorio del proyecto (simple-crud-django-master).</w:t>
      </w:r>
    </w:p>
    <w:p>
      <w:pPr>
        <w:pStyle w:val="Heading1"/>
        <w:spacing w:after="150" w:before="300"/>
      </w:pPr>
      <w:r>
        <w:t xml:space="preserve">6. Análisis crítico</w:t>
      </w:r>
    </w:p>
    <w:p>
      <w:pPr>
        <w:spacing w:after="120" w:line="264"/>
        <w:jc w:val="both"/>
      </w:pPr>
      <w:r>
        <w:rPr>
          <w:rFonts w:ascii="Arial" w:cs="Arial" w:eastAsia="Arial" w:hAnsi="Arial"/>
          <w:sz w:val="22"/>
          <w:szCs w:val="22"/>
        </w:rPr>
        <w:t xml:space="preserve">Se optó por borrado lógico en lugar de borrado físico porque, en un entorno empresarial real, la información de solicitudes se necesita para auditoría y trazabilidad; eliminar físicamente un registro haría imposible reconstruir el historial de una devolución.</w:t>
      </w:r>
    </w:p>
    <w:p>
      <w:pPr>
        <w:spacing w:after="120" w:line="264"/>
        <w:jc w:val="both"/>
      </w:pPr>
      <w:r>
        <w:rPr>
          <w:rFonts w:ascii="Arial" w:cs="Arial" w:eastAsia="Arial" w:hAnsi="Arial"/>
          <w:sz w:val="22"/>
          <w:szCs w:val="22"/>
        </w:rPr>
        <w:t xml:space="preserve">Se decidió simular el código EAN en lugar de implementar lectura real de código de barras porque el alcance de esta etapa es de mockup/documentación de flujo, no de integración con hardware de escaneo; una lectura real requeriría acceso a la cámara del dispositivo, lo cual se evaluó como parte de las oportunidades de Capacitor en la sección 4.1.</w:t>
      </w:r>
    </w:p>
    <w:p>
      <w:pPr>
        <w:spacing w:after="120" w:line="264"/>
        <w:jc w:val="both"/>
      </w:pPr>
      <w:r>
        <w:rPr>
          <w:rFonts w:ascii="Arial" w:cs="Arial" w:eastAsia="Arial" w:hAnsi="Arial"/>
          <w:sz w:val="22"/>
          <w:szCs w:val="22"/>
        </w:rPr>
        <w:t xml:space="preserve">Se priorizó Capacitor sobre la TWA/PWA como estrategia principal de empaquetado porque el proyecto aún no cuenta con un despliegue web permanente en producción; una TWA depende de que el sitio esté siempre disponible en línea, mientras que un APK generado con Capacitor funciona de forma autónoma una vez instalado.</w:t>
      </w:r>
    </w:p>
    <w:p>
      <w:pPr>
        <w:spacing w:after="120" w:line="264"/>
        <w:jc w:val="both"/>
      </w:pPr>
      <w:r>
        <w:rPr>
          <w:rFonts w:ascii="Arial" w:cs="Arial" w:eastAsia="Arial" w:hAnsi="Arial"/>
          <w:sz w:val="22"/>
          <w:szCs w:val="22"/>
        </w:rPr>
        <w:t xml:space="preserve">La calendarización de retiros se incorporó como mejora porque el flujo anterior coordinaba el retiro únicamente mediante un cambio de estado, sin registrar cuándo ocurriría, lo que no reflejaba una coordinación real entre el operador de logística y el cliente.</w:t>
      </w:r>
    </w:p>
    <w:p>
      <w:pPr>
        <w:pStyle w:val="Heading1"/>
        <w:spacing w:after="150" w:before="300"/>
      </w:pPr>
      <w:r>
        <w:t xml:space="preserve">7. Conclusiones</w:t>
      </w:r>
    </w:p>
    <w:p>
      <w:pPr>
        <w:spacing w:after="120" w:line="264"/>
        <w:jc w:val="both"/>
      </w:pPr>
      <w:r>
        <w:rPr>
          <w:rFonts w:ascii="Arial" w:cs="Arial" w:eastAsia="Arial" w:hAnsi="Arial"/>
          <w:sz w:val="22"/>
          <w:szCs w:val="22"/>
        </w:rPr>
        <w:t xml:space="preserve">Como equipo concluimos que el MVP desarrollado en la Sumativa 2 cumplió su objetivo de validar el flujo de negocio definido en la propuesta original, pero evidenció carencias operativas relevantes: ausencia de borrado lógico, de identificación física de producto y de coordinación temporal del retiro. Las tres mejoras propuestas en este informe abordan directamente esas carencias y se integrarán en la siguiente iteración del proyecto (Sumativa 3).</w:t>
      </w:r>
    </w:p>
    <w:p>
      <w:pPr>
        <w:spacing w:after="120" w:line="264"/>
        <w:jc w:val="both"/>
      </w:pPr>
      <w:r>
        <w:rPr>
          <w:rFonts w:ascii="Arial" w:cs="Arial" w:eastAsia="Arial" w:hAnsi="Arial"/>
          <w:sz w:val="22"/>
          <w:szCs w:val="22"/>
        </w:rPr>
        <w:t xml:space="preserve">Respecto a la distribución móvil, la investigación realizada nos permitió comparar dos estrategias reales de empaquetado —Capacitor y Trusted Web Activity/PWA con Bubblewrap— evaluando sus fortalezas, oportunidades, debilidades y amenazas. Concluimos que Capacitor es la estrategia más adecuada para el estado actual del proyecto, dado que no depende de mantener un despliegue web permanente.</w:t>
      </w:r>
    </w:p>
    <w:p>
      <w:pPr>
        <w:spacing w:after="120" w:line="264"/>
        <w:jc w:val="both"/>
      </w:pPr>
      <w:r>
        <w:rPr>
          <w:rFonts w:ascii="Arial" w:cs="Arial" w:eastAsia="Arial" w:hAnsi="Arial"/>
          <w:sz w:val="22"/>
          <w:szCs w:val="22"/>
        </w:rPr>
        <w:t xml:space="preserve">Como marco de acción futura, el equipo se compromete a: (1) implementar las tres mejoras descritas en la sección 3, (2) construir el mockup de navegación móvil bajo la arquitectura propuesta en la sección 2, y (3) publicar el repositorio en GitHub con el Readme correspondiente, de manera que el aplicativo distribuible pueda ejecutarse en un sistema externo.</w:t>
      </w:r>
    </w:p>
    <w:p>
      <w:pPr>
        <w:pStyle w:val="Heading1"/>
        <w:spacing w:after="150" w:before="300"/>
      </w:pPr>
      <w:r>
        <w:t xml:space="preserve">8. Referencias</w:t>
      </w:r>
    </w:p>
    <w:p>
      <w:pPr>
        <w:spacing w:after="120" w:line="264"/>
        <w:jc w:val="both"/>
      </w:pPr>
      <w:r>
        <w:rPr>
          <w:rFonts w:ascii="Arial" w:cs="Arial" w:eastAsia="Arial" w:hAnsi="Arial"/>
          <w:sz w:val="22"/>
          <w:szCs w:val="22"/>
        </w:rPr>
        <w:t xml:space="preserve">Capacitor. (2024). Capacitor Documentation. Ionic. https://capacitorjs.com/docs</w:t>
      </w:r>
    </w:p>
    <w:p>
      <w:pPr>
        <w:spacing w:after="120" w:line="264"/>
        <w:jc w:val="both"/>
      </w:pPr>
      <w:r>
        <w:rPr>
          <w:rFonts w:ascii="Arial" w:cs="Arial" w:eastAsia="Arial" w:hAnsi="Arial"/>
          <w:sz w:val="22"/>
          <w:szCs w:val="22"/>
        </w:rPr>
        <w:t xml:space="preserve">Google Chrome Developers. (2023). Trusted Web Activities. https://developer.chrome.com/docs/android/trusted-web-activity/</w:t>
      </w:r>
    </w:p>
    <w:p>
      <w:pPr>
        <w:spacing w:after="120" w:line="264"/>
        <w:jc w:val="both"/>
      </w:pPr>
      <w:r>
        <w:rPr>
          <w:rFonts w:ascii="Arial" w:cs="Arial" w:eastAsia="Arial" w:hAnsi="Arial"/>
          <w:sz w:val="22"/>
          <w:szCs w:val="22"/>
        </w:rPr>
        <w:t xml:space="preserve">Google. (2023). Bubblewrap. GitHub. https://github.com/GoogleChromeLabs/bubblewrap</w:t>
      </w:r>
    </w:p>
    <w:p>
      <w:pPr>
        <w:spacing w:after="120" w:line="264"/>
        <w:jc w:val="both"/>
      </w:pPr>
      <w:r>
        <w:rPr>
          <w:rFonts w:ascii="Arial" w:cs="Arial" w:eastAsia="Arial" w:hAnsi="Arial"/>
          <w:sz w:val="22"/>
          <w:szCs w:val="22"/>
        </w:rPr>
        <w:t xml:space="preserve">Montero Miguel, R. (2014). Desarrollo de aplicaciones para Android. RA-MA Editorial.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2026-08-22T15:09:35.529Z</dcterms:created>
  <dcterms:modified xsi:type="dcterms:W3CDTF">2026-08-22T15:09:35.530Z</dcterms:modified>
</cp:coreProperties>
</file>

<file path=docProps/custom.xml><?xml version="1.0" encoding="utf-8"?>
<Properties xmlns="http://schemas.openxmlformats.org/officeDocument/2006/custom-properties" xmlns:vt="http://schemas.openxmlformats.org/officeDocument/2006/docPropsVTypes"/>
</file>