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/>
        <w:ind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In controlled synthetic benchmarks, FSF correctly recovered all highly stable up-regulated, down-regulated, constant, and instable signal classes, while weakly stable signals were primarily assigned to the transitional stratum, with minor redistribution in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to adjacent stable or instable classes.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07C3980"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FA9B6ED">
      <w:pPr>
        <w:pBdr/>
        <w:spacing w:after="0"/>
        <w:ind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In controlled synthetic benchmarks, FSF correctly recovered all highly stable up-regulated, down-regulated, constant, and instable signal classes, while weakly stable signals were primarily assigned to the transitional stratum, with minor redistribution in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to adjacent stable or instable classes.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C2AF137"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5C02A8F">
      <w:pPr>
        <w:pBdr/>
        <w:spacing w:after="0"/>
        <w:ind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Tau sensitivity analysis showed that the default threshold τ = 0.5 provided the most balanced separation between stable directional, stable constant, weakly stable transitional, and instable synthetic signal classes.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B8A27E2"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91173ED">
      <w:pPr>
        <w:pBdr/>
        <w:spacing w:after="0"/>
        <w:ind/>
        <w:rPr>
          <w:rFonts w:ascii="Times New Roman" w:hAnsi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FSF resolved stress conditions into distinct stability architectures. Osmotic and high-temperature stress showed fully highly stable profiles, low-temperature stress remained predominantly highly stable, gamma stress showed a mixed stable/transitional arch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itecture, whereas desiccation and ultraviolet stress showed marked disruption of stability structure. UV displayed the highest mean Stability Deviation, indicating the strongest departure from a dominant reproducible signal identity.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74DC041"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3D3C7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NCBI CDS gene universe: 19,533 genes</w:t>
        <w:br/>
        <w:t xml:space="preserve">FSF analyzed universe: 15,187 genes</w:t>
        <w:br/>
        <w:t xml:space="preserve">Shared:                  15,187 genes</w:t>
        <w:br/>
        <w:t xml:space="preserve">FSF missing from NCBI:        0</w:t>
        <w:br/>
        <w:t xml:space="preserve">NCBI-only genes:          4,346</w:t>
        <w:br/>
        <w:t xml:space="preserve">Coverage:                100%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D8032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So we can write later: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0F904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All 15,187 FSF-analyzed features were recovered from the NCBI CDS reference FASTA, confirming complete sequence coverage of the FSF annotation universe.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5F9B4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The “23,242” you remembered was close to the number of CDS headers: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A515C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23,007 FASTA headers</w:t>
        <w:br/>
        <w:t xml:space="preserve">19,533 unique gene IDs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6D6D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So the difference is probably isoforms/duplicates. The relevant universe for FSF annotation is the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19,533 unique NCBI gene IDs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, of which FSF uses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15,187 expressed/filtered genes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47EDC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Next is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Step 25: extract FSF CDS sequences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from: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2FBA9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cds_from_genomic.fna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310AB0B"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E034D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From results: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A4D6E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Desiccation stable-down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F5901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Very strong signal: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B3BF49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Translation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E73060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Ribosome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4738C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Protein targeting to ER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BB90F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Protein biosynthesis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035A51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Peptide metabolism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0834C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Examples: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A6C90B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GO:0022626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C2F8F4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GO:0002181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5CC83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GO:0003735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C54ED6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GO:0006412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6C43B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FDR as low as: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7637A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1.0 × 10^-53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473C2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This is extremely convincing.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7903C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Biological interpretation: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139D3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Stable-down genes under desiccation are dominated by suppression of translational and biosynthetic machinery.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84EB7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That matches known desiccation biology remarkably well.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F9F61E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Desiccation stable-up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BEC9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Strong enrichment for: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02AA0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Chromosome organization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C3B08E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DNA metabolism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107EB1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Cell cycle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84803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Nuclear organization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A6422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Examples: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9D099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GO:0051276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46FE5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GO:0006259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7E65B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GO:0005694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F78F41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GO:0022402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0154FB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GO:0007049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D24D1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Interpretation: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A5526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Stable-up genes appear enriched for genome maintenance, chromosome organization and nuclear regulatory processes.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7A566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Whether this reflects true repair/protection mechanisms or annotation bias needs later discussion, but it is biologically coherent.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C417C6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Desiccation instable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F9D6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This is the interesting one.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D350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Top themes: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E99B31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Neural projection guidance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4AFB3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Morphogenesis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7D36D5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Cell adhesion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FEBF03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Chemotaxis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C2A6A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Developmental processes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7AD35A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Tissue organization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AB4D2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Examples: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C50FB4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GO:0007411 (axon guidance)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77EB5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GO:0097485 (neuron projection guidance)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7DCBED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GO:0007156 (cell adhesion)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40AF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GO:0006935 (chemotaxis)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7C5A1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Interpretation: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85F1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Instability is not random noise.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26649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Instead it concentrates in developmental, morphogenetic, guidance and communication processes.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5A8F6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That is exactly the type of result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pl-PL"/>
        </w:rPr>
        <w:t xml:space="preserve">our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pl-PL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FSF paper wants.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7E286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Because if instability were merely variance,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pl-PL"/>
        </w:rPr>
        <w:t xml:space="preserve">we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'd expect: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69937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random GO terms</w:t>
        <w:br/>
        <w:t xml:space="preserve">weak enrichment</w:t>
        <w:br/>
        <w:t xml:space="preserve">no coherent biology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1778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Instead 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pl-PL"/>
        </w:rPr>
        <w:t xml:space="preserve">we</w:t>
      </w:r>
      <w:r>
        <w:rPr>
          <w:rFonts w:ascii="Times New Roman" w:hAnsi="Times New Roman" w:eastAsia="Times New Roman" w:cs="Times New Roman"/>
          <w:color w:val="000000"/>
          <w:sz w:val="22"/>
          <w:szCs w:val="22"/>
          <w:lang w:val="pl-PL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obtained: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DBD8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structured GO programs</w:t>
        <w:br/>
        <w:t xml:space="preserve">specific biological themes</w:t>
        <w:br/>
        <w:t xml:space="preserve">significant enrichment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56C22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which supports the argument that instability contains biological information.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1ED1480"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  <w:r>
        <w:rPr>
          <w:rFonts w:ascii="Times New Roman" w:hAnsi="Times New Roman" w:cs="Times New Roman"/>
          <w:sz w:val="22"/>
          <w:szCs w:val="22"/>
        </w:rPr>
      </w:r>
    </w:p>
    <w:p w14:paraId="57A1ECB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Stable Down</w:t>
      </w:r>
      <w:r>
        <w:rPr>
          <w:sz w:val="22"/>
          <w:szCs w:val="22"/>
        </w:rPr>
      </w:r>
    </w:p>
    <w:p w14:paraId="1D0D05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Translation / biosynthesis suppression</w:t>
      </w:r>
      <w:r>
        <w:rPr>
          <w:sz w:val="22"/>
          <w:szCs w:val="22"/>
        </w:rPr>
      </w:r>
    </w:p>
    <w:p w14:paraId="6B2DD74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Stable Up</w:t>
      </w:r>
      <w:r>
        <w:rPr>
          <w:sz w:val="22"/>
          <w:szCs w:val="22"/>
        </w:rPr>
      </w:r>
    </w:p>
    <w:p w14:paraId="13AD57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Genome maintenance / nuclear regulation</w:t>
      </w:r>
      <w:r>
        <w:rPr>
          <w:sz w:val="22"/>
          <w:szCs w:val="22"/>
        </w:rPr>
      </w:r>
    </w:p>
    <w:p w14:paraId="74C8C01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Instable</w:t>
      </w:r>
      <w:r>
        <w:rPr>
          <w:sz w:val="22"/>
          <w:szCs w:val="22"/>
        </w:rPr>
      </w:r>
    </w:p>
    <w:p w14:paraId="1537A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Morphogenesis / guidance / developmental plasticity</w:t>
      </w:r>
      <w:r>
        <w:rPr>
          <w:sz w:val="22"/>
          <w:szCs w:val="22"/>
        </w:rPr>
      </w:r>
    </w:p>
    <w:p w14:paraId="14071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These three axes already form a clean biological story.</w:t>
      </w:r>
      <w:r>
        <w:rPr>
          <w:sz w:val="22"/>
          <w:szCs w:val="22"/>
        </w:rPr>
      </w:r>
    </w:p>
    <w:p w14:paraId="1186CD38">
      <w:pPr>
        <w:pBdr/>
        <w:spacing w:after="0"/>
        <w:ind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A335C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2026-06-07T05:46:12Z</dcterms:modified>
</cp:coreProperties>
</file>