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66428DA" w14:textId="77777777">
      <w:pPr>
        <w:pBdr/>
        <w:spacing/>
        <w:ind/>
        <w:jc w:val="center"/>
        <w:rPr>
          <w:b/>
          <w:bCs/>
        </w:rPr>
      </w:pPr>
      <w:r>
        <w:rPr>
          <w:b/>
          <w:bCs/>
        </w:rPr>
        <w:t xml:space="preserve">Instability identifies structured regulatory signals beyond condition-level differential expression</w:t>
      </w:r>
      <w:r>
        <w:rPr>
          <w:b/>
          <w:bCs/>
        </w:rPr>
      </w:r>
      <w:r>
        <w:rPr>
          <w:b/>
          <w:bCs/>
        </w:rPr>
      </w:r>
    </w:p>
    <w:p w14:paraId="082EACDE" w14:textId="7803632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4"/>
          <w:szCs w:val="24"/>
        </w:rPr>
      </w:pPr>
      <w:r>
        <w:rPr>
          <w:rFonts w:ascii="Times New Roman" w:hAnsi="Times New Roman" w:cs="Times New Roman"/>
          <w:color w:val="000000"/>
          <w:sz w:val="24"/>
          <w:szCs w:val="24"/>
        </w:rPr>
      </w:r>
      <w:r>
        <w:rPr>
          <w:rFonts w:ascii="Times New Roman" w:hAnsi="Times New Roman" w:cs="Times New Roman"/>
          <w:color w:val="000000"/>
          <w:sz w:val="24"/>
          <w:szCs w:val="24"/>
        </w:rPr>
      </w:r>
      <w:r>
        <w:rPr>
          <w:rFonts w:ascii="Times New Roman" w:hAnsi="Times New Roman" w:cs="Times New Roman"/>
          <w:color w:val="000000"/>
          <w:sz w:val="24"/>
          <w:szCs w:val="24"/>
        </w:rPr>
      </w:r>
    </w:p>
    <w:p w14:paraId="01AA6D3C" w14:textId="752DCAB4">
      <w:pPr>
        <w:pBdr>
          <w:top w:val="none" w:color="000000" w:sz="4" w:space="0"/>
          <w:left w:val="none" w:color="000000" w:sz="4" w:space="0"/>
          <w:bottom w:val="none" w:color="000000" w:sz="4" w:space="0"/>
          <w:right w:val="none" w:color="000000" w:sz="4" w:space="0"/>
        </w:pBdr>
        <w:shd w:val="clear" w:color="auto" w:fill="ffffff" w:themeFill="background1"/>
        <w:spacing w:after="120" w:before="10"/>
        <w:ind/>
        <w:jc w:val="both"/>
        <w:rPr>
          <w:rFonts w:ascii="Times New Roman" w:hAnsi="Times New Roman" w:cs="Times New Roman"/>
          <w:color w:val="000000"/>
          <w:sz w:val="20"/>
          <w:szCs w:val="20"/>
          <w:lang w:val="pl-PL"/>
        </w:rPr>
      </w:pPr>
      <w:r>
        <w:rPr>
          <w:rFonts w:ascii="Times New Roman" w:hAnsi="Times New Roman" w:eastAsia="Times New Roman" w:cs="Times New Roman"/>
          <w:b/>
          <w:bCs/>
          <w:color w:val="000000" w:themeColor="text1"/>
          <w:sz w:val="20"/>
          <w:szCs w:val="20"/>
          <w:lang w:val="pl-PL"/>
        </w:rPr>
        <w:t xml:space="preserve">Sajad Shahbazi</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Jan Lubawy</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Arkadiusz Urbański</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b/>
          <w:bCs/>
          <w:color w:val="000000" w:themeColor="text1"/>
          <w:sz w:val="20"/>
          <w:szCs w:val="20"/>
          <w:lang w:val="pl-PL"/>
        </w:rPr>
        <w:t xml:space="preserve">, Tara Zakerali</w:t>
      </w:r>
      <w:r>
        <w:rPr>
          <w:rFonts w:ascii="Times New Roman" w:hAnsi="Times New Roman" w:eastAsia="Times New Roman" w:cs="Times New Roman"/>
          <w:b/>
          <w:bCs/>
          <w:color w:val="000000" w:themeColor="text1"/>
          <w:sz w:val="20"/>
          <w:szCs w:val="20"/>
          <w:vertAlign w:val="superscript"/>
          <w:lang w:val="pl-PL"/>
        </w:rPr>
        <w:t xml:space="preserve">2</w:t>
      </w:r>
      <w:r>
        <w:rPr>
          <w:rFonts w:ascii="Times New Roman" w:hAnsi="Times New Roman" w:eastAsia="Times New Roman" w:cs="Times New Roman"/>
          <w:b/>
          <w:bCs/>
          <w:color w:val="000000" w:themeColor="text1"/>
          <w:sz w:val="20"/>
          <w:szCs w:val="20"/>
          <w:lang w:val="pl-PL"/>
        </w:rPr>
        <w:t xml:space="preserve">, Paweł Marciniak</w:t>
      </w:r>
      <w:r>
        <w:rPr>
          <w:rFonts w:ascii="Times New Roman" w:hAnsi="Times New Roman" w:eastAsia="Times New Roman" w:cs="Times New Roman"/>
          <w:b/>
          <w:bCs/>
          <w:color w:val="000000" w:themeColor="text1"/>
          <w:sz w:val="20"/>
          <w:szCs w:val="20"/>
          <w:vertAlign w:val="superscript"/>
          <w:lang w:val="pl-PL"/>
        </w:rPr>
        <w:t xml:space="preserve">*1</w:t>
      </w:r>
      <w:r>
        <w:rPr>
          <w:rFonts w:ascii="Times New Roman" w:hAnsi="Times New Roman" w:eastAsia="Times New Roman" w:cs="Times New Roman"/>
          <w:color w:val="000000" w:themeColor="text1"/>
          <w:sz w:val="20"/>
          <w:szCs w:val="20"/>
          <w:lang w:val="pl-PL"/>
        </w:rPr>
        <w:t xml:space="preserve">   </w:t>
      </w:r>
      <w:r>
        <w:rPr>
          <w:rFonts w:ascii="Times New Roman" w:hAnsi="Times New Roman" w:cs="Times New Roman"/>
          <w:color w:val="000000"/>
          <w:sz w:val="20"/>
          <w:szCs w:val="20"/>
          <w:lang w:val="pl-PL"/>
        </w:rPr>
      </w:r>
      <w:r>
        <w:rPr>
          <w:rFonts w:ascii="Times New Roman" w:hAnsi="Times New Roman" w:cs="Times New Roman"/>
          <w:color w:val="000000"/>
          <w:sz w:val="20"/>
          <w:szCs w:val="20"/>
          <w:lang w:val="pl-PL"/>
        </w:rPr>
      </w:r>
    </w:p>
    <w:p w14:paraId="022D4D33" w14:textId="29F827A2">
      <w:pPr>
        <w:pBdr>
          <w:top w:val="none" w:color="000000" w:sz="4" w:space="0"/>
          <w:left w:val="none" w:color="000000" w:sz="4" w:space="0"/>
          <w:bottom w:val="none" w:color="000000" w:sz="4" w:space="0"/>
          <w:right w:val="none" w:color="000000" w:sz="4" w:space="0"/>
        </w:pBdr>
        <w:shd w:val="clear" w:color="auto" w:fill="ffffff" w:themeFill="background1"/>
        <w:spacing w:after="0" w:before="1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1- Department of Animal Physiology and Developmental Biology, Adam Mickiewicz University in </w:t>
      </w:r>
      <w:r>
        <w:rPr>
          <w:rFonts w:ascii="Times New Roman" w:hAnsi="Times New Roman" w:eastAsia="Times New Roman" w:cs="Times New Roman"/>
          <w:color w:val="000000" w:themeColor="text1"/>
          <w:sz w:val="20"/>
          <w:szCs w:val="20"/>
        </w:rPr>
        <w:t xml:space="preserve">Poznań</w:t>
      </w:r>
      <w:r>
        <w:rPr>
          <w:rFonts w:ascii="Times New Roman" w:hAnsi="Times New Roman" w:eastAsia="Times New Roman" w:cs="Times New Roman"/>
          <w:color w:val="000000" w:themeColor="text1"/>
          <w:sz w:val="20"/>
          <w:szCs w:val="20"/>
        </w:rPr>
        <w:t xml:space="preserve">, Poland.   </w:t>
      </w:r>
      <w:r>
        <w:rPr>
          <w:rFonts w:ascii="Times New Roman" w:hAnsi="Times New Roman" w:cs="Times New Roman"/>
          <w:sz w:val="20"/>
          <w:szCs w:val="20"/>
        </w:rPr>
      </w:r>
      <w:r>
        <w:rPr>
          <w:rFonts w:ascii="Times New Roman" w:hAnsi="Times New Roman" w:cs="Times New Roman"/>
          <w:sz w:val="20"/>
          <w:szCs w:val="20"/>
        </w:rPr>
      </w:r>
    </w:p>
    <w:p w14:paraId="1EF74C10" w14:textId="4646F21D">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2- Independent researcher </w:t>
      </w:r>
      <w:r>
        <w:rPr>
          <w:rFonts w:ascii="Times New Roman" w:hAnsi="Times New Roman" w:cs="Times New Roman"/>
          <w:sz w:val="20"/>
          <w:szCs w:val="20"/>
        </w:rPr>
      </w:r>
      <w:r>
        <w:rPr>
          <w:rFonts w:ascii="Times New Roman" w:hAnsi="Times New Roman" w:cs="Times New Roman"/>
          <w:sz w:val="20"/>
          <w:szCs w:val="20"/>
        </w:rPr>
      </w:r>
    </w:p>
    <w:p w14:paraId="102DC492" w14:textId="101A07F8">
      <w:pPr>
        <w:pBdr>
          <w:top w:val="none" w:color="000000" w:sz="4" w:space="0"/>
          <w:left w:val="none" w:color="000000" w:sz="4" w:space="0"/>
          <w:bottom w:val="none" w:color="000000" w:sz="4" w:space="0"/>
          <w:right w:val="none" w:color="000000" w:sz="4" w:space="0"/>
        </w:pBdr>
        <w:shd w:val="clear" w:color="auto" w:fill="ffffff" w:themeFill="background1"/>
        <w:spacing w:after="0" w:line="240" w:lineRule="auto"/>
        <w:ind/>
        <w:jc w:val="both"/>
        <w:rPr>
          <w:rFonts w:ascii="Times New Roman" w:hAnsi="Times New Roman" w:cs="Times New Roman"/>
          <w:sz w:val="20"/>
          <w:szCs w:val="20"/>
        </w:rPr>
      </w:pPr>
      <w:r>
        <w:rPr>
          <w:rFonts w:ascii="Times New Roman" w:hAnsi="Times New Roman" w:eastAsia="Times New Roman" w:cs="Times New Roman"/>
          <w:color w:val="000000" w:themeColor="text1"/>
          <w:sz w:val="20"/>
          <w:szCs w:val="20"/>
        </w:rPr>
        <w:t xml:space="preserve">* pawel.marciniak@amu.edu.pl * sajsha@amu.edu.pl </w:t>
      </w:r>
      <w:r>
        <w:rPr>
          <w:rFonts w:ascii="Times New Roman" w:hAnsi="Times New Roman" w:cs="Times New Roman"/>
          <w:sz w:val="20"/>
          <w:szCs w:val="20"/>
        </w:rPr>
      </w:r>
      <w:r>
        <w:rPr>
          <w:rFonts w:ascii="Times New Roman" w:hAnsi="Times New Roman" w:cs="Times New Roman"/>
          <w:sz w:val="20"/>
          <w:szCs w:val="20"/>
        </w:rPr>
      </w:r>
    </w:p>
    <w:p w14:paraId="46DAE12B" w14:textId="261561C8">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55FCF713" w14:textId="4BC96665">
      <w:pPr>
        <w:pBdr/>
        <w:spacing/>
        <w:ind/>
        <w:jc w:val="both"/>
        <w:rPr>
          <w:rFonts w:ascii="Times New Roman" w:hAnsi="Times New Roman" w:cs="Times New Roman"/>
          <w:b/>
          <w:bCs/>
          <w:sz w:val="24"/>
          <w:szCs w:val="24"/>
        </w:rPr>
      </w:pPr>
      <w:r>
        <w:rPr>
          <w:rFonts w:ascii="Times New Roman" w:hAnsi="Times New Roman" w:cs="Times New Roman"/>
          <w:b/>
          <w:bCs/>
          <w:sz w:val="24"/>
          <w:szCs w:val="24"/>
        </w:rPr>
      </w:r>
      <w:r>
        <w:rPr>
          <w:rFonts w:ascii="Times New Roman" w:hAnsi="Times New Roman" w:cs="Times New Roman"/>
          <w:b/>
          <w:bCs/>
          <w:sz w:val="24"/>
          <w:szCs w:val="24"/>
        </w:rPr>
      </w:r>
      <w:r>
        <w:rPr>
          <w:rFonts w:ascii="Times New Roman" w:hAnsi="Times New Roman" w:cs="Times New Roman"/>
          <w:b/>
          <w:bCs/>
          <w:sz w:val="24"/>
          <w:szCs w:val="24"/>
        </w:rPr>
      </w:r>
    </w:p>
    <w:p w14:paraId="29C498E4"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Biological responses to the same experimental condition often vary across temporal phases, biological subgroups, or response regimes, creating structured internal response diversity that is not fully represented by a single condition-level differen</w:t>
      </w:r>
      <w:r>
        <w:rPr>
          <w:rFonts w:ascii="Times New Roman" w:hAnsi="Times New Roman" w:eastAsia="Times New Roman" w:cs="Times New Roman"/>
          <w:color w:val="000000"/>
          <w:sz w:val="24"/>
        </w:rPr>
        <w:t xml:space="preserve">tial expression analysis. Although conventional differential expression effectively identifies dominant transcriptional responses, it does not explicitly quantify the consistency of gene regulation across these internal biological partitions. We introduce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 quantitative measure that captures internal response disagreement and provides an additional analytical dimension for interpreting differential expression in heterogeneous biological conditions.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Using synthetic benchmarks, we demonstrate that instability selectively increases under opposing and temporally structured regulatory regimes while remaining low in coherent and homogeneous condit</w:t>
      </w:r>
      <w:r>
        <w:rPr>
          <w:rFonts w:ascii="Times New Roman" w:hAnsi="Times New Roman" w:eastAsia="Times New Roman" w:cs="Times New Roman"/>
          <w:color w:val="000000"/>
          <w:sz w:val="24"/>
        </w:rPr>
        <w:t xml:space="preserve">ions. Across real transcriptomic datasets representing ultraviolet irradiation, desiccation, gamma irradiation, and low-temperature stress, instability was consistently elevated in biologically heterogeneous conditions and remained minimal in homogeneous r</w:t>
      </w:r>
      <w:r>
        <w:rPr>
          <w:rFonts w:ascii="Times New Roman" w:hAnsi="Times New Roman" w:eastAsia="Times New Roman" w:cs="Times New Roman"/>
          <w:color w:val="000000"/>
          <w:sz w:val="24"/>
        </w:rPr>
        <w:t xml:space="preserve">esponses. Instability was independent of expression variance and generated gene prioritizations that differed substantially from condition-level differential expression, identifying biologically meaningful genes with structured subgroup- or time-dependent </w:t>
      </w:r>
      <w:r>
        <w:rPr>
          <w:rFonts w:ascii="Times New Roman" w:hAnsi="Times New Roman" w:eastAsia="Times New Roman" w:cs="Times New Roman"/>
          <w:color w:val="000000"/>
          <w:sz w:val="24"/>
        </w:rPr>
        <w:t xml:space="preserve">regulation</w:t>
      </w:r>
      <w:r>
        <w:rPr>
          <w:rFonts w:ascii="Times New Roman" w:hAnsi="Times New Roman" w:eastAsia="Times New Roman" w:cs="Times New Roman"/>
          <w:color w:val="000000"/>
          <w:sz w:val="24"/>
        </w:rPr>
        <w:t xml:space="preserve"> that received comparatively little emphasis under conventional condition-level summaries. These included regulatory and neuroendocrine genes associated with distinct biological response programs.</w:t>
      </w:r>
      <w:r>
        <w:t xml:space="preserve"> </w:t>
      </w:r>
      <w:r>
        <w:rPr>
          <w:rFonts w:ascii="Times New Roman" w:hAnsi="Times New Roman" w:eastAsia="Times New Roman" w:cs="Times New Roman"/>
          <w:color w:val="000000"/>
          <w:sz w:val="24"/>
        </w:rPr>
        <w:t xml:space="preserve">To facilitate reproducible analysis, we implemented</w:t>
      </w:r>
      <w:r>
        <w:rPr>
          <w:rFonts w:ascii="Times New Roman" w:hAnsi="Times New Roman" w:eastAsia="Times New Roman" w:cs="Times New Roman"/>
          <w:color w:val="000000"/>
          <w:sz w:val="24"/>
        </w:rPr>
        <w:t xml:space="preserve"> the framework as an open-source computational pipeline compatible with standard transcriptomic workflows. By quantifying internal response diversity rather than only dominant condition-level effects, instability extends the interpretation of differential </w:t>
      </w:r>
      <w:r>
        <w:rPr>
          <w:rFonts w:ascii="Times New Roman" w:hAnsi="Times New Roman" w:eastAsia="Times New Roman" w:cs="Times New Roman"/>
          <w:color w:val="000000"/>
          <w:sz w:val="24"/>
        </w:rPr>
        <w:t xml:space="preserve">expression</w:t>
      </w:r>
      <w:r>
        <w:rPr>
          <w:rFonts w:ascii="Times New Roman" w:hAnsi="Times New Roman" w:eastAsia="Times New Roman" w:cs="Times New Roman"/>
          <w:color w:val="000000"/>
          <w:sz w:val="24"/>
        </w:rPr>
        <w:t xml:space="preserve"> and provides a complementary framework for identifying structured regulatory signals in heterogeneous biological datasets.</w:t>
      </w:r>
      <w:r/>
    </w:p>
    <w:p w14:paraId="762A280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4A4FC15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b/>
          <w:bCs/>
          <w:color w:val="000000" w:themeColor="text1"/>
          <w:sz w:val="24"/>
          <w:szCs w:val="24"/>
        </w:rPr>
        <w:t xml:space="preserve">Keywords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t xml:space="preserve">Differential expression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Transcriptomics</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Gene prioritization</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Internal response diversity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Instability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RNA-seq</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t xml:space="preserve"> Computational biology</w:t>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267E1B9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45ACFF3" w14:textId="66BA737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04B33953" w14:textId="1D5AF738">
      <w:pPr>
        <w:pStyle w:val="816"/>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Introduction</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6AAAD867" w14:textId="0BAED885">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Biological responses to the same experimental condition are often not internally uniform. Temporal progression, biological subgroups, physiological states, and other structured biological partitions can produce dis</w:t>
      </w:r>
      <w:r>
        <w:rPr>
          <w:rFonts w:ascii="Times New Roman" w:hAnsi="Times New Roman" w:eastAsia="Times New Roman" w:cs="Times New Roman"/>
          <w:color w:val="000000" w:themeColor="text1"/>
          <w:sz w:val="24"/>
          <w:szCs w:val="24"/>
        </w:rPr>
        <w:t xml:space="preserve">tinct regulatory programs within a single experimental condition. Such internal response diversity is common in longitudinal, perturbation, and large-scale transcriptomic studies and complicates the interpretation of condition-level differential expression</w:t>
      </w:r>
      <w:r>
        <w:rPr>
          <w:rFonts w:ascii="Times New Roman" w:hAnsi="Times New Roman" w:eastAsia="Times New Roman" w:cs="Times New Roman"/>
          <w:color w:val="000000" w:themeColor="text1"/>
          <w:sz w:val="24"/>
          <w:szCs w:val="24"/>
          <w:vertAlign w:val="superscript"/>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 Ritchie, et al., 2015</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TnVtPjE8L1JlY051bT48RGlzcGxheVRleHQ+PHN0eWxlIGZhY2U9InN1cGVyc2NyaXB0Ij4xLCAy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Quantifying differential gene expression under heterogeneous biological conditions remains an unresolved challenge despite the maturity of transcriptomic analysis pipelines. </w:t>
      </w:r>
      <w:r>
        <w:rPr>
          <w:rFonts w:ascii="Times New Roman" w:hAnsi="Times New Roman" w:eastAsia="Times New Roman" w:cs="Times New Roman"/>
          <w:color w:val="000000"/>
          <w:sz w:val="24"/>
        </w:rPr>
        <w:t xml:space="preserve">Standard</w:t>
      </w:r>
      <w:r>
        <w:rPr>
          <w:rFonts w:ascii="Times New Roman" w:hAnsi="Times New Roman" w:eastAsia="Times New Roman" w:cs="Times New Roman"/>
          <w:color w:val="000000"/>
          <w:sz w:val="24"/>
        </w:rPr>
        <w:t xml:space="preserve"> differential-expression workflows summarize gene-level responses by estimating a single effect for each experimental condition using all samples assigned to that condition. Throughout this study, we refer to this estimated transcriptional response as the </w:t>
      </w:r>
      <w:r>
        <w:rPr>
          <w:rFonts w:ascii="Times New Roman" w:hAnsi="Times New Roman" w:eastAsia="Times New Roman" w:cs="Times New Roman"/>
          <w:b/>
          <w:color w:val="000000"/>
          <w:sz w:val="24"/>
        </w:rPr>
        <w:t xml:space="preserve">condition-level differential expression</w:t>
      </w:r>
      <w:r>
        <w:rPr>
          <w:rFonts w:ascii="Times New Roman" w:hAnsi="Times New Roman" w:eastAsia="Times New Roman" w:cs="Times New Roman"/>
          <w:color w:val="000000"/>
          <w:sz w:val="24"/>
        </w:rPr>
        <w:t xml:space="preserve">, distinguishing it from physical pooling of biological samples. Consequently, the resulting condition</w:t>
      </w:r>
      <w:r>
        <w:rPr>
          <w:rFonts w:ascii="Times New Roman" w:hAnsi="Times New Roman" w:eastAsia="Times New Roman" w:cs="Times New Roman"/>
          <w:color w:val="000000"/>
          <w:sz w:val="24"/>
        </w:rPr>
        <w:t xml:space="preserve">-level estimate represents the dominant transcriptional response of the experimental condition while not explicitly characterizing variation across internal biological partitions. This analytical strategy underlies widely used frameworks such as DESeq2 and</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limma</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PEVuZE5vdGU+PENpdGU+PEF1dGhvcj5Mb3ZlPC9BdXRob3I+PFllYXI+MjAxNDwvWWVhcj48UmVj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==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 Ritchie, et al., 2015)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t xml:space="preserve">as well as established RNA-seq analysis and benchmarking </w:t>
      </w:r>
      <w:r>
        <w:rPr>
          <w:rFonts w:ascii="Times New Roman" w:hAnsi="Times New Roman" w:eastAsia="Times New Roman" w:cs="Times New Roman"/>
          <w:sz w:val="24"/>
          <w:szCs w:val="24"/>
        </w:rPr>
        <w:t xml:space="preserve">practices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p>
    <w:p w14:paraId="15BA274B" w14:textId="5E0575D9">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This condition-level representation becomes insufficient when responses within an experimental condition are not internally coherent. In the presence of subgroup-specific or time-dependent regulation, genes may exhibit responses t</w:t>
      </w:r>
      <w:r>
        <w:rPr>
          <w:rFonts w:ascii="Times New Roman" w:hAnsi="Times New Roman" w:eastAsia="Times New Roman" w:cs="Times New Roman"/>
          <w:color w:val="000000" w:themeColor="text1"/>
          <w:sz w:val="24"/>
          <w:szCs w:val="24"/>
        </w:rPr>
        <w:t xml:space="preserve">hat differ in both magnitude and direction across biological partitions (Fig. 1a). Under these conditions, a single condition-level summary no longer represents the underlying regulatory structure because opposing or divergent responses become attenuated w</w:t>
      </w:r>
      <w:r>
        <w:rPr>
          <w:rFonts w:ascii="Times New Roman" w:hAnsi="Times New Roman" w:eastAsia="Times New Roman" w:cs="Times New Roman"/>
          <w:color w:val="000000" w:themeColor="text1"/>
          <w:sz w:val="24"/>
          <w:szCs w:val="24"/>
        </w:rPr>
        <w:t xml:space="preserve">hen summarized into a single condition-level effect (Fig. 1b). As illustrated in Fig. 1, these structured internal responses can converge toward an overall effect close to zero, creating the appearance of weak or absent regulation despite strong underlying</w:t>
      </w:r>
      <w:r>
        <w:rPr>
          <w:rFonts w:ascii="Times New Roman" w:hAnsi="Times New Roman" w:eastAsia="Times New Roman" w:cs="Times New Roman"/>
          <w:color w:val="000000" w:themeColor="text1"/>
          <w:sz w:val="24"/>
          <w:szCs w:val="24"/>
        </w:rPr>
        <w:t xml:space="preserve"> biological activity (Fig. 1c). This represents a systematic limitation in which structured regulatory signals become underrepresented in condition-level summaries, consistent with observations in heterogeneous biological systems and mixed cell populations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(Newman, et al., 2015; Squair, et al., 2021; Tsoucas and Yuan, 2018; Wagner, et al., 2016)</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Because con</w:t>
      </w:r>
      <w:r>
        <w:rPr>
          <w:rFonts w:ascii="Times New Roman" w:hAnsi="Times New Roman" w:eastAsia="Times New Roman" w:cs="Times New Roman"/>
          <w:color w:val="000000" w:themeColor="text1"/>
          <w:sz w:val="24"/>
          <w:szCs w:val="24"/>
        </w:rPr>
        <w:t xml:space="preserve">ventional differential-expression analyses do not explicitly quantify the consistency of responses across biological partitions, such structured internal disagreement can remain difficult to recognize using standard differential-expression workflows alone.</w:t>
      </w:r>
      <w:r>
        <w:rPr>
          <w:rFonts w:ascii="Times New Roman" w:hAnsi="Times New Roman" w:cs="Times New Roman"/>
          <w:color w:val="000000" w:themeColor="text1"/>
          <w:sz w:val="24"/>
          <w:szCs w:val="24"/>
        </w:rPr>
      </w:r>
      <w:r>
        <w:rPr>
          <w:rFonts w:ascii="Times New Roman" w:hAnsi="Times New Roman" w:cs="Times New Roman"/>
          <w:color w:val="000000" w:themeColor="text1"/>
          <w:sz w:val="24"/>
          <w:szCs w:val="24"/>
        </w:rPr>
      </w:r>
    </w:p>
    <w:p w14:paraId="2D1824B7" w14:textId="78AB5C5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sz w:val="24"/>
          <w:szCs w:val="24"/>
        </w:rPr>
        <w:t xml:space="preserve">Existing approaches for analyzing heterogeneous biological responses extend conventional differential-expression models through subgroup analyses, interaction terms, or time-course designs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These approaches effectively identify differential </w:t>
      </w:r>
      <w:r>
        <w:rPr>
          <w:rFonts w:ascii="Times New Roman" w:hAnsi="Times New Roman" w:eastAsia="Times New Roman" w:cs="Times New Roman"/>
          <w:color w:val="000000" w:themeColor="text1"/>
          <w:sz w:val="24"/>
          <w:szCs w:val="24"/>
        </w:rPr>
        <w:t xml:space="preserve">expression</w:t>
      </w:r>
      <w:r>
        <w:rPr>
          <w:rFonts w:ascii="Times New Roman" w:hAnsi="Times New Roman" w:eastAsia="Times New Roman" w:cs="Times New Roman"/>
          <w:color w:val="000000" w:themeColor="text1"/>
          <w:sz w:val="24"/>
          <w:szCs w:val="24"/>
        </w:rPr>
        <w:t xml:space="preserve"> within predefined biological groups or temporal relationships when the experimental structure is known. However, they are not designed to directly quantify the consistency of gene regulation across biological partitions within </w:t>
      </w:r>
      <w:r>
        <w:rPr>
          <w:rFonts w:ascii="Times New Roman" w:hAnsi="Times New Roman" w:eastAsia="Times New Roman" w:cs="Times New Roman"/>
          <w:color w:val="000000" w:themeColor="text1"/>
          <w:sz w:val="24"/>
          <w:szCs w:val="24"/>
        </w:rPr>
        <w:t xml:space="preserve">the same experimental condition. Consequently, while individual subgroup- or time-specific effects can</w:t>
      </w:r>
      <w:r>
        <w:rPr>
          <w:rFonts w:ascii="Times New Roman" w:hAnsi="Times New Roman" w:eastAsia="Times New Roman" w:cs="Times New Roman"/>
          <w:color w:val="000000" w:themeColor="text1"/>
          <w:sz w:val="24"/>
          <w:szCs w:val="24"/>
        </w:rPr>
        <w:t xml:space="preserve"> be characterized, the degree to which these responses are mutually consistent or divergent across partitions remains unquantified. This limitation is particularly relevant in complex or dynamic biological systems, including longitudinal, single-cell, and </w:t>
      </w:r>
      <w:r>
        <w:rPr>
          <w:rFonts w:ascii="Times New Roman" w:hAnsi="Times New Roman" w:eastAsia="Times New Roman" w:cs="Times New Roman"/>
          <w:color w:val="000000" w:themeColor="text1"/>
          <w:sz w:val="24"/>
          <w:szCs w:val="24"/>
        </w:rPr>
        <w:t xml:space="preserve">pseudobulk</w:t>
      </w:r>
      <w:r>
        <w:rPr>
          <w:rFonts w:ascii="Times New Roman" w:hAnsi="Times New Roman" w:eastAsia="Times New Roman" w:cs="Times New Roman"/>
          <w:color w:val="000000" w:themeColor="text1"/>
          <w:sz w:val="24"/>
          <w:szCs w:val="24"/>
        </w:rPr>
        <w:t xml:space="preserve"> transcriptomic studies, where internal response diversity may be only partially characterized or evolve over time</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PEVuZE5vdGU+PENpdGU+PEF1dGhvcj5MdWVja2VuPC9BdXRob3I+PFllYXI+MjAxOTwvWWVhcj48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PEVuZE5vdGU+PENpdGU+PEF1dGhvcj5MdWVja2VuPC9BdXRob3I+PFllYXI+MjAxOTwvWWVhcj48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(Amezquita, et al., 2020; Luecken and Theis, 2019; Stuart and Satija, 2019; Vallejos, et al., 2015)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B816D2E" w14:textId="5820D32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Variance-b</w:t>
      </w:r>
      <w:r>
        <w:rPr>
          <w:rFonts w:ascii="Times New Roman" w:hAnsi="Times New Roman" w:eastAsia="Times New Roman" w:cs="Times New Roman"/>
          <w:color w:val="000000" w:themeColor="text1"/>
          <w:sz w:val="24"/>
          <w:szCs w:val="24"/>
        </w:rPr>
        <w:t xml:space="preserve">ased measures do not resolve this limitation. Although variance captures the overall dispersion of gene expression, it does not distinguish between random variability and structured divergence arising from conflicting responses across biological partitions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TnVtPjE3PC9SZWNOdW0+PERpc3BsYXlUZXh0PihIaWNrcywgZXQgYWwuLCAyMDE4OyBMZWVrLCBl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TnVtPjE3PC9SZWNOdW0+PERpc3BsYXlUZXh0PihIaWNrcywgZXQgYWwuLCAyMDE4OyBMZWVrLCBl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(Hicks, et al., 2018; Leek, et al., 2010; McCarthy, et al., 2012; Risso, et al., 2014)</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themeColor="text1"/>
          <w:sz w:val="24"/>
          <w:szCs w:val="24"/>
        </w:rPr>
        <w:t xml:space="preserve">Consequently, variance cannot differentiate</w:t>
      </w:r>
      <w:r>
        <w:rPr>
          <w:rFonts w:ascii="Times New Roman" w:hAnsi="Times New Roman" w:eastAsia="Times New Roman" w:cs="Times New Roman"/>
          <w:color w:val="000000" w:themeColor="text1"/>
          <w:sz w:val="24"/>
          <w:szCs w:val="24"/>
        </w:rPr>
        <w:t xml:space="preserve"> stochastic noise from biologically meaningful internal response disagreement. As a result, current analytical frameworks lack a quantitative measure of the consistency of gene regulation across biological partitions within the same experimental condition.</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1D629EC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To address this limitation, we introduce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as a quantitative measure of internal response diversity that captures both differences in response magnitude and direction across biological partitions.</w:t>
      </w:r>
      <w:r>
        <w:rPr>
          <w:rFonts w:ascii="Times New Roman" w:hAnsi="Times New Roman" w:eastAsia="Times New Roman" w:cs="Times New Roman"/>
          <w:color w:val="000000"/>
          <w:sz w:val="24"/>
          <w:szCs w:val="24"/>
        </w:rPr>
        <w:t xml:space="preserve"> Unlike conventional differential-expression frameworks, which summarize each gene by a single condition-level effect, instability explicitly quantifies the consistency of gene regulation acr</w:t>
      </w:r>
      <w:r>
        <w:rPr>
          <w:rFonts w:ascii="Times New Roman" w:hAnsi="Times New Roman" w:eastAsia="Times New Roman" w:cs="Times New Roman"/>
          <w:color w:val="000000"/>
          <w:sz w:val="24"/>
          <w:szCs w:val="24"/>
        </w:rPr>
        <w:t xml:space="preserve">oss predefined biological partitions within the same experimental condition. By jointly evaluating partition-specific responses, instability characterizes structured regulatory behavior that is not captured by condition-level differential expression alone.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69F18B9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Treating instability as a complementary analytical dimension extends the interpretation of heterogeneous transcriptomic data. Genes with</w:t>
      </w:r>
      <w:r>
        <w:rPr>
          <w:rFonts w:ascii="Times New Roman" w:hAnsi="Times New Roman" w:eastAsia="Times New Roman" w:cs="Times New Roman"/>
          <w:color w:val="000000"/>
          <w:sz w:val="24"/>
          <w:szCs w:val="24"/>
        </w:rPr>
        <w:t xml:space="preserve"> modest condition-level differential expression may exhibit high instability, indicating structured regulatory divergence across biological partitions rather than the absence of biological signal. Conversely, genes with strong condition-level differential </w:t>
      </w:r>
      <w:r>
        <w:rPr>
          <w:rFonts w:ascii="Times New Roman" w:hAnsi="Times New Roman" w:eastAsia="Times New Roman" w:cs="Times New Roman"/>
          <w:color w:val="000000"/>
          <w:sz w:val="24"/>
          <w:szCs w:val="24"/>
        </w:rPr>
        <w:t xml:space="preserve">expression</w:t>
      </w:r>
      <w:r>
        <w:rPr>
          <w:rFonts w:ascii="Times New Roman" w:hAnsi="Times New Roman" w:eastAsia="Times New Roman" w:cs="Times New Roman"/>
          <w:color w:val="000000"/>
          <w:sz w:val="24"/>
          <w:szCs w:val="24"/>
        </w:rPr>
        <w:t xml:space="preserve"> and low instability represent coherent regulatory responses that are consistently</w:t>
      </w:r>
      <w:r>
        <w:rPr>
          <w:rFonts w:ascii="Times New Roman" w:hAnsi="Times New Roman" w:eastAsia="Times New Roman" w:cs="Times New Roman"/>
          <w:color w:val="000000"/>
          <w:sz w:val="24"/>
          <w:szCs w:val="24"/>
        </w:rPr>
        <w:t xml:space="preserve"> maintained across biological partitions. Together, condition-level differential expression and instability provide complementary perspectives on transcriptional regulation by distinguishing dominant responses from internally divergent regulatory programs.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4CEBBF81" w14:textId="43F1027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In this study, </w:t>
      </w:r>
      <w:r>
        <w:rPr>
          <w:rFonts w:ascii="Times New Roman" w:hAnsi="Times New Roman" w:eastAsia="Times New Roman" w:cs="Times New Roman"/>
          <w:b/>
          <w:color w:val="000000"/>
          <w:sz w:val="24"/>
        </w:rPr>
        <w:t xml:space="preserve">heterogeneity</w:t>
      </w:r>
      <w:r>
        <w:rPr>
          <w:rFonts w:ascii="Times New Roman" w:hAnsi="Times New Roman" w:eastAsia="Times New Roman" w:cs="Times New Roman"/>
          <w:color w:val="000000"/>
          <w:sz w:val="24"/>
        </w:rPr>
        <w:t xml:space="preserve"> refers to structured internal response diversity within an experimental condition rather than differences between treatment and control groups. We define </w:t>
      </w:r>
      <w:r>
        <w:rPr>
          <w:rFonts w:ascii="Times New Roman" w:hAnsi="Times New Roman" w:eastAsia="Times New Roman" w:cs="Times New Roman"/>
          <w:b/>
          <w:color w:val="000000"/>
          <w:sz w:val="24"/>
        </w:rPr>
        <w:t xml:space="preserve">instability</w:t>
      </w:r>
      <w:r>
        <w:rPr>
          <w:rFonts w:ascii="Times New Roman" w:hAnsi="Times New Roman" w:eastAsia="Times New Roman" w:cs="Times New Roman"/>
          <w:color w:val="000000"/>
          <w:sz w:val="24"/>
        </w:rPr>
        <w:t xml:space="preserve"> as a quantitative measure of the consistency of gene regulation across predefined biological partitions and use it to identify structured regulatory signals that are not adequately represented by condition-level differential expression alone. </w:t>
      </w:r>
      <w:r>
        <w:rPr>
          <w:rFonts w:ascii="Times New Roman" w:hAnsi="Times New Roman" w:eastAsia="Times New Roman" w:cs="Times New Roman"/>
          <w:color w:val="000000"/>
          <w:sz w:val="24"/>
          <w:szCs w:val="24"/>
        </w:rPr>
        <w:t xml:space="preserve">Using controlled synthetic benchmarks and real stress-response transcri</w:t>
      </w:r>
      <w:r>
        <w:rPr>
          <w:rFonts w:ascii="Times New Roman" w:hAnsi="Times New Roman" w:eastAsia="Times New Roman" w:cs="Times New Roman"/>
          <w:color w:val="000000"/>
          <w:sz w:val="24"/>
          <w:szCs w:val="24"/>
        </w:rPr>
        <w:t xml:space="preserve">ptomic datasets, we demonstrate that instability captures a distinct dimension of biological response that is independent of expression variance and reveals biologically meaningful patterns of internal response diversity in heterogeneous biological systems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PFJlY051bT4yMzwvUmVjTnVtPjxEaXNwbGF5VGV4dD4oQ29uc29ydGl1bSwgMjAxNDsgS2Vsc2V5
LCBldCBhbC4sIDIwMTc7IExpLCBldCBhbC4sIDIwMTQ7IFRyYXBuZWxsLCBldCBhbC4sIDIwMTQp
PC9EaXNwbGF5VGV4dD48cmVjb3JkPjxyZWMtbnVtYmVyPjIzPC9yZWMtbnVtYmVyPjxmb3JlaWdu
LWtleXM+PGtleSBhcHA9IkVOIiBkYi1pZD0iZHA5OTV3ZTloYXpzYWVldzV0dnA1OXp5cnI5MnIw
enQwc2F3IiB0aW1lc3RhbXA9IjE3NzY5MjM4OTMiPjIzPC9rZXk+PC9mb3JlaWduLWtleXM+PHJl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PktlbHNleTwvQXV0aG9yPjxZZWFyPjIwMTc8L1llYXI+PFJlY051bT4yNDwvUmVjTnVtPjxyZWNv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==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PEVuZE5vdGU+PENpdGU+PEF1dGhvcj5UcmFwbmVsbDwvQXV0aG9yPjxZZWFyPjIwMTQ8L1llYXI+
PFJlY051bT4yMzwvUmVjTnVtPjxEaXNwbGF5VGV4dD4oQ29uc29ydGl1bSwgMjAxNDsgS2Vsc2V5
LCBldCBhbC4sIDIwMTc7IExpLCBldCBhbC4sIDIwMTQ7IFRyYXBuZWxsLCBldCBhbC4sIDIwMTQp
PC9EaXNwbGF5VGV4dD48cmVjb3JkPjxyZWMtbnVtYmVyPjIzPC9yZWMtbnVtYmVyPjxmb3JlaWdu
LWtleXM+PGtleSBhcHA9IkVOIiBkYi1pZD0iZHA5OTV3ZTloYXpzYWVldzV0dnA1OXp5cnI5MnIw
enQwc2F3IiB0aW1lc3RhbXA9IjE3NzY5MjM4OTMiPjIzPC9rZXk+PC9mb3JlaWduLWtleXM+PHJl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PktlbHNleTwvQXV0aG9yPjxZZWFyPjIwMTc8L1llYXI+PFJlY051bT4yNDwvUmVjTnVtPjxyZWNv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==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(Consortium, 2014; Kelsey, et al., 2017; Li, et al., 2014; Trapnell, et al., 2014)</w:t>
      </w:r>
      <w:r>
        <w:rPr>
          <w:rFonts w:ascii="Times New Roman" w:hAnsi="Times New Roman" w:eastAsia="Times New Roman" w:cs="Times New Roman"/>
          <w:sz w:val="24"/>
          <w:szCs w:val="24"/>
        </w:rPr>
        <w:fldChar w:fldCharType="end"/>
      </w:r>
      <w:r>
        <w:rPr>
          <w:rFonts w:ascii="Times New Roman" w:hAnsi="Times New Roman" w:eastAsia="Times New Roman" w:cs="Times New Roman"/>
          <w:color w:val="000000"/>
          <w:sz w:val="24"/>
          <w:szCs w:val="24"/>
        </w:rPr>
        <w:t xml:space="preserv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31C129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7701C42E" w14:textId="77777777">
      <w:pPr>
        <w:pStyle w:val="816"/>
        <w:numPr>
          <w:ilvl w:val="0"/>
          <w:numId w:val="6"/>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Methods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9D001B0" w14:textId="77777777">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lang w:val="pl-PL"/>
        </w:rPr>
        <w:t xml:space="preserve">2.1. </w:t>
      </w:r>
      <w:r>
        <w:rPr>
          <w:rFonts w:ascii="Times New Roman" w:hAnsi="Times New Roman" w:eastAsia="Times New Roman" w:cs="Times New Roman"/>
          <w:b/>
          <w:bCs/>
          <w:sz w:val="24"/>
          <w:szCs w:val="24"/>
        </w:rPr>
        <w:t xml:space="preserve">Data sources and transcriptomic preprocessing</w:t>
      </w:r>
      <w:r>
        <w:rPr>
          <w:rFonts w:ascii="Times New Roman" w:hAnsi="Times New Roman" w:cs="Times New Roman"/>
          <w:b/>
          <w:bCs/>
          <w:sz w:val="24"/>
          <w:szCs w:val="24"/>
        </w:rPr>
      </w:r>
      <w:r>
        <w:rPr>
          <w:rFonts w:ascii="Times New Roman" w:hAnsi="Times New Roman" w:cs="Times New Roman"/>
          <w:b/>
          <w:bCs/>
          <w:sz w:val="24"/>
          <w:szCs w:val="24"/>
        </w:rPr>
      </w:r>
    </w:p>
    <w:p w14:paraId="5BDD82D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sz w:val="24"/>
          <w:szCs w:val="24"/>
        </w:rPr>
        <w:t xml:space="preserve">RNA-seq datasets were derived from stress-response experiments in the tardigrade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a model organism known for extreme tolerance to environmental stress. Publicly available SRA datasets included ultraviolet exposure (UV), desiccation (DES), gamma radiation (GAM), and low-temperature conditions (LT). </w:t>
      </w:r>
      <w:r>
        <w:rPr>
          <w:rFonts w:ascii="Times New Roman" w:hAnsi="Times New Roman" w:eastAsia="Times New Roman" w:cs="Times New Roman"/>
          <w:color w:val="000000" w:themeColor="text1"/>
          <w:sz w:val="24"/>
          <w:szCs w:val="24"/>
        </w:rPr>
        <w:t xml:space="preserve">Each dataset contained structured internal partitions defined either by biological subgroups (e.g., UV short vs long exposure; DES fast vs slow dehydration) or by temporal progression (GAM timepoints). LT was used as a homogeneous reference condition.</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themeColor="text1"/>
          <w:sz w:val="24"/>
          <w:szCs w:val="24"/>
        </w:rPr>
        <w:t xml:space="preserve">Additio</w:t>
      </w:r>
      <w:r>
        <w:rPr>
          <w:rFonts w:ascii="Times New Roman" w:hAnsi="Times New Roman" w:eastAsia="Times New Roman" w:cs="Times New Roman"/>
          <w:color w:val="000000" w:themeColor="text1"/>
          <w:sz w:val="24"/>
          <w:szCs w:val="24"/>
        </w:rPr>
        <w:t xml:space="preserve">nal stress conditions, including high temperature (HT) and osmotic stress (OSM), are present in the dataset but are not central to the analyses used to demonstrate the instability framework, which focuses on conditions with well-defined internal structure.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BF1845D" w14:textId="0F85A4C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Metadata were standardized using a custom preprocessing pipeline to harmonize sample identifiers, condition labels, treatment status, and partition structure (Supplementary Table S1)</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PEVuZE5vdGU+PENpdGU+PEF1dGhvcj5Tb25lc29uPC9BdXRob3I+PFllYXI+MjAxODwvWWVhcj48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(Love, et al., 2015; Soneson and Robinson, 2018)</w:t>
      </w:r>
      <w:r>
        <w:rPr>
          <w:rFonts w:ascii="Times New Roman" w:hAnsi="Times New Roman" w:eastAsia="Times New Roman" w:cs="Times New Roman"/>
          <w:sz w:val="24"/>
          <w:szCs w:val="24"/>
        </w:rPr>
        <w:fldChar w:fldCharType="end"/>
      </w:r>
      <w:r>
        <w:t xml:space="preserve">.</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The resulting curated metadata table was used consistently for all condition-level and partition-specific analyses.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B6FD334" w14:textId="77777777">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2.2. Definition of biological partitions and response structure</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6C064F8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sz w:val="24"/>
          <w:szCs w:val="24"/>
        </w:rPr>
        <w:t xml:space="preserve">A condition was defined as homogeneous when gene expression responses were consistent in both direction and magnitude across its internal samples (e.g., timepoints or replicates), such that condition-level summaries closely approximated </w:t>
      </w:r>
      <w:r>
        <w:t xml:space="preserve">subgroup-aware</w:t>
      </w:r>
      <w:r>
        <w:rPr>
          <w:rFonts w:ascii="Times New Roman" w:hAnsi="Times New Roman" w:eastAsia="Times New Roman" w:cs="Times New Roman"/>
          <w:color w:val="000000" w:themeColor="text1"/>
          <w:sz w:val="24"/>
          <w:szCs w:val="24"/>
        </w:rPr>
        <w:t xml:space="preserve"> analyses.</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4926B00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A condition was considered to exhibit structured internal response diversity when predefined</w:t>
      </w:r>
      <w:r>
        <w:rPr>
          <w:rFonts w:ascii="Times New Roman" w:hAnsi="Times New Roman" w:eastAsia="Times New Roman" w:cs="Times New Roman"/>
          <w:color w:val="000000" w:themeColor="text1"/>
          <w:sz w:val="24"/>
          <w:szCs w:val="24"/>
        </w:rPr>
        <w:t xml:space="preserve"> biological partitions showed systematic differences in transcriptional response magnitude or direction. Such conditions were analyzed using partition-specific differential-expression estimates to quantify response consistency across biological partitions.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6C3B2A32" w14:textId="3383DAE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Importantly, this definition of heterogeneity is independent of the presence of treatment and control groups. </w:t>
      </w:r>
      <w:r>
        <w:rPr>
          <w:rFonts w:ascii="Times New Roman" w:hAnsi="Times New Roman" w:eastAsia="Times New Roman" w:cs="Times New Roman"/>
          <w:sz w:val="24"/>
          <w:szCs w:val="24"/>
        </w:rPr>
        <w:t xml:space="preserve"> Each condition was analyzed relative to its own baseline control, corresponding to </w:t>
      </w:r>
      <w:r>
        <w:rPr>
          <w:rFonts w:ascii="Times New Roman" w:hAnsi="Times New Roman" w:eastAsia="Times New Roman" w:cs="Times New Roman"/>
          <w:sz w:val="24"/>
          <w:szCs w:val="24"/>
        </w:rPr>
        <w:t xml:space="preserve">nonstressed</w:t>
      </w:r>
      <w:r>
        <w:rPr>
          <w:rFonts w:ascii="Times New Roman" w:hAnsi="Times New Roman" w:eastAsia="Times New Roman" w:cs="Times New Roman"/>
          <w:sz w:val="24"/>
          <w:szCs w:val="24"/>
        </w:rPr>
        <w:t xml:space="preserve"> samples (e.g., 0h timepoints or untr</w:t>
      </w:r>
      <w:r>
        <w:rPr>
          <w:rFonts w:ascii="Times New Roman" w:hAnsi="Times New Roman" w:eastAsia="Times New Roman" w:cs="Times New Roman"/>
          <w:sz w:val="24"/>
          <w:szCs w:val="24"/>
        </w:rPr>
        <w:t xml:space="preserve">eated controls within the same experiment). Although these controls represent a common biological baseline, they are defined independently within each dataset. The internal structure of each condition was then evaluated based on the consistency of gene exp</w:t>
      </w:r>
      <w:r>
        <w:rPr>
          <w:rFonts w:ascii="Times New Roman" w:hAnsi="Times New Roman" w:eastAsia="Times New Roman" w:cs="Times New Roman"/>
          <w:sz w:val="24"/>
          <w:szCs w:val="24"/>
        </w:rPr>
        <w:t xml:space="preserve">ression responses across its samples. Conditions with consistent direction and magnitude were considered homogeneous, whereas those showing subgroup-specific or time-dependent divergence were classified as exhibiting structured internal response diversity.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4CEA87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b/>
          <w:bCs/>
          <w:color w:val="000000"/>
          <w:sz w:val="24"/>
          <w:szCs w:val="24"/>
        </w:rPr>
      </w:pPr>
      <w:r>
        <w:rPr>
          <w:rFonts w:ascii="Times New Roman" w:hAnsi="Times New Roman" w:eastAsia="Times New Roman" w:cs="Times New Roman"/>
          <w:b/>
          <w:bCs/>
          <w:sz w:val="24"/>
          <w:szCs w:val="24"/>
        </w:rPr>
        <w:t xml:space="preserve">2.3. </w:t>
      </w:r>
      <w:r>
        <w:rPr>
          <w:rFonts w:ascii="Times New Roman" w:hAnsi="Times New Roman" w:eastAsia="Times New Roman" w:cs="Times New Roman"/>
          <w:b/>
          <w:bCs/>
          <w:sz w:val="24"/>
          <w:szCs w:val="24"/>
        </w:rPr>
        <w:t xml:space="preserve">RNA-seq quantification and expression matrix construction</w:t>
      </w:r>
      <w:r>
        <w:rPr>
          <w:rFonts w:ascii="Times New Roman" w:hAnsi="Times New Roman" w:cs="Times New Roman"/>
          <w:b/>
          <w:bCs/>
          <w:color w:val="000000"/>
          <w:sz w:val="24"/>
          <w:szCs w:val="24"/>
        </w:rPr>
      </w:r>
      <w:r>
        <w:rPr>
          <w:rFonts w:ascii="Times New Roman" w:hAnsi="Times New Roman" w:cs="Times New Roman"/>
          <w:b/>
          <w:bCs/>
          <w:color w:val="000000"/>
          <w:sz w:val="24"/>
          <w:szCs w:val="24"/>
        </w:rPr>
      </w:r>
    </w:p>
    <w:p w14:paraId="7721B112" w14:textId="2FDC1B84">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rPr>
      </w:pPr>
      <w:r>
        <w:rPr>
          <w:rFonts w:ascii="Times New Roman" w:hAnsi="Times New Roman" w:eastAsia="Times New Roman" w:cs="Times New Roman"/>
          <w:color w:val="000000" w:themeColor="text1"/>
          <w:sz w:val="24"/>
          <w:szCs w:val="24"/>
        </w:rPr>
        <w:t xml:space="preserve">Transcript-level quantification was performed using Salmon. Gene-level expression estimates were obtained using </w:t>
      </w:r>
      <w:r>
        <w:rPr>
          <w:rFonts w:ascii="Times New Roman" w:hAnsi="Times New Roman" w:eastAsia="Times New Roman" w:cs="Times New Roman"/>
          <w:color w:val="000000" w:themeColor="text1"/>
          <w:sz w:val="24"/>
          <w:szCs w:val="24"/>
        </w:rPr>
        <w:t xml:space="preserve">tximport</w:t>
      </w:r>
      <w:r>
        <w:rPr>
          <w:rFonts w:ascii="Times New Roman" w:hAnsi="Times New Roman" w:eastAsia="Times New Roman" w:cs="Times New Roman"/>
          <w:color w:val="000000" w:themeColor="text1"/>
          <w:sz w:val="24"/>
          <w:szCs w:val="24"/>
        </w:rPr>
        <w:t xml:space="preserve"> with a transcript-to-gene mapping (tx2gene.tsv)</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&lt;EndNote&gt;&lt;Cite&gt;&lt;Author&gt;Soneson&lt;/Author&gt;&lt;Year&gt;20</w:instrText>
      </w:r>
      <w:r>
        <w:rPr>
          <w:rFonts w:ascii="Times New Roman" w:hAnsi="Times New Roman" w:eastAsia="Times New Roman" w:cs="Times New Roman"/>
          <w:color w:val="000000" w:themeColor="text1"/>
          <w:sz w:val="24"/>
          <w:szCs w:val="24"/>
        </w:rPr>
        <w:instrText xml:space="preserve">16&lt;/Year&gt;&lt;RecNum&gt;27&lt;/RecNum&gt;&lt;DisplayText&gt;(Soneson, et al., 2016)&lt;/DisplayText&gt;&lt;record&gt;&lt;rec-number&gt;27&lt;/rec-number&gt;&lt;foreign-keys&gt;&lt;key app="EN" db-id="dp995we9hazsaeew5tvp59zyrr92r0zt0saw" timestamp="1776924046"&gt;27&lt;/key&gt;&lt;/foreign-keys&gt;&lt;ref-type name="Journal </w:instrText>
      </w:r>
      <w:r>
        <w:rPr>
          <w:rFonts w:ascii="Times New Roman" w:hAnsi="Times New Roman" w:eastAsia="Times New Roman" w:cs="Times New Roman"/>
          <w:color w:val="000000" w:themeColor="text1"/>
          <w:sz w:val="24"/>
          <w:szCs w:val="24"/>
        </w:rPr>
        <w:instrText xml:space="preserve">Article"&gt;17&lt;/ref-type&gt;&lt;contributors&gt;&lt;authors&gt;&lt;author&gt;Soneson, Charlotte&lt;/author&gt;&lt;author&gt;Love, Michael I&lt;/author&gt;&lt;author&gt;Robinson, Mark D&lt;/author&gt;&lt;/authors&gt;&lt;/contributors&gt;&lt;titles&gt;&lt;title&gt;Differential analyses for RNA-seq: transcript-level estimates improve g</w:instrText>
      </w:r>
      <w:r>
        <w:rPr>
          <w:rFonts w:ascii="Times New Roman" w:hAnsi="Times New Roman" w:eastAsia="Times New Roman" w:cs="Times New Roman"/>
          <w:color w:val="000000" w:themeColor="text1"/>
          <w:sz w:val="24"/>
          <w:szCs w:val="24"/>
        </w:rPr>
        <w:instrText xml:space="preserve">ene-level inferences&lt;/title&gt;&lt;secondary-title&gt;F1000Research&lt;/secondary-title&gt;&lt;/titles&gt;&lt;periodical&gt;&lt;full-title&gt;F1000Research&lt;/full-title&gt;&lt;/periodical&gt;&lt;pages&gt;1521&lt;/pages&gt;&lt;volume&gt;4&lt;/volume&gt;&lt;dates&gt;&lt;year&gt;2016&lt;/year&gt;&lt;/dates&gt;&lt;urls&gt;&lt;/urls&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(Soneson, et al., </w:t>
      </w:r>
      <w:r>
        <w:rPr>
          <w:rFonts w:ascii="Times New Roman" w:hAnsi="Times New Roman" w:eastAsia="Times New Roman" w:cs="Times New Roman"/>
          <w:color w:val="000000" w:themeColor="text1"/>
          <w:sz w:val="24"/>
          <w:szCs w:val="24"/>
        </w:rPr>
        <w:t xml:space="preserve">2016)</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followed by DESeq2 variance-stabilizing transformation (VST)</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&lt;EndNote&gt;&lt;Cite&gt;&lt;Author&gt;Love&lt;/Author&gt;&lt;Year&gt;2014&lt;/Year&gt;&lt;RecNum&gt;1&lt;/RecNum&gt;&lt;DisplayText&gt;(Love, et al., 2014)&lt;/DisplayText&gt;&lt;record&gt;&lt;rec-number&gt;1&lt;/rec-number&gt;&lt;foreign-keys&gt;&lt;key app="EN" db-id="dp995we9hazsaeew5tvp59zyrr92r0</w:instrText>
      </w:r>
      <w:r>
        <w:rPr>
          <w:rFonts w:ascii="Times New Roman" w:hAnsi="Times New Roman" w:eastAsia="Times New Roman" w:cs="Times New Roman"/>
          <w:color w:val="000000" w:themeColor="text1"/>
          <w:sz w:val="24"/>
          <w:szCs w:val="24"/>
        </w:rPr>
        <w:instrText xml:space="preserve">zt0saw" timestamp="1776922710"&gt;1&lt;/key&gt;&lt;/foreign-keys&gt;&lt;ref-type name="Journal Article"&gt;17&lt;/ref-type&gt;&lt;contributors&gt;&lt;authors&gt;&lt;author&gt;Love, M. I.&lt;/author&gt;&lt;author&gt;Huber, W.&lt;/author&gt;&lt;author&gt;Anders, S.&lt;/author&gt;&lt;/authors&gt;&lt;/contributors&gt;&lt;titles&gt;&lt;title&gt;Moderated est</w:instrText>
      </w:r>
      <w:r>
        <w:rPr>
          <w:rFonts w:ascii="Times New Roman" w:hAnsi="Times New Roman" w:eastAsia="Times New Roman" w:cs="Times New Roman"/>
          <w:color w:val="000000" w:themeColor="text1"/>
          <w:sz w:val="24"/>
          <w:szCs w:val="24"/>
        </w:rPr>
        <w:instrText xml:space="preserve">imation of fold change and dispersion for RNA-seq data with DESeq2&lt;/title&gt;&lt;secondary-title&gt;Genome Biol&lt;/secondary-title&gt;&lt;/titles&gt;&lt;periodical&gt;&lt;full-title&gt;Genome Biol&lt;/full-title&gt;&lt;/periodical&gt;&lt;pages&gt;550&lt;/pages&gt;&lt;volume&gt;15&lt;/volume&gt;&lt;number&gt;12&lt;/number&gt;&lt;keywords&gt;</w:instrText>
      </w:r>
      <w:r>
        <w:rPr>
          <w:rFonts w:ascii="Times New Roman" w:hAnsi="Times New Roman" w:eastAsia="Times New Roman" w:cs="Times New Roman"/>
          <w:color w:val="000000" w:themeColor="text1"/>
          <w:sz w:val="24"/>
          <w:szCs w:val="24"/>
        </w:rPr>
        <w:instrText xml:space="preserve">&lt;keyword&gt;Algorithms&lt;/keyword&gt;&lt;keyword&gt;Computational Biology/*methods&lt;/keyword&gt;&lt;keyword&gt;High-Throughput Nucleotide Sequencing&lt;/keyword&gt;&lt;keyword&gt;Models, Genetic&lt;/keyword&gt;&lt;keyword&gt;RNA/*analysis&lt;/keyword&gt;&lt;keyword&gt;Sequence Analysis, RNA&lt;/keyword&gt;&lt;keyword&gt;*Softw</w:instrText>
      </w:r>
      <w:r>
        <w:rPr>
          <w:rFonts w:ascii="Times New Roman" w:hAnsi="Times New Roman" w:eastAsia="Times New Roman" w:cs="Times New Roman"/>
          <w:color w:val="000000" w:themeColor="text1"/>
          <w:sz w:val="24"/>
          <w:szCs w:val="24"/>
        </w:rPr>
        <w:instrText xml:space="preserve">are&lt;/keyword&gt;&lt;/keywords&gt;&lt;dates&gt;&lt;year&gt;2014&lt;/year&gt;&lt;/dates&gt;&lt;isbn&gt;1474-760X (Electronic)&amp;#xD;1465-6906 (Print)&amp;#xD;1474-7596 (Linking)&lt;/isbn&gt;&lt;accession-num&gt;25516281&lt;/accession-num&gt;&lt;urls&gt;&lt;related-urls&gt;&lt;url&gt;https://www.ncbi.nlm.nih.gov/pubmed/25516281&lt;/url&gt;&lt;/rel</w:instrText>
      </w:r>
      <w:r>
        <w:rPr>
          <w:rFonts w:ascii="Times New Roman" w:hAnsi="Times New Roman" w:eastAsia="Times New Roman" w:cs="Times New Roman"/>
          <w:color w:val="000000" w:themeColor="text1"/>
          <w:sz w:val="24"/>
          <w:szCs w:val="24"/>
        </w:rPr>
        <w:instrText xml:space="preserve">ated-urls&gt;&lt;/urls&gt;&lt;custom2&gt;PMC4302049&lt;/custom2&gt;&lt;electronic-resource-num&gt;10.1186/s13059-014-0550-8&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(Love, et al., 2014)</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 using default parameters (blind = FALSE). Principal component analysis (PCA) was performed on the VST-transformed matrix for exploratory analysis and visualization using the </w:t>
      </w:r>
      <w:r>
        <w:rPr>
          <w:rFonts w:ascii="Times New Roman" w:hAnsi="Times New Roman" w:eastAsia="Times New Roman" w:cs="Times New Roman"/>
          <w:color w:val="000000" w:themeColor="text1"/>
          <w:sz w:val="24"/>
          <w:szCs w:val="24"/>
        </w:rPr>
        <w:t xml:space="preserve">prcomp</w:t>
      </w:r>
      <w:r>
        <w:rPr>
          <w:rFonts w:ascii="Times New Roman" w:hAnsi="Times New Roman" w:eastAsia="Times New Roman" w:cs="Times New Roman"/>
          <w:color w:val="000000" w:themeColor="text1"/>
          <w:sz w:val="24"/>
          <w:szCs w:val="24"/>
        </w:rPr>
        <w:t xml:space="preserve"> function in R.</w:t>
      </w:r>
      <w:r>
        <w:rPr>
          <w:rFonts w:ascii="Times New Roman" w:hAnsi="Times New Roman" w:eastAsia="Times New Roman" w:cs="Times New Roman"/>
          <w:color w:val="000000"/>
        </w:rPr>
      </w:r>
      <w:r>
        <w:rPr>
          <w:rFonts w:ascii="Times New Roman" w:hAnsi="Times New Roman" w:eastAsia="Times New Roman" w:cs="Times New Roman"/>
          <w:color w:val="000000"/>
        </w:rPr>
      </w:r>
    </w:p>
    <w:p w14:paraId="6293098E"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themeColor="text1"/>
          <w:sz w:val="24"/>
          <w:szCs w:val="24"/>
        </w:rPr>
        <w:t xml:space="preserve">All downstream analyses were performed on this gene-level VST matrix. Hereafter, gene-level expression estimates are referred to simply as genes for clarity.</w:t>
      </w:r>
      <w:r>
        <w:t xml:space="preserve"> </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DE27CE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2.4. Condition-level and partition-specific effect estimation</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34DE8E7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Condition-level differential expression was estimated using a linear modeling framework implemented in </w:t>
      </w:r>
      <w:r>
        <w:rPr>
          <w:rFonts w:ascii="Times New Roman" w:hAnsi="Times New Roman" w:eastAsia="Times New Roman" w:cs="Times New Roman"/>
          <w:b/>
          <w:color w:val="000000"/>
          <w:sz w:val="24"/>
        </w:rPr>
        <w:t xml:space="preserve">limma</w:t>
      </w:r>
      <w:r>
        <w:rPr>
          <w:rFonts w:ascii="Times New Roman" w:hAnsi="Times New Roman" w:eastAsia="Times New Roman" w:cs="Times New Roman"/>
          <w:color w:val="000000"/>
          <w:sz w:val="24"/>
        </w:rPr>
        <w:t xml:space="preserve">, in which all samples assigned to an experimental condition were analyzed jointly to estimate a single treatment-control effect for e</w:t>
      </w:r>
      <w:r>
        <w:rPr>
          <w:rFonts w:ascii="Times New Roman" w:hAnsi="Times New Roman" w:eastAsia="Times New Roman" w:cs="Times New Roman"/>
          <w:color w:val="000000"/>
          <w:sz w:val="24"/>
        </w:rPr>
        <w:t xml:space="preserve">ach gene. Partition-specific differential-expression estimates were obtained using the same framework, but treatment-control contrasts were calculated independently within predefined biological partitions, including biological subgroups or temporal phases.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90C88A7" w14:textId="63E7CB8F">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For each gene </w:t>
      </w:r>
      <m:oMath>
        <m:r>
          <w:rPr>
            <w:rFonts w:ascii="Cambria Math" w:hAnsi="Cambria Math" w:eastAsia="Cambria Math" w:cs="Cambria Math"/>
            <w:color w:val="000000"/>
            <w:sz w:val="24"/>
            <w:szCs w:val="24"/>
            <w:lang w:bidi="en-US"/>
          </w:rPr>
          <m:rPr/>
          <m:t>i</m:t>
        </m:r>
      </m:oMath>
      <w:r>
        <w:rPr>
          <w:rFonts w:ascii="Times New Roman" w:hAnsi="Times New Roman" w:eastAsia="Times New Roman" w:cs="Times New Roman"/>
          <w:color w:val="000000"/>
          <w:sz w:val="24"/>
          <w:szCs w:val="24"/>
        </w:rPr>
        <w:t xml:space="preserve">, differential expression was estimated as </w:t>
      </w: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log₂ fold change (</w:t>
      </w:r>
      <w:r>
        <w:rPr>
          <w:rFonts w:ascii="Times New Roman" w:hAnsi="Times New Roman" w:eastAsia="Times New Roman" w:cs="Times New Roman"/>
          <w:color w:val="000000"/>
          <w:sz w:val="24"/>
          <w:szCs w:val="24"/>
        </w:rPr>
        <w:t xml:space="preserve">log₂FC</w:t>
      </w:r>
      <w:r>
        <w:rPr>
          <w:rFonts w:ascii="Times New Roman" w:hAnsi="Times New Roman" w:eastAsia="Times New Roman" w:cs="Times New Roman"/>
          <w:color w:val="000000"/>
          <w:sz w:val="24"/>
          <w:szCs w:val="24"/>
        </w:rPr>
        <w:t xml:space="preserve">). Let </w:t>
      </w:r>
      <m:oMath>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sz w:val="24"/>
                <w:szCs w:val="24"/>
                <w:lang w:bidi="en-US"/>
              </w:rPr>
              <m:rPr/>
              <m:t>i,k</m:t>
            </m:r>
          </m:sub>
        </m:sSub>
      </m:oMath>
      <w:r>
        <w:rPr>
          <w:rFonts w:ascii="Times New Roman" w:hAnsi="Times New Roman" w:eastAsia="Times New Roman" w:cs="Times New Roman"/>
          <w:color w:val="000000"/>
          <w:sz w:val="24"/>
          <w:szCs w:val="24"/>
        </w:rPr>
        <w:t xml:space="preserve">​ denote the partition-specific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lang w:bidi="en-US"/>
              </w:rPr>
              <m:rPr/>
              <m:t>log</m:t>
            </m:r>
          </m:e>
          <m:sub>
            <m:r>
              <w:rPr>
                <w:rFonts w:ascii="Cambria Math" w:hAnsi="Cambria Math" w:eastAsia="Cambria Math" w:cs="Cambria Math"/>
                <w:color w:val="000000"/>
                <w:sz w:val="24"/>
                <w:szCs w:val="24"/>
                <w:lang w:bidi="en-US"/>
              </w:rPr>
              <m:rPr/>
              <m:t>2</m:t>
            </m:r>
          </m:sub>
        </m:sSub>
      </m:oMath>
      <w:r>
        <w:rPr>
          <w:rFonts w:ascii="Times New Roman" w:hAnsi="Times New Roman" w:eastAsia="Times New Roman" w:cs="Times New Roman"/>
          <w:color w:val="000000"/>
          <w:sz w:val="24"/>
          <w:szCs w:val="24"/>
        </w:rPr>
        <w:t xml:space="preserve">​ fold change for gene </w:t>
      </w:r>
      <m:oMath>
        <m:r>
          <w:rPr>
            <w:rFonts w:ascii="Cambria Math" w:hAnsi="Cambria Math"/>
            <w:sz w:val="24"/>
            <w:szCs w:val="24"/>
            <w:lang w:bidi="en-US"/>
          </w:rPr>
          <m:rPr/>
          <m:t>i</m:t>
        </m:r>
      </m:oMath>
      <w:r>
        <w:rPr>
          <w:rFonts w:ascii="Times New Roman" w:hAnsi="Times New Roman" w:eastAsia="Times New Roman" w:cs="Times New Roman"/>
          <w:color w:val="000000"/>
          <w:sz w:val="24"/>
          <w:szCs w:val="24"/>
        </w:rPr>
        <w:t xml:space="preserve"> in </w:t>
      </w:r>
      <w:r>
        <w:rPr>
          <w:rFonts w:ascii="Times New Roman" w:hAnsi="Times New Roman" w:eastAsia="Times New Roman" w:cs="Times New Roman"/>
          <w:color w:val="000000"/>
          <w:sz w:val="24"/>
        </w:rPr>
        <w:t xml:space="preserve">biological </w:t>
      </w:r>
      <w:r>
        <w:rPr>
          <w:rFonts w:ascii="Times New Roman" w:hAnsi="Times New Roman" w:eastAsia="Times New Roman" w:cs="Times New Roman"/>
          <w:color w:val="000000"/>
          <w:sz w:val="24"/>
          <w:szCs w:val="24"/>
        </w:rPr>
        <w:t xml:space="preserve">partition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where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is the total number of predefined</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partitions.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50E3608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condition-level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pool,i</m:t>
            </m:r>
          </m:sub>
        </m:sSub>
      </m:oMath>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rPr>
        <w:t xml:space="preserve">(where </w:t>
      </w:r>
      <w:r>
        <w:rPr>
          <w:rFonts w:ascii="Times New Roman" w:hAnsi="Times New Roman" w:eastAsia="Times New Roman" w:cs="Times New Roman"/>
          <w:b/>
          <w:bCs/>
          <w:color w:val="000000"/>
          <w:sz w:val="24"/>
        </w:rPr>
        <w:t xml:space="preserve">pool</w:t>
      </w:r>
      <w:r>
        <w:rPr>
          <w:rFonts w:ascii="Times New Roman" w:hAnsi="Times New Roman" w:eastAsia="Times New Roman" w:cs="Times New Roman"/>
          <w:b/>
          <w:bCs/>
          <w:color w:val="000000"/>
          <w:sz w:val="24"/>
        </w:rPr>
        <w:t xml:space="preserve"> </w:t>
      </w:r>
      <w:r>
        <w:rPr>
          <w:rFonts w:ascii="Times New Roman" w:hAnsi="Times New Roman" w:eastAsia="Times New Roman" w:cs="Times New Roman"/>
          <w:color w:val="000000"/>
          <w:sz w:val="24"/>
        </w:rPr>
        <w:t xml:space="preserve">denotes the </w:t>
      </w:r>
      <w:r>
        <w:rPr>
          <w:rFonts w:ascii="Times New Roman" w:hAnsi="Times New Roman" w:eastAsia="Times New Roman" w:cs="Times New Roman"/>
          <w:b/>
          <w:color w:val="000000"/>
          <w:sz w:val="24"/>
        </w:rPr>
        <w:t xml:space="preserve">condition-level</w:t>
      </w:r>
      <w:r>
        <w:rPr>
          <w:rFonts w:ascii="Times New Roman" w:hAnsi="Times New Roman" w:eastAsia="Times New Roman" w:cs="Times New Roman"/>
          <w:color w:val="000000"/>
          <w:sz w:val="24"/>
        </w:rPr>
        <w:t xml:space="preserve"> differential-expression estimate),</w:t>
      </w:r>
      <w:r>
        <w:rPr>
          <w:rFonts w:ascii="Times New Roman" w:hAnsi="Times New Roman" w:eastAsia="Times New Roman" w:cs="Times New Roman"/>
          <w:color w:val="000000"/>
          <w:sz w:val="24"/>
          <w:szCs w:val="24"/>
        </w:rPr>
        <w:t xml:space="preserve"> was defined as the treatment–control </w:t>
      </w:r>
      <m:oMath>
        <m:sSub>
          <m:sSubPr>
            <m:ctrlPr>
              <w:rPr>
                <w:rFonts w:ascii="Cambria Math" w:hAnsi="Cambria Math" w:eastAsia="Cambria Math" w:cs="Cambria Math"/>
                <w:i/>
                <w:color w:val="000000"/>
                <w:sz w:val="24"/>
                <w:szCs w:val="24"/>
              </w:rPr>
            </m:ctrlPr>
          </m:sSubPr>
          <m:e>
            <m:r>
              <w:rPr>
                <w:rFonts w:ascii="Cambria Math" w:hAnsi="Cambria Math" w:eastAsia="Cambria Math" w:cs="Cambria Math"/>
                <w:color w:val="000000"/>
                <w:sz w:val="24"/>
                <w:szCs w:val="24"/>
                <w:lang w:bidi="en-US"/>
              </w:rPr>
              <m:rPr/>
              <m:t>log</m:t>
            </m:r>
          </m:e>
          <m:sub>
            <m:r>
              <w:rPr>
                <w:rFonts w:ascii="Cambria Math" w:hAnsi="Cambria Math" w:eastAsia="Cambria Math" w:cs="Cambria Math"/>
                <w:color w:val="000000"/>
                <w:sz w:val="24"/>
                <w:szCs w:val="24"/>
                <w:lang w:bidi="en-US"/>
              </w:rPr>
              <m:rPr/>
              <m:t>2</m:t>
            </m:r>
          </m:sub>
        </m:sSub>
      </m:oMath>
      <w:r>
        <w:rPr>
          <w:rFonts w:ascii="Times New Roman" w:hAnsi="Times New Roman" w:eastAsia="Times New Roman" w:cs="Times New Roman"/>
          <w:color w:val="000000"/>
          <w:sz w:val="24"/>
          <w:szCs w:val="24"/>
        </w:rPr>
        <w:t xml:space="preserve">​ fold change estimated from the condition-level differential-expression model </w:t>
      </w:r>
      <w:r>
        <w:rPr>
          <w:rFonts w:ascii="Times New Roman" w:hAnsi="Times New Roman" w:eastAsia="Times New Roman" w:cs="Times New Roman"/>
          <w:color w:val="000000"/>
          <w:sz w:val="24"/>
          <w:szCs w:val="24"/>
        </w:rPr>
        <w:t xml:space="preserve">using</w:t>
      </w:r>
      <w:r>
        <w:rPr>
          <w:rFonts w:ascii="Times New Roman" w:hAnsi="Times New Roman" w:eastAsia="Times New Roman" w:cs="Times New Roman"/>
          <w:color w:val="000000"/>
          <w:sz w:val="24"/>
          <w:szCs w:val="24"/>
        </w:rPr>
        <w:t xml:space="preserve"> all samples assigned to the experimental condition. This estimate represents the overall treatment–control response</w:t>
      </w:r>
      <w:r>
        <w:rPr>
          <w:rFonts w:ascii="Times New Roman" w:hAnsi="Times New Roman" w:eastAsia="Times New Roman" w:cs="Times New Roman"/>
          <w:color w:val="000000"/>
          <w:sz w:val="24"/>
          <w:szCs w:val="24"/>
        </w:rPr>
        <w:t xml:space="preserve"> for </w:t>
      </w:r>
      <w:r>
        <w:rPr>
          <w:rFonts w:ascii="Times New Roman" w:hAnsi="Times New Roman" w:eastAsia="Times New Roman" w:cs="Times New Roman"/>
          <w:color w:val="000000"/>
          <w:sz w:val="24"/>
          <w:szCs w:val="24"/>
        </w:rPr>
        <w:t xml:space="preserve">each gene </w:t>
      </w:r>
      <m:oMath>
        <m:r>
          <w:rPr>
            <w:rFonts w:ascii="Cambria Math" w:hAnsi="Cambria Math" w:eastAsia="Cambria Math" w:cs="Cambria Math"/>
            <w:color w:val="000000"/>
            <w:sz w:val="24"/>
            <w:szCs w:val="24"/>
            <w:lang w:bidi="en-US"/>
          </w:rPr>
          <m:rPr/>
          <m:t>i</m:t>
        </m:r>
      </m:oMath>
      <w:r>
        <w:rPr>
          <w:rFonts w:ascii="Times New Roman" w:hAnsi="Times New Roman" w:eastAsia="Times New Roman" w:cs="Times New Roman"/>
          <w:color w:val="000000"/>
          <w:sz w:val="24"/>
          <w:szCs w:val="24"/>
        </w:rPr>
        <w:t xml:space="preserve">, but does not retain</w:t>
      </w:r>
      <w:r>
        <w:rPr>
          <w:rFonts w:ascii="Times New Roman" w:hAnsi="Times New Roman" w:eastAsia="Times New Roman" w:cs="Times New Roman"/>
          <w:color w:val="000000"/>
          <w:sz w:val="24"/>
          <w:szCs w:val="24"/>
        </w:rPr>
        <w:t xml:space="preserve"> partition-specific response structure.</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DFC2B63" w14:textId="77777777">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For descriptive comparison across biological partitions, the mean partition-specific</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effect for </w:t>
      </w:r>
      <w:r>
        <w:rPr>
          <w:rFonts w:ascii="Times New Roman" w:hAnsi="Times New Roman" w:eastAsia="Times New Roman" w:cs="Times New Roman"/>
          <w:color w:val="000000" w:themeColor="text1"/>
          <w:sz w:val="24"/>
          <w:szCs w:val="24"/>
        </w:rPr>
        <w:t xml:space="preserve">gene </w:t>
      </w:r>
      <w:r>
        <w:rPr>
          <w:rFonts w:ascii="Times New Roman" w:hAnsi="Times New Roman" w:eastAsia="Times New Roman" w:cs="Times New Roman"/>
          <w:i/>
          <w:iCs/>
          <w:color w:val="000000" w:themeColor="text1"/>
          <w:sz w:val="24"/>
          <w:szCs w:val="24"/>
        </w:rPr>
        <w:t xml:space="preserve">i</w:t>
      </w:r>
      <w:r>
        <w:rPr>
          <w:rFonts w:ascii="Times New Roman" w:hAnsi="Times New Roman" w:eastAsia="Times New Roman" w:cs="Times New Roman"/>
          <w:color w:val="000000" w:themeColor="text1"/>
          <w:sz w:val="24"/>
          <w:szCs w:val="24"/>
        </w:rPr>
        <w:t xml:space="preserve"> was defined as: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0E193BDA" w14:textId="77777777">
      <w:pPr>
        <w:pBdr>
          <w:top w:val="none" w:color="000000" w:sz="4" w:space="0"/>
          <w:left w:val="none" w:color="000000" w:sz="4" w:space="0"/>
          <w:bottom w:val="none" w:color="000000" w:sz="4" w:space="0"/>
          <w:right w:val="none" w:color="000000" w:sz="4" w:space="0"/>
        </w:pBdr>
        <w:spacing/>
        <w:ind/>
        <w:rPr/>
      </w:pPr>
      <w:r/>
      <m:oMathPara>
        <m:oMathParaPr/>
        <m:oMath>
          <m:sSub>
            <m:sSubPr>
              <m:ctrlPr>
                <w:rPr>
                  <w:rFonts w:ascii="Cambria Math" w:hAnsi="Cambria Math"/>
                  <w:sz w:val="20"/>
                  <w:szCs w:val="20"/>
                </w:rPr>
              </m:ctrlPr>
            </m:sSubPr>
            <m:e>
              <m:groupChr>
                <m:groupChrPr>
                  <m:chr m:val="¯"/>
                  <m:pos m:val="top"/>
                  <m:vertJc m:val="bot"/>
                  <m:ctrlPr>
                    <w:rPr>
                      <w:rFonts w:ascii="Cambria Math" w:hAnsi="Cambria Math"/>
                      <w:sz w:val="20"/>
                      <w:szCs w:val="20"/>
                    </w:rPr>
                  </m:ctrlPr>
                </m:groupChrPr>
                <m:e>
                  <m:r>
                    <w:rPr>
                      <w:rFonts w:ascii="Cambria Math" w:hAnsi="Cambria Math"/>
                      <w:sz w:val="20"/>
                      <w:szCs w:val="20"/>
                    </w:rPr>
                    <m:rPr/>
                    <m:t>Δ</m:t>
                  </m:r>
                </m:e>
              </m:groupChr>
            </m:e>
            <m:sub>
              <m:r>
                <w:rPr>
                  <w:rFonts w:ascii="Cambria Math" w:hAnsi="Cambria Math"/>
                  <w:sz w:val="20"/>
                  <w:szCs w:val="20"/>
                </w:rPr>
                <m:rPr/>
                <m:t>i</m:t>
              </m:r>
            </m:sub>
          </m:sSub>
          <m:r>
            <w:rPr>
              <w:rFonts w:ascii="Cambria Math" w:hAnsi="Cambria Math"/>
              <w:sz w:val="20"/>
              <w:szCs w:val="20"/>
            </w:rPr>
            <m:rPr/>
            <m:t>=</m:t>
          </m:r>
          <m:f>
            <m:fPr>
              <m:ctrlPr>
                <w:rPr>
                  <w:rFonts w:ascii="Cambria Math" w:hAnsi="Cambria Math"/>
                  <w:sz w:val="20"/>
                  <w:szCs w:val="20"/>
                </w:rPr>
              </m:ctrlPr>
            </m:fPr>
            <m:num>
              <m:r>
                <w:rPr>
                  <w:rFonts w:ascii="Cambria Math" w:hAnsi="Cambria Math"/>
                  <w:sz w:val="20"/>
                  <w:szCs w:val="20"/>
                </w:rPr>
                <m:rPr/>
                <m:t>1</m:t>
              </m:r>
            </m:num>
            <m:den>
              <m:r>
                <w:rPr>
                  <w:rFonts w:ascii="Cambria Math" w:hAnsi="Cambria Math"/>
                  <w:sz w:val="20"/>
                  <w:szCs w:val="20"/>
                </w:rPr>
                <m:rPr/>
                <m:t>K</m:t>
              </m:r>
            </m:den>
          </m:f>
          <m:nary>
            <m:naryPr>
              <m:chr m:val="∑"/>
              <m:grow m:val="off"/>
              <m:limLoc m:val="undOvr"/>
              <m:ctrlPr>
                <w:rPr>
                  <w:rFonts w:ascii="Cambria Math" w:hAnsi="Cambria Math"/>
                  <w:sz w:val="20"/>
                  <w:szCs w:val="20"/>
                </w:rPr>
              </m:ctrlPr>
            </m:naryPr>
            <m:sub>
              <m:r>
                <w:rPr>
                  <w:rFonts w:ascii="Cambria Math" w:hAnsi="Cambria Math"/>
                  <w:sz w:val="20"/>
                  <w:szCs w:val="20"/>
                </w:rPr>
                <m:rPr/>
                <m:t>k=1</m:t>
              </m:r>
            </m:sub>
            <m:sup>
              <m:r>
                <w:rPr>
                  <w:rFonts w:ascii="Cambria Math" w:hAnsi="Cambria Math"/>
                  <w:sz w:val="20"/>
                  <w:szCs w:val="20"/>
                </w:rPr>
                <m:rPr/>
                <m:t>K</m:t>
              </m:r>
            </m:sup>
            <m:e>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i,k</m:t>
                  </m:r>
                </m:sub>
              </m:sSub>
            </m:e>
          </m:nary>
        </m:oMath>
      </m:oMathPara>
      <w:r/>
      <w:r/>
    </w:p>
    <w:p w14:paraId="7919C73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r>
          <w:rPr>
            <w:rFonts w:ascii="Cambria Math" w:hAnsi="Cambria Math"/>
            <w:sz w:val="24"/>
            <w:szCs w:val="24"/>
            <w:lang w:bidi="en-US"/>
          </w:rPr>
          <m:rPr/>
          <m:t>K</m:t>
        </m:r>
      </m:oMath>
      <w:r>
        <w:rPr>
          <w:rFonts w:ascii="Times New Roman" w:hAnsi="Times New Roman" w:eastAsia="Times New Roman" w:cs="Times New Roman"/>
          <w:color w:val="000000"/>
          <w:sz w:val="24"/>
          <w:szCs w:val="24"/>
        </w:rPr>
        <w:t xml:space="preserve"> denotes the number of </w:t>
      </w:r>
      <w:r>
        <w:rPr>
          <w:rFonts w:ascii="Times New Roman" w:hAnsi="Times New Roman" w:eastAsia="Times New Roman" w:cs="Times New Roman"/>
          <w:color w:val="000000" w:themeColor="text1"/>
          <w:sz w:val="24"/>
          <w:szCs w:val="24"/>
        </w:rPr>
        <w:t xml:space="preserve">biological </w:t>
      </w:r>
      <w:r>
        <w:rPr>
          <w:rFonts w:ascii="Times New Roman" w:hAnsi="Times New Roman" w:eastAsia="Times New Roman" w:cs="Times New Roman"/>
          <w:color w:val="000000"/>
          <w:sz w:val="24"/>
          <w:szCs w:val="24"/>
        </w:rPr>
        <w:t xml:space="preserve">partitions</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CFCDC4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Partition-specific effects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i,k</m:t>
            </m:r>
          </m:sub>
        </m:sSub>
      </m:oMath>
      <w:r>
        <w:rPr>
          <w:rFonts w:ascii="Times New Roman" w:hAnsi="Times New Roman" w:eastAsia="Times New Roman" w:cs="Times New Roman"/>
          <w:color w:val="000000"/>
          <w:sz w:val="24"/>
          <w:szCs w:val="24"/>
        </w:rPr>
        <w:t xml:space="preserve"> were used to quantify response divergence across </w:t>
      </w:r>
      <w:r>
        <w:rPr>
          <w:rFonts w:ascii="Times New Roman" w:hAnsi="Times New Roman" w:eastAsia="Times New Roman" w:cs="Times New Roman"/>
          <w:color w:val="000000" w:themeColor="text1"/>
          <w:sz w:val="24"/>
          <w:szCs w:val="24"/>
        </w:rPr>
        <w:t xml:space="preserve">biological </w:t>
      </w:r>
      <w:r>
        <w:rPr>
          <w:rFonts w:ascii="Times New Roman" w:hAnsi="Times New Roman" w:eastAsia="Times New Roman" w:cs="Times New Roman"/>
          <w:color w:val="000000"/>
          <w:sz w:val="24"/>
          <w:szCs w:val="24"/>
        </w:rPr>
        <w:t xml:space="preserve">partitions, whereas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t xml:space="preserve">the condition-level effect </w:t>
      </w:r>
      <m:oMath>
        <m:sSub>
          <m:sSubPr>
            <m:ctrlPr>
              <w:rPr>
                <w:rFonts w:ascii="Cambria Math" w:hAnsi="Cambria Math" w:eastAsia="Cambria Math" w:cs="Cambria Math"/>
                <w:color w:val="000000"/>
                <w:sz w:val="24"/>
              </w:rPr>
            </m:ctrlPr>
          </m:sSubPr>
          <m:e>
            <m:r>
              <w:rPr>
                <w:rFonts w:ascii="Cambria Math" w:hAnsi="Cambria Math" w:eastAsia="Cambria Math" w:cs="Cambria Math"/>
                <w:color w:val="000000"/>
                <w:sz w:val="24"/>
                <w:szCs w:val="24"/>
                <w:lang w:bidi="en-US"/>
              </w:rPr>
              <m:rPr/>
              <m:t>Δ</m:t>
            </m:r>
          </m:e>
          <m:sub>
            <m:r>
              <w:rPr>
                <w:rFonts w:ascii="Cambria Math" w:hAnsi="Cambria Math" w:eastAsia="Cambria Math" w:cs="Cambria Math"/>
                <w:color w:val="000000"/>
                <w:sz w:val="24"/>
                <w:szCs w:val="24"/>
                <w:lang w:bidi="en-US"/>
              </w:rPr>
              <m:rPr/>
              <m:t>pool,i</m:t>
            </m:r>
          </m:sub>
        </m:sSub>
      </m:oMath>
      <w:r>
        <w:rPr>
          <w:rFonts w:ascii="Times New Roman" w:hAnsi="Times New Roman" w:eastAsia="Times New Roman" w:cs="Times New Roman"/>
          <w:color w:val="000000"/>
          <w:sz w:val="24"/>
          <w:szCs w:val="24"/>
        </w:rPr>
        <w:t xml:space="preserve"> was used for masked-gene identification and condition-level gene-ranking analyses.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3B9B7253"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2.5. </w:t>
      </w:r>
      <w:r>
        <w:rPr>
          <w:rFonts w:ascii="Times New Roman" w:hAnsi="Times New Roman" w:eastAsia="Times New Roman" w:cs="Times New Roman"/>
          <w:b/>
          <w:bCs/>
          <w:color w:val="000000" w:themeColor="text1"/>
          <w:sz w:val="24"/>
          <w:szCs w:val="24"/>
        </w:rPr>
        <w:t xml:space="preserve">Instability score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57DAE98"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rPr>
      </w:pPr>
      <w:r>
        <w:rPr>
          <w:rFonts w:ascii="Times New Roman" w:hAnsi="Times New Roman" w:eastAsia="Times New Roman" w:cs="Times New Roman"/>
          <w:color w:val="000000"/>
          <w:sz w:val="24"/>
        </w:rPr>
        <w:t xml:space="preserve">Instability was defined to quantify internal response disagreement across predefined biological partitions by combining effect divergence and directional inconsistency.</w:t>
      </w:r>
      <w:r>
        <w:rPr>
          <w:rFonts w:ascii="Times New Roman" w:hAnsi="Times New Roman" w:eastAsia="Times New Roman" w:cs="Times New Roman"/>
          <w:sz w:val="24"/>
        </w:rPr>
      </w:r>
      <w:r>
        <w:rPr>
          <w:rFonts w:ascii="Times New Roman" w:hAnsi="Times New Roman" w:eastAsia="Times New Roman" w:cs="Times New Roman"/>
          <w:sz w:val="24"/>
        </w:rPr>
      </w:r>
    </w:p>
    <w:p w14:paraId="519FF24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Effect divergence was defined as: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001D9D2E" w14:textId="77777777">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color w:val="000000" w:themeColor="text1"/>
          <w:sz w:val="24"/>
          <w:szCs w:val="24"/>
        </w:rPr>
        <w:t xml:space="preserve">for subgroup-based conditions: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0B23A0F7" w14:textId="77777777">
      <w:pPr>
        <w:pBdr>
          <w:top w:val="none" w:color="000000" w:sz="4" w:space="0"/>
          <w:left w:val="none" w:color="000000" w:sz="4" w:space="0"/>
          <w:bottom w:val="none" w:color="000000" w:sz="4" w:space="0"/>
          <w:right w:val="none" w:color="000000" w:sz="4" w:space="0"/>
        </w:pBdr>
        <w:shd w:val="clear" w:color="ffffff" w:fill="ffffff"/>
        <w:spacing w:after="0"/>
        <w:ind/>
        <w:jc w:val="center"/>
        <w:rPr/>
      </w:pPr>
      <w:r/>
      <m:oMathPara>
        <m:oMathParaPr/>
        <m:oMath>
          <m:sSub>
            <m:sSubPr>
              <m:ctrlPr>
                <w:rPr>
                  <w:rFonts w:ascii="Cambria Math" w:hAnsi="Cambria Math"/>
                  <w:sz w:val="20"/>
                  <w:szCs w:val="20"/>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i,1</m:t>
              </m:r>
            </m:sub>
          </m:sSub>
          <m:r>
            <w:rPr>
              <w:rFonts w:ascii="Cambria Math" w:hAnsi="Cambria Math"/>
              <w:sz w:val="20"/>
              <w:szCs w:val="20"/>
            </w:rPr>
            <m:rPr/>
            <m:t>-</m:t>
          </m:r>
          <m:sSub>
            <m:sSubPr>
              <m:ctrlPr>
                <w:rPr>
                  <w:rFonts w:ascii="Cambria Math" w:hAnsi="Cambria Math"/>
                  <w:sz w:val="20"/>
                  <w:szCs w:val="20"/>
                </w:rPr>
              </m:ctrlPr>
            </m:sSubPr>
            <m:e>
              <m:r>
                <w:rPr>
                  <w:rFonts w:ascii="Cambria Math" w:hAnsi="Cambria Math"/>
                  <w:sz w:val="20"/>
                  <w:szCs w:val="20"/>
                </w:rPr>
                <m:rPr/>
                <m:t>Δ</m:t>
              </m:r>
            </m:e>
            <m:sub>
              <m:r>
                <w:rPr>
                  <w:rFonts w:ascii="Cambria Math" w:hAnsi="Cambria Math"/>
                  <w:sz w:val="20"/>
                  <w:szCs w:val="20"/>
                </w:rPr>
                <m:rPr/>
                <m:t>i,2</m:t>
              </m:r>
            </m:sub>
          </m:sSub>
          <m:r>
            <w:rPr>
              <w:rFonts w:ascii="Cambria Math" w:hAnsi="Cambria Math"/>
              <w:sz w:val="20"/>
              <w:szCs w:val="20"/>
            </w:rPr>
            <m:rPr/>
            <m:t>∣</m:t>
          </m:r>
        </m:oMath>
      </m:oMathPara>
      <w:r/>
      <w:r/>
    </w:p>
    <w:p w14:paraId="70E2E07F" w14:textId="77777777">
      <w:pPr>
        <w:pStyle w:val="1103"/>
        <w:numPr>
          <w:ilvl w:val="0"/>
          <w:numId w:val="2"/>
        </w:num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b/>
          <w:bCs/>
          <w:sz w:val="24"/>
          <w:szCs w:val="24"/>
        </w:rPr>
      </w:pPr>
      <w:r>
        <w:rPr>
          <w:rFonts w:ascii="Times New Roman" w:hAnsi="Times New Roman" w:eastAsia="Times New Roman" w:cs="Times New Roman"/>
          <w:b/>
          <w:bCs/>
          <w:color w:val="000000" w:themeColor="text1"/>
          <w:sz w:val="24"/>
          <w:szCs w:val="24"/>
        </w:rPr>
        <w:t xml:space="preserve">for temporal conditions: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4ACB5C44" w14:textId="77777777">
      <w:pPr>
        <w:pBdr/>
        <w:spacing/>
        <w:ind/>
        <w:jc w:val="center"/>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m:t>
          </m:r>
          <m:limLow>
            <m:limLowPr>
              <m:ctrlPr>
                <w:rPr>
                  <w:rFonts w:ascii="Cambria Math" w:hAnsi="Cambria Math" w:eastAsia="Cambria Math" w:cs="Cambria Math"/>
                  <w:sz w:val="20"/>
                  <w:szCs w:val="18"/>
                </w:rPr>
              </m:ctrlPr>
            </m:limLowPr>
            <m:e>
              <m:r>
                <w:rPr>
                  <w:rFonts w:ascii="Cambria Math" w:hAnsi="Cambria Math"/>
                  <w:sz w:val="20"/>
                  <w:szCs w:val="20"/>
                </w:rPr>
                <m:rPr/>
                <m:t>max⁡</m:t>
              </m:r>
            </m:e>
            <m:lim>
              <m:r>
                <w:rPr>
                  <w:rFonts w:ascii="Cambria Math" w:hAnsi="Cambria Math"/>
                  <w:sz w:val="20"/>
                  <w:szCs w:val="20"/>
                </w:rPr>
                <m:rPr/>
                <m:t>t</m:t>
              </m:r>
            </m:lim>
          </m:limLow>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i,t</m:t>
              </m:r>
            </m:sub>
          </m:sSub>
          <m:r>
            <w:rPr>
              <w:rFonts w:ascii="Cambria Math" w:hAnsi="Cambria Math"/>
              <w:sz w:val="20"/>
              <w:szCs w:val="20"/>
            </w:rPr>
            <m:rPr/>
            <m:t>)-</m:t>
          </m:r>
          <m:limLow>
            <m:limLowPr>
              <m:ctrlPr>
                <w:rPr>
                  <w:rFonts w:ascii="Cambria Math" w:hAnsi="Cambria Math" w:eastAsia="Cambria Math" w:cs="Cambria Math"/>
                  <w:sz w:val="20"/>
                  <w:szCs w:val="18"/>
                </w:rPr>
              </m:ctrlPr>
            </m:limLowPr>
            <m:e>
              <m:r>
                <w:rPr>
                  <w:rFonts w:ascii="Cambria Math" w:hAnsi="Cambria Math"/>
                  <w:sz w:val="20"/>
                  <w:szCs w:val="20"/>
                </w:rPr>
                <m:rPr/>
                <m:t>min⁡</m:t>
              </m:r>
            </m:e>
            <m:lim>
              <m:r>
                <w:rPr>
                  <w:rFonts w:ascii="Cambria Math" w:hAnsi="Cambria Math"/>
                  <w:sz w:val="20"/>
                  <w:szCs w:val="20"/>
                </w:rPr>
                <m:rPr/>
                <m:t>t</m:t>
              </m:r>
            </m:lim>
          </m:limLow>
          <m:r>
            <w:rPr>
              <w:rFonts w:ascii="Cambria Math" w:hAnsi="Cambria Math" w:eastAsia="Cambria Math" w:cs="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i,t</m:t>
              </m:r>
            </m:sub>
          </m:sSub>
          <m:r>
            <w:rPr>
              <w:rFonts w:ascii="Cambria Math" w:hAnsi="Cambria Math"/>
              <w:sz w:val="20"/>
              <w:szCs w:val="20"/>
            </w:rPr>
            <m:rPr/>
            <m:t>)</m:t>
          </m:r>
        </m:oMath>
      </m:oMathPara>
      <w:r/>
      <w:r/>
    </w:p>
    <w:p w14:paraId="769F7C3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Directional discordance was defined as disagreement in the direction of differential expression across biological partitions. For subgroup-based conditions: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5F6DFA56"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C</m:t>
              </m:r>
            </m:e>
            <m:sub>
              <m:r>
                <w:rPr>
                  <w:rFonts w:ascii="Cambria Math" w:hAnsi="Cambria Math"/>
                  <w:sz w:val="20"/>
                  <w:szCs w:val="20"/>
                </w:rPr>
                <m:rPr/>
                <m:t>i</m:t>
              </m:r>
            </m:sub>
          </m:sSub>
          <m:r>
            <w:rPr>
              <w:rFonts w:ascii="Cambria Math" w:hAnsi="Cambria Math"/>
              <w:sz w:val="20"/>
              <w:szCs w:val="20"/>
            </w:rPr>
            <m:rPr/>
            <m:t>=</m:t>
          </m:r>
          <m:d>
            <m:dPr>
              <m:begChr m:val="{"/>
              <m:endChr m:val=""/>
              <m:shp m:val="match"/>
              <m:ctrlPr>
                <w:rPr>
                  <w:rFonts w:ascii="Cambria Math" w:hAnsi="Cambria Math" w:eastAsia="Cambria Math" w:cs="Cambria Math"/>
                  <w:sz w:val="20"/>
                  <w:szCs w:val="18"/>
                </w:rPr>
              </m:ctrlPr>
            </m:dPr>
            <m:e>
              <m:m>
                <m:mPr>
                  <m:baseJc m:val="center"/>
                  <m:cGp/>
                  <m:cGpRule/>
                  <m:cSp/>
                  <m:mcs>
                    <m:mc>
                      <m:mcPr>
                        <m:mcJc m:val="center"/>
                        <m:count m:val="2"/>
                      </m:mcPr>
                    </m:mc>
                  </m:mcs>
                  <m:plcHide m:val="off"/>
                  <m:rSp/>
                  <m:rSpRule/>
                  <m:ctrlPr>
                    <w:rPr>
                      <w:rFonts w:ascii="Cambria Math" w:hAnsi="Cambria Math" w:eastAsia="Cambria Math" w:cs="Cambria Math"/>
                      <w:sz w:val="20"/>
                      <w:szCs w:val="18"/>
                    </w:rPr>
                  </m:ctrlPr>
                </m:mPr>
                <m:mr>
                  <m:e>
                    <m:r>
                      <w:rPr>
                        <w:rFonts w:ascii="Cambria Math" w:hAnsi="Cambria Math"/>
                        <w:sz w:val="20"/>
                        <w:szCs w:val="20"/>
                      </w:rPr>
                      <m:rPr/>
                      <m:t>1,</m:t>
                    </m:r>
                  </m:e>
                  <m:e>
                    <m:r>
                      <w:rPr>
                        <w:rFonts w:ascii="Cambria Math" w:hAnsi="Cambria Math"/>
                        <w:sz w:val="20"/>
                        <w:szCs w:val="20"/>
                      </w:rPr>
                      <m:rPr/>
                      <m:t>if </m:t>
                    </m:r>
                    <m:func>
                      <m:funcPr>
                        <m:ctrlPr>
                          <w:rPr>
                            <w:rFonts w:ascii="Cambria Math" w:hAnsi="Cambria Math" w:eastAsia="Cambria Math" w:cs="Cambria Math"/>
                            <w:sz w:val="20"/>
                            <w:szCs w:val="18"/>
                          </w:rPr>
                        </m:ctrlPr>
                      </m:funcPr>
                      <m:fName>
                        <m:r>
                          <w:rPr>
                            <w:rFonts w:ascii="Cambria Math" w:hAnsi="Cambria Math" w:eastAsia="Cambria Math" w:cs="Cambria Math"/>
                            <w:sz w:val="18"/>
                            <w:szCs w:val="18"/>
                          </w:rPr>
                          <m:rPr/>
                          <m:t>sign</m:t>
                        </m:r>
                      </m:fName>
                      <m:e>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eastAsia="Cambria Math" w:cs="Cambria Math"/>
                                <w:sz w:val="20"/>
                                <w:szCs w:val="20"/>
                              </w:rPr>
                              <m:rPr/>
                              <m:t>Δ</m:t>
                            </m:r>
                          </m:e>
                          <m:sub>
                            <m:r>
                              <w:rPr>
                                <w:rFonts w:ascii="Cambria Math" w:hAnsi="Cambria Math" w:eastAsia="Cambria Math" w:cs="Cambria Math"/>
                                <w:sz w:val="20"/>
                                <w:szCs w:val="20"/>
                              </w:rPr>
                              <m:rPr/>
                              <m:t>i,1</m:t>
                            </m:r>
                          </m:sub>
                        </m:sSub>
                      </m:e>
                    </m:func>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sign</m:t>
                        </m:r>
                      </m:fName>
                      <m:e>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eastAsia="Cambria Math" w:cs="Cambria Math"/>
                                <w:sz w:val="20"/>
                                <w:szCs w:val="20"/>
                              </w:rPr>
                              <m:rPr/>
                              <m:t>Δ</m:t>
                            </m:r>
                          </m:e>
                          <m:sub>
                            <m:r>
                              <w:rPr>
                                <w:rFonts w:ascii="Cambria Math" w:hAnsi="Cambria Math" w:eastAsia="Cambria Math" w:cs="Cambria Math"/>
                                <w:sz w:val="20"/>
                                <w:szCs w:val="20"/>
                              </w:rPr>
                              <m:rPr/>
                              <m:t>i,2</m:t>
                            </m:r>
                          </m:sub>
                        </m:sSub>
                        <m:r>
                          <w:rPr>
                            <w:rFonts w:ascii="Cambria Math" w:hAnsi="Cambria Math" w:eastAsia="Cambria Math" w:cs="Cambria Math"/>
                            <w:sz w:val="20"/>
                            <w:szCs w:val="20"/>
                          </w:rPr>
                          <m:rPr/>
                          <m:t>)</m:t>
                        </m:r>
                      </m:e>
                    </m:func>
                  </m:e>
                </m:mr>
                <m:mr>
                  <m:e>
                    <m:r>
                      <w:rPr>
                        <w:rFonts w:ascii="Cambria Math" w:hAnsi="Cambria Math"/>
                        <w:sz w:val="20"/>
                        <w:szCs w:val="20"/>
                      </w:rPr>
                      <m:rPr/>
                      <m:t>0,</m:t>
                    </m:r>
                  </m:e>
                  <m:e>
                    <m:r>
                      <w:rPr>
                        <w:rFonts w:ascii="Cambria Math" w:hAnsi="Cambria Math"/>
                        <w:sz w:val="20"/>
                        <w:szCs w:val="20"/>
                      </w:rPr>
                      <m:rPr/>
                      <m:t>otherwise</m:t>
                    </m:r>
                  </m:e>
                </m:mr>
              </m:m>
            </m:e>
          </m:d>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929AEDA"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For temporal conditions, directional discordance was defined as the fraction of timepoints whose direction of differential expression differed from the dominant response direction.</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6F25B37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The instability score was then calculated as:</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1462C702"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
            <m:sSubPr>
              <m:ctrlPr>
                <w:rPr>
                  <w:rFonts w:ascii="Cambria Math" w:hAnsi="Cambria Math" w:eastAsia="Cambria Math" w:cs="Cambria Math"/>
                  <w:sz w:val="20"/>
                  <w:szCs w:val="18"/>
                </w:rPr>
              </m:ctrlPr>
            </m:sSubPr>
            <m:e>
              <m:r>
                <w:rPr>
                  <w:rFonts w:ascii="Cambria Math" w:hAnsi="Cambria Math"/>
                  <w:sz w:val="20"/>
                  <w:szCs w:val="20"/>
                </w:rPr>
                <m:rPr/>
                <m:t>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D</m:t>
              </m:r>
            </m:e>
            <m:sub>
              <m:r>
                <w:rPr>
                  <w:rFonts w:ascii="Cambria Math" w:hAnsi="Cambria Math"/>
                  <w:sz w:val="20"/>
                  <w:szCs w:val="20"/>
                </w:rPr>
                <m:rPr/>
                <m:t>i</m:t>
              </m:r>
            </m:sub>
          </m:sSub>
          <m:r>
            <w:rPr>
              <w:rFonts w:ascii="Cambria Math" w:hAnsi="Cambria Math"/>
              <w:sz w:val="20"/>
              <w:szCs w:val="20"/>
            </w:rPr>
            <m:rPr/>
            <m:t>⋅(1+</m:t>
          </m:r>
          <m:sSub>
            <m:sSubPr>
              <m:ctrlPr>
                <w:rPr>
                  <w:rFonts w:ascii="Cambria Math" w:hAnsi="Cambria Math" w:eastAsia="Cambria Math" w:cs="Cambria Math"/>
                  <w:sz w:val="20"/>
                  <w:szCs w:val="18"/>
                </w:rPr>
              </m:ctrlPr>
            </m:sSubPr>
            <m:e>
              <m:r>
                <w:rPr>
                  <w:rFonts w:ascii="Cambria Math" w:hAnsi="Cambria Math"/>
                  <w:sz w:val="20"/>
                  <w:szCs w:val="20"/>
                </w:rPr>
                <m:rPr/>
                <m:t>C</m:t>
              </m:r>
            </m:e>
            <m:sub>
              <m:r>
                <w:rPr>
                  <w:rFonts w:ascii="Cambria Math" w:hAnsi="Cambria Math"/>
                  <w:sz w:val="20"/>
                  <w:szCs w:val="20"/>
                </w:rPr>
                <m:rPr/>
                <m:t>i</m:t>
              </m:r>
            </m:sub>
          </m:sSub>
          <m:r>
            <w:rPr>
              <w:rFonts w:ascii="Cambria Math" w:hAnsi="Cambria Math"/>
              <w:sz w:val="20"/>
              <w:szCs w:val="20"/>
            </w:rPr>
            <m:rPr/>
            <m:t>)</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C79450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This formulation combines response magnitude divergence and di</w:t>
      </w:r>
      <w:r>
        <w:rPr>
          <w:rFonts w:ascii="Times New Roman" w:hAnsi="Times New Roman" w:eastAsia="Times New Roman" w:cs="Times New Roman"/>
          <w:color w:val="000000" w:themeColor="text1"/>
          <w:sz w:val="24"/>
          <w:szCs w:val="24"/>
        </w:rPr>
        <w:t xml:space="preserve">rectional inconsistency, representing the two principal components of structured internal response diversity across biological partitions. Consequently, instability increases with both increasing response divergence and increasing directional disagreement.</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435B262B"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2.6. </w:t>
      </w:r>
      <w:r>
        <w:rPr>
          <w:rFonts w:ascii="Times New Roman" w:hAnsi="Times New Roman" w:eastAsia="Times New Roman" w:cs="Times New Roman"/>
          <w:b/>
          <w:bCs/>
          <w:color w:val="000000" w:themeColor="text1"/>
          <w:sz w:val="24"/>
          <w:szCs w:val="24"/>
        </w:rPr>
        <w:t xml:space="preserve">Definition of masked genes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AD411AC"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Genes were classified as masked when weak condition-level differential expression coincided with high instability. </w:t>
      </w:r>
      <w:r>
        <w:rPr>
          <w:rFonts w:ascii="Times New Roman" w:hAnsi="Times New Roman" w:eastAsia="Times New Roman" w:cs="Times New Roman"/>
          <w:color w:val="000000"/>
          <w:sz w:val="24"/>
          <w:szCs w:val="24"/>
        </w:rPr>
        <w:t xml:space="preserve">Let </w:t>
      </w:r>
      <m:oMath>
        <m:sSub>
          <m:sSubPr>
            <m:ctrlPr>
              <w:rPr>
                <w:rFonts w:ascii="Cambria Math" w:hAnsi="Cambria Math" w:eastAsia="Cambria Math" w:cs="Cambria Math"/>
                <w:sz w:val="24"/>
              </w:rPr>
            </m:ctrlPr>
          </m:sSubPr>
          <m:e>
            <m:r>
              <w:rPr>
                <w:rFonts w:ascii="Cambria Math" w:hAnsi="Cambria Math"/>
                <w:sz w:val="24"/>
                <w:szCs w:val="24"/>
                <w:lang w:bidi="en-US"/>
              </w:rPr>
              <m:rPr/>
              <m:t>Q</m:t>
            </m:r>
          </m:e>
          <m:sub>
            <m:r>
              <w:rPr>
                <w:rFonts w:ascii="Cambria Math" w:hAnsi="Cambria Math"/>
                <w:sz w:val="24"/>
                <w:szCs w:val="24"/>
                <w:lang w:bidi="en-US"/>
              </w:rPr>
              <m:rPr/>
              <m:t>0.25</m:t>
            </m:r>
          </m:sub>
        </m:sSub>
      </m:oMath>
      <w:r>
        <w:rPr>
          <w:rFonts w:ascii="Times New Roman" w:hAnsi="Times New Roman" w:eastAsia="Times New Roman" w:cs="Times New Roman"/>
          <w:color w:val="000000"/>
          <w:sz w:val="24"/>
          <w:szCs w:val="24"/>
        </w:rPr>
        <w:t xml:space="preserve"> denote the 25th percentile of </w:t>
      </w:r>
      <m:oMath>
        <m:r>
          <w:rPr>
            <w:rFonts w:ascii="Cambria Math" w:hAnsi="Cambria Math"/>
            <w:sz w:val="24"/>
            <w:szCs w:val="24"/>
            <w:lang w:bidi="en-US"/>
          </w:rPr>
          <m:rPr/>
          <m:t>∣</m:t>
        </m:r>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eastAsia="Cambria Math" w:cs="Cambria Math"/>
                <w:sz w:val="24"/>
                <w:szCs w:val="24"/>
                <w:lang w:bidi="en-US"/>
              </w:rPr>
              <m:rPr/>
              <m:t>pool,i</m:t>
            </m:r>
          </m:sub>
        </m:sSub>
        <m:r>
          <w:rPr>
            <w:rFonts w:ascii="Cambria Math" w:hAnsi="Cambria Math"/>
            <w:sz w:val="24"/>
            <w:szCs w:val="24"/>
            <w:lang w:bidi="en-US"/>
          </w:rPr>
          <m:rPr/>
          <m:t>∣</m:t>
        </m:r>
      </m:oMath>
      <w:r>
        <w:rPr>
          <w:rFonts w:ascii="Times New Roman" w:hAnsi="Times New Roman" w:eastAsia="Times New Roman" w:cs="Times New Roman"/>
          <w:color w:val="000000"/>
          <w:sz w:val="24"/>
          <w:szCs w:val="24"/>
        </w:rPr>
        <w:t xml:space="preserve">, and </w:t>
      </w:r>
      <m:oMath>
        <m:sSub>
          <m:sSubPr>
            <m:ctrlPr>
              <w:rPr>
                <w:rFonts w:ascii="Cambria Math" w:hAnsi="Cambria Math" w:eastAsia="Cambria Math" w:cs="Cambria Math"/>
                <w:sz w:val="24"/>
              </w:rPr>
            </m:ctrlPr>
          </m:sSubPr>
          <m:e>
            <m:r>
              <w:rPr>
                <w:rFonts w:ascii="Cambria Math" w:hAnsi="Cambria Math"/>
                <w:sz w:val="24"/>
                <w:szCs w:val="24"/>
                <w:lang w:bidi="en-US"/>
              </w:rPr>
              <m:rPr/>
              <m:t>Q</m:t>
            </m:r>
          </m:e>
          <m:sub>
            <m:r>
              <w:rPr>
                <w:rFonts w:ascii="Cambria Math" w:hAnsi="Cambria Math"/>
                <w:sz w:val="24"/>
                <w:szCs w:val="24"/>
                <w:lang w:bidi="en-US"/>
              </w:rPr>
              <m:rPr/>
              <m:t>0.90</m:t>
            </m:r>
          </m:sub>
        </m:sSub>
      </m:oMath>
      <w:r>
        <w:rPr>
          <w:rFonts w:ascii="Times New Roman" w:hAnsi="Times New Roman" w:eastAsia="Times New Roman" w:cs="Times New Roman"/>
          <w:color w:val="000000"/>
          <w:sz w:val="24"/>
          <w:szCs w:val="24"/>
        </w:rPr>
        <w:t xml:space="preserve">​ the 90th percentile of instability. A gene </w:t>
      </w:r>
      <m:oMath>
        <m:r>
          <w:rPr>
            <w:rFonts w:ascii="Cambria Math" w:hAnsi="Cambria Math"/>
            <w:sz w:val="24"/>
            <w:szCs w:val="24"/>
            <w:lang w:bidi="en-US"/>
          </w:rPr>
          <m:rPr/>
          <m:t>i</m:t>
        </m:r>
      </m:oMath>
      <w:r>
        <w:rPr>
          <w:rFonts w:ascii="Times New Roman" w:hAnsi="Times New Roman" w:eastAsia="Times New Roman" w:cs="Times New Roman"/>
          <w:color w:val="000000"/>
          <w:sz w:val="24"/>
          <w:szCs w:val="24"/>
        </w:rPr>
        <w:t xml:space="preserve"> was defined as masked if:</w:t>
      </w:r>
      <w:r/>
    </w:p>
    <w:p w14:paraId="54B6A2FD" w14:textId="77777777">
      <w:pPr>
        <w:pBdr>
          <w:top w:val="none" w:color="000000" w:sz="4" w:space="0"/>
          <w:left w:val="none" w:color="000000" w:sz="4" w:space="0"/>
          <w:bottom w:val="none" w:color="000000" w:sz="4" w:space="0"/>
          <w:right w:val="none" w:color="000000" w:sz="4" w:space="0"/>
        </w:pBdr>
        <w:spacing/>
        <w:ind/>
        <w:jc w:val="both"/>
        <w:rPr/>
      </w:pPr>
      <w:r/>
      <w:r/>
    </w:p>
    <w:p w14:paraId="7D97A3E4" w14:textId="77777777">
      <w:pPr>
        <w:pBdr>
          <w:top w:val="none" w:color="000000" w:sz="4" w:space="0"/>
          <w:left w:val="none" w:color="000000" w:sz="4" w:space="0"/>
          <w:bottom w:val="none" w:color="000000" w:sz="4" w:space="0"/>
          <w:right w:val="none" w:color="000000" w:sz="4" w:space="0"/>
        </w:pBdr>
        <w:spacing/>
        <w:ind/>
        <w:jc w:val="center"/>
        <w:rPr/>
      </w:pPr>
      <w:r/>
      <m:oMathPara>
        <m:oMathParaPr/>
        <m:oMath>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Δ</m:t>
              </m:r>
            </m:e>
            <m:sub>
              <m:r>
                <w:rPr>
                  <w:rFonts w:ascii="Cambria Math" w:hAnsi="Cambria Math"/>
                  <w:sz w:val="20"/>
                  <w:szCs w:val="20"/>
                </w:rPr>
                <m:rPr/>
                <m:t>pool,i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Q</m:t>
              </m:r>
            </m:e>
            <m:sub>
              <m:r>
                <w:rPr>
                  <w:rFonts w:ascii="Cambria Math" w:hAnsi="Cambria Math"/>
                  <w:sz w:val="20"/>
                  <w:szCs w:val="20"/>
                </w:rPr>
                <m:rPr/>
                <m:t>0.25</m:t>
              </m:r>
            </m:sub>
          </m:sSub>
          <m:r>
            <w:rPr>
              <w:rFonts w:ascii="Cambria Math" w:hAnsi="Cambria Math"/>
              <w:sz w:val="20"/>
              <w:szCs w:val="20"/>
            </w:rPr>
            <m:rPr/>
            <m:t>  and</m:t>
          </m:r>
          <m:sSub>
            <m:sSubPr>
              <m:ctrlPr>
                <w:rPr>
                  <w:rFonts w:ascii="Cambria Math" w:hAnsi="Cambria Math" w:eastAsia="Cambria Math" w:cs="Cambria Math"/>
                  <w:sz w:val="20"/>
                  <w:szCs w:val="18"/>
                </w:rPr>
              </m:ctrlPr>
            </m:sSubPr>
            <m:e>
              <m:r>
                <w:rPr>
                  <w:rFonts w:ascii="Cambria Math" w:hAnsi="Cambria Math"/>
                  <w:sz w:val="20"/>
                  <w:szCs w:val="20"/>
                </w:rPr>
                <m:rPr/>
                <m:t>  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Q</m:t>
              </m:r>
            </m:e>
            <m:sub>
              <m:r>
                <w:rPr>
                  <w:rFonts w:ascii="Cambria Math" w:hAnsi="Cambria Math"/>
                  <w:sz w:val="20"/>
                  <w:szCs w:val="20"/>
                </w:rPr>
                <m:rPr/>
                <m:t>0.90</m:t>
              </m:r>
            </m:sub>
          </m:sSub>
        </m:oMath>
      </m:oMathPara>
      <w:r/>
      <w:r/>
    </w:p>
    <w:p w14:paraId="3D7755D1"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The masked fraction within each condition was computed as the proportion of genes satisfying these criteria.</w:t>
      </w:r>
      <w:r/>
    </w:p>
    <w:p w14:paraId="262413A9"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Thresholds were defined using fixed quantile cutoffs to identify regions of low condition-level effect and high instability. Robustness of instability-based prioritization was assessed across a range of selection thresholds (</w:t>
      </w: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(Fig. 5B).</w:t>
      </w:r>
      <w:r/>
    </w:p>
    <w:p w14:paraId="511300FA"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highlight w:val="yellow"/>
        </w:rPr>
      </w:pPr>
      <w:r>
        <w:rPr>
          <w:rFonts w:ascii="Times New Roman" w:hAnsi="Times New Roman" w:cs="Times New Roman"/>
          <w:sz w:val="24"/>
          <w:szCs w:val="24"/>
          <w:highlight w:val="yellow"/>
        </w:rPr>
      </w:r>
      <w:r>
        <w:rPr>
          <w:rFonts w:ascii="Times New Roman" w:hAnsi="Times New Roman" w:cs="Times New Roman"/>
          <w:sz w:val="24"/>
          <w:szCs w:val="24"/>
          <w:highlight w:val="yellow"/>
        </w:rPr>
      </w:r>
      <w:r>
        <w:rPr>
          <w:rFonts w:ascii="Times New Roman" w:hAnsi="Times New Roman" w:cs="Times New Roman"/>
          <w:sz w:val="24"/>
          <w:szCs w:val="24"/>
          <w:highlight w:val="yellow"/>
        </w:rPr>
      </w:r>
    </w:p>
    <w:p w14:paraId="611954B4"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2.7. </w:t>
      </w:r>
      <w:r>
        <w:rPr>
          <w:rFonts w:ascii="Times New Roman" w:hAnsi="Times New Roman" w:eastAsia="Times New Roman" w:cs="Times New Roman"/>
          <w:b/>
          <w:bCs/>
          <w:color w:val="000000" w:themeColor="text1"/>
          <w:sz w:val="24"/>
          <w:szCs w:val="24"/>
        </w:rPr>
        <w:t xml:space="preserve">Variance proxy and regression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3D36E16" w14:textId="34F79FB6">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To assess whether instability reflects dispersion alone, a variance proxy was computed from structured effect estimates as the variance of </w:t>
      </w:r>
      <m:oMath>
        <m:sSub>
          <m:sSubPr>
            <m:ctrlPr>
              <w:rPr>
                <w:rFonts w:ascii="Cambria Math" w:hAnsi="Cambria Math" w:eastAsia="Cambria Math" w:cs="Cambria Math"/>
                <w:sz w:val="24"/>
              </w:rPr>
            </m:ctrlPr>
          </m:sSubPr>
          <m:e>
            <m:r>
              <w:rPr>
                <w:rFonts w:ascii="Cambria Math" w:hAnsi="Cambria Math"/>
                <w:sz w:val="24"/>
                <w:szCs w:val="24"/>
                <w:lang w:bidi="en-US"/>
              </w:rPr>
              <m:rPr/>
              <m:t>Δ</m:t>
            </m:r>
          </m:e>
          <m:sub>
            <m:r>
              <w:rPr>
                <w:rFonts w:ascii="Cambria Math" w:hAnsi="Cambria Math"/>
                <w:sz w:val="24"/>
                <w:szCs w:val="24"/>
                <w:lang w:bidi="en-US"/>
              </w:rPr>
              <m:rPr/>
              <m:t>i,k</m:t>
            </m:r>
          </m:sub>
        </m:sSub>
      </m:oMath>
      <w:r>
        <w:rPr>
          <w:rFonts w:ascii="Times New Roman" w:hAnsi="Times New Roman" w:eastAsia="Times New Roman" w:cs="Times New Roman"/>
          <w:color w:val="000000"/>
          <w:sz w:val="24"/>
          <w:szCs w:val="24"/>
        </w:rPr>
        <w:t xml:space="preserve">​ across partitions</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(Leek, et al., 2010; McCarthy, et al., 2012)</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132FCAA" w14:textId="5503037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The relationship between masking and instability was evaluated using logistic regression </w:t>
      </w:r>
      <w:r>
        <w:rPr>
          <w:rFonts w:ascii="Times New Roman" w:hAnsi="Times New Roman" w:eastAsia="Times New Roman" w:cs="Times New Roman"/>
          <w:color w:val="000000" w:themeColor="text1"/>
          <w:sz w:val="24"/>
          <w:szCs w:val="24"/>
        </w:rPr>
        <w:fldChar w:fldCharType="begin"/>
      </w:r>
      <w:r>
        <w:rPr>
          <w:rFonts w:ascii="Times New Roman" w:hAnsi="Times New Roman" w:eastAsia="Times New Roman" w:cs="Times New Roman"/>
          <w:color w:val="000000" w:themeColor="text1"/>
          <w:sz w:val="24"/>
          <w:szCs w:val="24"/>
        </w:rPr>
        <w:instrText xml:space="preserve"> ADDIN EN.CITE &lt;EndNote&gt;&lt;Cite&gt;&lt;Author&gt;Lemeshow&lt;/Author&gt;&lt;Year&gt;2009&lt;/Year&gt;&lt;Rec</w:instrText>
      </w:r>
      <w:r>
        <w:rPr>
          <w:rFonts w:ascii="Times New Roman" w:hAnsi="Times New Roman" w:eastAsia="Times New Roman" w:cs="Times New Roman"/>
          <w:color w:val="000000" w:themeColor="text1"/>
          <w:sz w:val="24"/>
          <w:szCs w:val="24"/>
        </w:rPr>
        <w:instrText xml:space="preserve">Num&gt;28&lt;/RecNum&gt;&lt;DisplayText&gt;(Lemeshow and Hosmer, 2009)&lt;/DisplayText&gt;&lt;record&gt;&lt;rec-number&gt;28&lt;/rec-number&gt;&lt;foreign-keys&gt;&lt;key app="EN" db-id="dp995we9hazsaeew5tvp59zyrr92r0zt0saw" timestamp="1776924089"&gt;28&lt;/key&gt;&lt;/foreign-keys&gt;&lt;ref-type name="Journal Article"&gt;</w:instrText>
      </w:r>
      <w:r>
        <w:rPr>
          <w:rFonts w:ascii="Times New Roman" w:hAnsi="Times New Roman" w:eastAsia="Times New Roman" w:cs="Times New Roman"/>
          <w:color w:val="000000" w:themeColor="text1"/>
          <w:sz w:val="24"/>
          <w:szCs w:val="24"/>
        </w:rPr>
        <w:instrText xml:space="preserve">17&lt;/ref-type&gt;&lt;contributors&gt;&lt;authors&gt;&lt;author&gt;Lemeshow, S.&lt;/author&gt;&lt;author&gt;Hosmer, D. W., Jr.&lt;/author&gt;&lt;/authors&gt;&lt;/contributors&gt;&lt;titles&gt;&lt;title&gt;Logistic regression analysis: applications to ophthalmic research&lt;/title&gt;&lt;secondary-title&gt;Am J Ophthalmol&lt;/secondary</w:instrText>
      </w:r>
      <w:r>
        <w:rPr>
          <w:rFonts w:ascii="Times New Roman" w:hAnsi="Times New Roman" w:eastAsia="Times New Roman" w:cs="Times New Roman"/>
          <w:color w:val="000000" w:themeColor="text1"/>
          <w:sz w:val="24"/>
          <w:szCs w:val="24"/>
        </w:rPr>
        <w:instrText xml:space="preserve">-title&gt;&lt;/titles&gt;&lt;periodical&gt;&lt;full-title&gt;Am J Ophthalmol&lt;/full-title&gt;&lt;/periodical&gt;&lt;pages&gt;766-7&lt;/pages&gt;&lt;volume&gt;147&lt;/volume&gt;&lt;number&gt;5&lt;/number&gt;&lt;keywords&gt;&lt;keyword&gt;*Biomedical Research&lt;/keyword&gt;&lt;keyword&gt;Humans&lt;/keyword&gt;&lt;keyword&gt;*Logistic Models&lt;/keyword&gt;&lt;keyword</w:instrText>
      </w:r>
      <w:r>
        <w:rPr>
          <w:rFonts w:ascii="Times New Roman" w:hAnsi="Times New Roman" w:eastAsia="Times New Roman" w:cs="Times New Roman"/>
          <w:color w:val="000000" w:themeColor="text1"/>
          <w:sz w:val="24"/>
          <w:szCs w:val="24"/>
        </w:rPr>
        <w:instrText xml:space="preserve">&gt;*Ophthalmology&lt;/keyword&gt;&lt;/keywords&gt;&lt;dates&gt;&lt;year&gt;2009&lt;/year&gt;&lt;pub-dates&gt;&lt;date&gt;May&lt;/date&gt;&lt;/pub-dates&gt;&lt;/dates&gt;&lt;isbn&gt;1879-1891 (Electronic)&amp;#xD;0002-9394 (Linking)&lt;/isbn&gt;&lt;accession-num&gt;19376329&lt;/accession-num&gt;&lt;urls&gt;&lt;related-urls&gt;&lt;url&gt;https://www.ncbi.nlm.nih.g</w:instrText>
      </w:r>
      <w:r>
        <w:rPr>
          <w:rFonts w:ascii="Times New Roman" w:hAnsi="Times New Roman" w:eastAsia="Times New Roman" w:cs="Times New Roman"/>
          <w:color w:val="000000" w:themeColor="text1"/>
          <w:sz w:val="24"/>
          <w:szCs w:val="24"/>
        </w:rPr>
        <w:instrText xml:space="preserve">ov/pubmed/19376329&lt;/url&gt;&lt;/related-urls&gt;&lt;/urls&gt;&lt;electronic-resource-num&gt;10.1016/j.ajo.2008.07.042&lt;/electronic-resource-num&gt;&lt;remote-database-name&gt;Medline&lt;/remote-database-name&gt;&lt;remote-database-provider&gt;NLM&lt;/remote-database-provider&gt;&lt;/record&gt;&lt;/Cite&gt;&lt;/EndNote&gt;</w:instrText>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(Lemeshow and Hosmer, 2009)</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C13C1DA" w14:textId="77777777">
      <w:pPr>
        <w:pBdr/>
        <w:spacing/>
        <w:ind/>
        <w:jc w:val="center"/>
        <w:rPr/>
      </w:pPr>
      <w:r/>
      <m:oMathPara>
        <m:oMathParaPr/>
        <m:oMath>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logit</m:t>
              </m:r>
            </m:fName>
            <m:e>
              <m:d>
                <m:dPr>
                  <m:shp m:val="match"/>
                  <m:ctrlPr>
                    <w:rPr>
                      <w:rFonts w:ascii="Cambria Math" w:hAnsi="Cambria Math" w:eastAsia="Cambria Math" w:cs="Cambria Math"/>
                      <w:sz w:val="20"/>
                      <w:szCs w:val="18"/>
                    </w:rPr>
                  </m:ctrlPr>
                </m:dPr>
                <m:e>
                  <m:r>
                    <w:rPr>
                      <w:rFonts w:ascii="Cambria Math" w:hAnsi="Cambria Math"/>
                      <w:sz w:val="20"/>
                      <w:szCs w:val="20"/>
                    </w:rPr>
                    <m:rPr/>
                    <m:t>P(</m:t>
                  </m:r>
                  <m:sSub>
                    <m:sSubPr>
                      <m:ctrlPr>
                        <w:rPr>
                          <w:rFonts w:ascii="Cambria Math" w:hAnsi="Cambria Math" w:eastAsia="Cambria Math" w:cs="Cambria Math"/>
                          <w:sz w:val="20"/>
                          <w:szCs w:val="18"/>
                        </w:rPr>
                      </m:ctrlPr>
                    </m:sSubPr>
                    <m:e>
                      <m:r>
                        <w:rPr>
                          <w:rFonts w:ascii="Cambria Math" w:hAnsi="Cambria Math"/>
                          <w:sz w:val="20"/>
                          <w:szCs w:val="20"/>
                        </w:rPr>
                        <m:rPr/>
                        <m:t>M</m:t>
                      </m:r>
                    </m:e>
                    <m:sub>
                      <m:r>
                        <w:rPr>
                          <w:rFonts w:ascii="Cambria Math" w:hAnsi="Cambria Math"/>
                          <w:sz w:val="20"/>
                          <w:szCs w:val="20"/>
                        </w:rPr>
                        <m:rPr/>
                        <m:t>i</m:t>
                      </m:r>
                    </m:sub>
                  </m:sSub>
                  <m:r>
                    <w:rPr>
                      <w:rFonts w:ascii="Cambria Math" w:hAnsi="Cambria Math"/>
                      <w:sz w:val="20"/>
                      <w:szCs w:val="20"/>
                    </w:rPr>
                    <m:rPr/>
                    <m:t>=1)</m:t>
                  </m:r>
                </m:e>
              </m:d>
            </m:e>
          </m:func>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0</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1</m:t>
              </m:r>
            </m:sub>
          </m:sSub>
          <m:sSub>
            <m:sSubPr>
              <m:ctrlPr>
                <w:rPr>
                  <w:rFonts w:ascii="Cambria Math" w:hAnsi="Cambria Math" w:eastAsia="Cambria Math" w:cs="Cambria Math"/>
                  <w:sz w:val="20"/>
                  <w:szCs w:val="18"/>
                </w:rPr>
              </m:ctrlPr>
            </m:sSubPr>
            <m:e>
              <m:r>
                <w:rPr>
                  <w:rFonts w:ascii="Cambria Math" w:hAnsi="Cambria Math"/>
                  <w:sz w:val="20"/>
                  <w:szCs w:val="20"/>
                </w:rPr>
                <m:rPr/>
                <m:t>I</m:t>
              </m:r>
            </m:e>
            <m:sub>
              <m:r>
                <w:rPr>
                  <w:rFonts w:ascii="Cambria Math" w:hAnsi="Cambria Math"/>
                  <w:sz w:val="20"/>
                  <w:szCs w:val="20"/>
                </w:rPr>
                <m:rPr/>
                <m:t>i</m:t>
              </m:r>
            </m:sub>
          </m:sSub>
          <m:r>
            <w:rPr>
              <w:rFonts w:ascii="Cambria Math" w:hAnsi="Cambria Math"/>
              <w:sz w:val="20"/>
              <w:szCs w:val="20"/>
            </w:rPr>
            <m:rPr/>
            <m:t>+</m:t>
          </m:r>
          <m:sSub>
            <m:sSubPr>
              <m:ctrlPr>
                <w:rPr>
                  <w:rFonts w:ascii="Cambria Math" w:hAnsi="Cambria Math" w:eastAsia="Cambria Math" w:cs="Cambria Math"/>
                  <w:sz w:val="20"/>
                  <w:szCs w:val="18"/>
                </w:rPr>
              </m:ctrlPr>
            </m:sSubPr>
            <m:e>
              <m:r>
                <w:rPr>
                  <w:rFonts w:ascii="Cambria Math" w:hAnsi="Cambria Math"/>
                  <w:sz w:val="20"/>
                  <w:szCs w:val="20"/>
                </w:rPr>
                <m:rPr/>
                <m:t>β</m:t>
              </m:r>
            </m:e>
            <m:sub>
              <m:r>
                <w:rPr>
                  <w:rFonts w:ascii="Cambria Math" w:hAnsi="Cambria Math"/>
                  <w:sz w:val="20"/>
                  <w:szCs w:val="20"/>
                </w:rPr>
                <m:rPr/>
                <m:t>2</m:t>
              </m:r>
            </m:sub>
          </m:sSub>
          <m:sSub>
            <m:sSubPr>
              <m:ctrlPr>
                <w:rPr>
                  <w:rFonts w:ascii="Cambria Math" w:hAnsi="Cambria Math" w:eastAsia="Cambria Math" w:cs="Cambria Math"/>
                  <w:sz w:val="20"/>
                  <w:szCs w:val="18"/>
                </w:rPr>
              </m:ctrlPr>
            </m:sSubPr>
            <m:e>
              <m:r>
                <w:rPr>
                  <w:rFonts w:ascii="Cambria Math" w:hAnsi="Cambria Math"/>
                  <w:sz w:val="20"/>
                  <w:szCs w:val="20"/>
                </w:rPr>
                <m:rPr/>
                <m:t>V</m:t>
              </m:r>
            </m:e>
            <m:sub>
              <m:r>
                <w:rPr>
                  <w:rFonts w:ascii="Cambria Math" w:hAnsi="Cambria Math"/>
                  <w:sz w:val="20"/>
                  <w:szCs w:val="20"/>
                </w:rPr>
                <m:rPr/>
                <m:t>i</m:t>
              </m:r>
            </m:sub>
          </m:sSub>
        </m:oMath>
      </m:oMathPara>
      <w:r/>
      <w:r/>
    </w:p>
    <w:p w14:paraId="3D00959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where </w:t>
      </w:r>
      <m:oMath>
        <m:sSub>
          <m:sSubPr>
            <m:ctrlPr>
              <w:rPr>
                <w:rFonts w:ascii="Cambria Math" w:hAnsi="Cambria Math" w:eastAsia="Cambria Math" w:cs="Cambria Math"/>
                <w:sz w:val="24"/>
              </w:rPr>
            </m:ctrlPr>
          </m:sSubPr>
          <m:e>
            <m:r>
              <w:rPr>
                <w:rFonts w:ascii="Cambria Math" w:hAnsi="Cambria Math"/>
                <w:sz w:val="24"/>
                <w:szCs w:val="24"/>
                <w:lang w:bidi="en-US"/>
              </w:rPr>
              <m:rPr/>
              <m:t>M</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indicates masked genes, </w:t>
      </w:r>
      <m:oMath>
        <m:sSub>
          <m:sSubPr>
            <m:ctrlPr>
              <w:rPr>
                <w:rFonts w:ascii="Cambria Math" w:hAnsi="Cambria Math" w:eastAsia="Cambria Math" w:cs="Cambria Math"/>
                <w:sz w:val="24"/>
              </w:rPr>
            </m:ctrlPr>
          </m:sSubPr>
          <m:e>
            <m:r>
              <w:rPr>
                <w:rFonts w:ascii="Cambria Math" w:hAnsi="Cambria Math"/>
                <w:sz w:val="24"/>
                <w:szCs w:val="24"/>
                <w:lang w:bidi="en-US"/>
              </w:rPr>
              <m:rPr/>
              <m:t>I</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is instability, and </w:t>
      </w:r>
      <m:oMath>
        <m:sSub>
          <m:sSubPr>
            <m:ctrlPr>
              <w:rPr>
                <w:rFonts w:ascii="Cambria Math" w:hAnsi="Cambria Math" w:eastAsia="Cambria Math" w:cs="Cambria Math"/>
                <w:sz w:val="24"/>
              </w:rPr>
            </m:ctrlPr>
          </m:sSubPr>
          <m:e>
            <m:r>
              <w:rPr>
                <w:rFonts w:ascii="Cambria Math" w:hAnsi="Cambria Math"/>
                <w:sz w:val="24"/>
                <w:szCs w:val="24"/>
                <w:lang w:bidi="en-US"/>
              </w:rPr>
              <m:rPr/>
              <m:t>V</m:t>
            </m:r>
          </m:e>
          <m:sub>
            <m:r>
              <w:rPr>
                <w:rFonts w:ascii="Cambria Math" w:hAnsi="Cambria Math"/>
                <w:sz w:val="24"/>
                <w:szCs w:val="24"/>
                <w:lang w:bidi="en-US"/>
              </w:rPr>
              <m:rPr/>
              <m:t>i</m:t>
            </m:r>
          </m:sub>
        </m:sSub>
      </m:oMath>
      <w:r>
        <w:rPr>
          <w:rFonts w:ascii="Times New Roman" w:hAnsi="Times New Roman" w:eastAsia="Times New Roman" w:cs="Times New Roman"/>
          <w:color w:val="000000"/>
          <w:sz w:val="24"/>
          <w:szCs w:val="24"/>
        </w:rPr>
        <w:t xml:space="preserve">​ is the variance proxy.</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A77E5E9"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2.8. </w:t>
      </w:r>
      <w:r>
        <w:rPr>
          <w:rFonts w:ascii="Times New Roman" w:hAnsi="Times New Roman" w:eastAsia="Times New Roman" w:cs="Times New Roman"/>
          <w:b/>
          <w:bCs/>
          <w:color w:val="000000" w:themeColor="text1"/>
          <w:sz w:val="24"/>
          <w:szCs w:val="24"/>
        </w:rPr>
        <w:t xml:space="preserve">Cross-condition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4BBFD34"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Instability distributions were compared </w:t>
      </w:r>
      <w:r>
        <w:rPr>
          <w:rFonts w:ascii="Times New Roman" w:hAnsi="Times New Roman" w:eastAsia="Times New Roman" w:cs="Times New Roman"/>
          <w:color w:val="000000" w:themeColor="text1"/>
          <w:sz w:val="24"/>
          <w:szCs w:val="24"/>
        </w:rPr>
        <w:t xml:space="preserve">across</w:t>
      </w:r>
      <w:r>
        <w:rPr>
          <w:rFonts w:ascii="Times New Roman" w:hAnsi="Times New Roman" w:eastAsia="Times New Roman" w:cs="Times New Roman"/>
          <w:color w:val="000000" w:themeColor="text1"/>
          <w:sz w:val="24"/>
          <w:szCs w:val="24"/>
        </w:rPr>
        <w:t xml:space="preserve"> UV, DES, GAM, and LT conditions. Enrichment of high-instability genes was quantified using empirical thresholds, including the fractions of genes exceeding the top 10% and top 5% instability levels.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AED7A6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Instability was further decomposed into its components (effect divergence and directional discordance) to characterize condition-specific contributions.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37D71FA"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2.9. </w:t>
      </w:r>
      <w:r>
        <w:rPr>
          <w:rFonts w:ascii="Times New Roman" w:hAnsi="Times New Roman" w:eastAsia="Times New Roman" w:cs="Times New Roman"/>
          <w:b/>
          <w:bCs/>
          <w:color w:val="000000" w:themeColor="text1"/>
          <w:sz w:val="24"/>
          <w:szCs w:val="24"/>
        </w:rPr>
        <w:t xml:space="preserve">Gene prioritization and overlap analysis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E8A2BE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Genes were ranked independently according to condition-level effect magnitude and instability:</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15C343F1" w14:textId="77777777">
      <w:pPr>
        <w:pBdr>
          <w:top w:val="none" w:color="000000" w:sz="4" w:space="0"/>
          <w:left w:val="none" w:color="000000" w:sz="4" w:space="0"/>
          <w:bottom w:val="none" w:color="000000" w:sz="4" w:space="0"/>
          <w:right w:val="none" w:color="000000" w:sz="4" w:space="0"/>
        </w:pBdr>
        <w:spacing/>
        <w:ind/>
        <w:jc w:val="both"/>
        <w:rPr/>
      </w:pPr>
      <w:r/>
      <m:oMathPara>
        <m:oMathParaPr/>
        <m:oMath>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pool</m:t>
              </m:r>
            </m:sup>
          </m:sSubSup>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rank</m:t>
              </m:r>
            </m:fName>
            <m:e>
              <m:r>
                <w:rPr>
                  <w:rFonts w:ascii="Cambria Math" w:hAnsi="Cambria Math"/>
                  <w:sz w:val="20"/>
                  <w:szCs w:val="20"/>
                </w:rPr>
                <m:rPr/>
                <m:t>(</m:t>
              </m:r>
            </m:e>
          </m:func>
          <m:r>
            <w:rPr>
              <w:rFonts w:ascii="Cambria Math" w:hAnsi="Cambria Math" w:eastAsia="Cambria Math" w:cs="Cambria Math"/>
              <w:color w:val="000000"/>
              <w:sz w:val="20"/>
              <w:szCs w:val="20"/>
            </w:rPr>
            <m:rPr/>
            <m:t>∣</m:t>
          </m:r>
          <m:sSub>
            <m:sSubPr>
              <m:ctrlPr>
                <w:rPr>
                  <w:rFonts w:ascii="Cambria Math" w:hAnsi="Cambria Math" w:eastAsia="Cambria Math" w:cs="Cambria Math"/>
                  <w:i/>
                  <w:color w:val="000000"/>
                  <w:sz w:val="20"/>
                  <w:szCs w:val="20"/>
                </w:rPr>
              </m:ctrlPr>
            </m:sSubPr>
            <m:e>
              <m:r>
                <w:rPr>
                  <w:rFonts w:ascii="Cambria Math" w:hAnsi="Cambria Math" w:eastAsia="Cambria Math" w:cs="Cambria Math"/>
                  <w:color w:val="000000"/>
                  <w:sz w:val="20"/>
                  <w:szCs w:val="20"/>
                </w:rPr>
                <m:rPr/>
                <m:t>Δ</m:t>
              </m:r>
            </m:e>
            <m:sub>
              <m:r>
                <w:rPr>
                  <w:rFonts w:ascii="Cambria Math" w:hAnsi="Cambria Math" w:eastAsia="Cambria Math" w:cs="Cambria Math"/>
                  <w:color w:val="000000"/>
                  <w:sz w:val="20"/>
                  <w:szCs w:val="20"/>
                </w:rPr>
                <m:rPr/>
                <m:t>pool,i</m:t>
              </m:r>
            </m:sub>
          </m:sSub>
          <m:r>
            <w:rPr>
              <w:rFonts w:ascii="Cambria Math" w:hAnsi="Cambria Math" w:eastAsia="Cambria Math" w:cs="Cambria Math"/>
              <w:color w:val="000000"/>
              <w:sz w:val="20"/>
              <w:szCs w:val="20"/>
            </w:rPr>
            <m:rPr/>
            <m:t>∣</m:t>
          </m:r>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  R</m:t>
              </m:r>
            </m:e>
            <m:sub>
              <m:r>
                <w:rPr>
                  <w:rFonts w:ascii="Cambria Math" w:hAnsi="Cambria Math"/>
                  <w:sz w:val="20"/>
                  <w:szCs w:val="20"/>
                </w:rPr>
                <m:rPr/>
                <m:t>i</m:t>
              </m:r>
            </m:sub>
            <m:sup>
              <m:r>
                <w:rPr>
                  <w:rFonts w:ascii="Cambria Math" w:hAnsi="Cambria Math"/>
                  <w:sz w:val="20"/>
                  <w:szCs w:val="20"/>
                </w:rPr>
                <m:rPr/>
                <m:t>inst</m:t>
              </m:r>
            </m:sup>
          </m:sSubSup>
          <m:r>
            <w:rPr>
              <w:rFonts w:ascii="Cambria Math" w:hAnsi="Cambria Math"/>
              <w:sz w:val="20"/>
              <w:szCs w:val="20"/>
            </w:rPr>
            <m:rPr/>
            <m:t>=</m:t>
          </m:r>
          <m:func>
            <m:funcPr>
              <m:ctrlPr>
                <w:rPr>
                  <w:rFonts w:ascii="Cambria Math" w:hAnsi="Cambria Math" w:eastAsia="Cambria Math" w:cs="Cambria Math"/>
                  <w:sz w:val="20"/>
                  <w:szCs w:val="18"/>
                </w:rPr>
              </m:ctrlPr>
            </m:funcPr>
            <m:fName>
              <m:r>
                <w:rPr>
                  <w:rFonts w:ascii="Cambria Math" w:hAnsi="Cambria Math" w:eastAsia="Cambria Math" w:cs="Cambria Math"/>
                  <w:sz w:val="20"/>
                  <w:szCs w:val="20"/>
                </w:rPr>
                <m:rPr/>
                <m:t>rank</m:t>
              </m:r>
            </m:fName>
            <m:e>
              <m:d>
                <m:dPr>
                  <m:ctrlPr>
                    <w:rPr>
                      <w:rFonts w:ascii="Cambria Math" w:hAnsi="Cambria Math" w:eastAsia="Cambria Math" w:cs="Cambria Math"/>
                      <w:sz w:val="20"/>
                      <w:szCs w:val="20"/>
                    </w:rPr>
                  </m:ctrlPr>
                </m:dPr>
                <m:e>
                  <m:sSub>
                    <m:sSubPr>
                      <m:ctrlPr>
                        <w:rPr>
                          <w:rFonts w:ascii="Cambria Math" w:hAnsi="Cambria Math" w:eastAsia="Cambria Math" w:cs="Cambria Math"/>
                          <w:i/>
                          <w:sz w:val="20"/>
                          <w:szCs w:val="20"/>
                        </w:rPr>
                      </m:ctrlPr>
                    </m:sSubPr>
                    <m:e>
                      <m:r>
                        <w:rPr>
                          <w:rFonts w:ascii="Cambria Math" w:hAnsi="Cambria Math" w:eastAsia="Cambria Math" w:cs="Cambria Math"/>
                          <w:sz w:val="20"/>
                          <w:szCs w:val="20"/>
                        </w:rPr>
                        <m:rPr/>
                        <m:t>I</m:t>
                      </m:r>
                    </m:e>
                    <m:sub>
                      <m:r>
                        <w:rPr>
                          <w:rFonts w:ascii="Cambria Math" w:hAnsi="Cambria Math" w:eastAsia="Cambria Math" w:cs="Cambria Math"/>
                          <w:sz w:val="20"/>
                          <w:szCs w:val="20"/>
                        </w:rPr>
                        <m:rPr/>
                        <m:t>i</m:t>
                      </m:r>
                    </m:sub>
                  </m:sSub>
                </m:e>
              </m:d>
            </m:e>
          </m:func>
        </m:oMath>
      </m:oMathPara>
      <w:r/>
      <w:r/>
    </w:p>
    <w:p w14:paraId="7F12345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gene sets were defined for each ranking scheme:</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786DD10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m:oMathPara>
        <m:oMathParaPr/>
        <m:oMath>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={i:</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pool</m:t>
              </m:r>
            </m:sup>
          </m:sSubSup>
          <m:r>
            <w:rPr>
              <w:rFonts w:ascii="Cambria Math" w:hAnsi="Cambria Math"/>
              <w:sz w:val="20"/>
              <w:szCs w:val="20"/>
            </w:rPr>
            <m:rPr/>
            <m:t>≤N},</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 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={i:</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R</m:t>
              </m:r>
            </m:e>
            <m:sub>
              <m:r>
                <w:rPr>
                  <w:rFonts w:ascii="Cambria Math" w:hAnsi="Cambria Math"/>
                  <w:sz w:val="20"/>
                  <w:szCs w:val="20"/>
                </w:rPr>
                <m:rPr/>
                <m:t>i</m:t>
              </m:r>
            </m:sub>
            <m:sup>
              <m:r>
                <w:rPr>
                  <w:rFonts w:ascii="Cambria Math" w:hAnsi="Cambria Math"/>
                  <w:sz w:val="20"/>
                  <w:szCs w:val="20"/>
                </w:rPr>
                <m:rPr/>
                <m:t>inst</m:t>
              </m:r>
            </m:sup>
          </m:sSubSup>
          <m:r>
            <w:rPr>
              <w:rFonts w:ascii="Cambria Math" w:hAnsi="Cambria Math"/>
              <w:sz w:val="20"/>
              <w:szCs w:val="20"/>
            </w:rPr>
            <m:rPr/>
            <m:t>≤N}</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7F7FB97" w14:textId="77777777">
      <w:pPr>
        <w:pBdr>
          <w:top w:val="none" w:color="000000" w:sz="4" w:space="0"/>
          <w:left w:val="none" w:color="000000" w:sz="4" w:space="0"/>
          <w:bottom w:val="none" w:color="000000" w:sz="4" w:space="0"/>
          <w:right w:val="none" w:color="000000" w:sz="4" w:space="0"/>
        </w:pBdr>
        <w:spacing/>
        <w:ind/>
        <w:rPr/>
      </w:pPr>
      <w:r>
        <w:rPr>
          <w:rFonts w:ascii="Times New Roman" w:hAnsi="Times New Roman" w:eastAsia="Times New Roman" w:cs="Times New Roman"/>
          <w:color w:val="000000" w:themeColor="text1"/>
          <w:sz w:val="24"/>
          <w:szCs w:val="24"/>
        </w:rPr>
        <w:t xml:space="preserve">Instability-only and condition-level-only sets were defined as set differences:</w:t>
      </w:r>
      <w:r/>
    </w:p>
    <w:p w14:paraId="6F7B9CCE" w14:textId="77777777">
      <w:pPr>
        <w:pBdr>
          <w:top w:val="none" w:color="000000" w:sz="4" w:space="0"/>
          <w:left w:val="none" w:color="000000" w:sz="4" w:space="0"/>
          <w:bottom w:val="none" w:color="000000" w:sz="4" w:space="0"/>
          <w:right w:val="none" w:color="000000" w:sz="4" w:space="0"/>
        </w:pBdr>
        <w:spacing/>
        <w:ind/>
        <w:jc w:val="center"/>
        <w:rPr/>
      </w:pPr>
      <w:r/>
      <m:oMathPara>
        <m:oMathParaPr/>
        <m:oMath>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inst-only</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   S</m:t>
              </m:r>
            </m:e>
            <m:sub>
              <m:r>
                <w:rPr>
                  <w:rFonts w:ascii="Cambria Math" w:hAnsi="Cambria Math"/>
                  <w:sz w:val="20"/>
                  <w:szCs w:val="20"/>
                </w:rPr>
                <m:rPr/>
                <m:t>N</m:t>
              </m:r>
            </m:sub>
            <m:sup>
              <m:r>
                <w:rPr>
                  <w:rFonts w:ascii="Cambria Math" w:hAnsi="Cambria Math"/>
                  <w:sz w:val="20"/>
                  <w:szCs w:val="20"/>
                </w:rPr>
                <m:rPr/>
                <m:t>pool-only</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sz w:val="20"/>
                  <w:szCs w:val="20"/>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oMath>
      </m:oMathPara>
      <w:r/>
      <w:r/>
    </w:p>
    <w:p w14:paraId="743B7994"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Overlap between sets was quantified using the Jaccard index:</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28B40E97"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color w:val="000000"/>
          <w:sz w:val="24"/>
          <w:szCs w:val="24"/>
        </w:rPr>
      </w:pPr>
      <w:r/>
      <m:oMathPara>
        <m:oMathParaPr/>
        <m:oMath>
          <m:r>
            <w:rPr>
              <w:rFonts w:ascii="Cambria Math" w:hAnsi="Cambria Math"/>
              <w:sz w:val="20"/>
              <w:szCs w:val="20"/>
            </w:rPr>
            <m:rPr/>
            <m:t>J(N)=</m:t>
          </m:r>
          <m:f>
            <m:fPr>
              <m:ctrlPr>
                <w:rPr>
                  <w:rFonts w:ascii="Cambria Math" w:hAnsi="Cambria Math" w:eastAsia="Cambria Math" w:cs="Cambria Math"/>
                  <w:sz w:val="20"/>
                  <w:szCs w:val="18"/>
                </w:rPr>
              </m:ctrlPr>
            </m:fPr>
            <m:num>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num>
            <m:den>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pool</m:t>
                  </m:r>
                </m:sup>
              </m:sSubSup>
              <m:r>
                <w:rPr>
                  <w:rFonts w:ascii="Cambria Math" w:hAnsi="Cambria Math"/>
                  <w:sz w:val="20"/>
                  <w:szCs w:val="20"/>
                </w:rPr>
                <m:rPr/>
                <m:t>∪</m:t>
              </m:r>
              <m:sSubSup>
                <m:sSubSupPr>
                  <m:alnScr m:val="off"/>
                  <m:ctrlPr>
                    <w:rPr>
                      <w:rFonts w:ascii="Cambria Math" w:hAnsi="Cambria Math" w:eastAsia="Cambria Math" w:cs="Cambria Math"/>
                      <w:sz w:val="20"/>
                      <w:szCs w:val="18"/>
                    </w:rPr>
                  </m:ctrlPr>
                </m:sSubSupPr>
                <m:e>
                  <m:r>
                    <w:rPr>
                      <w:rFonts w:ascii="Cambria Math" w:hAnsi="Cambria Math"/>
                      <w:sz w:val="20"/>
                      <w:szCs w:val="20"/>
                    </w:rPr>
                    <m:rPr/>
                    <m:t>S</m:t>
                  </m:r>
                </m:e>
                <m:sub>
                  <m:r>
                    <w:rPr>
                      <w:rFonts w:ascii="Cambria Math" w:hAnsi="Cambria Math"/>
                      <w:sz w:val="20"/>
                      <w:szCs w:val="20"/>
                    </w:rPr>
                    <m:rPr/>
                    <m:t>N</m:t>
                  </m:r>
                </m:sub>
                <m:sup>
                  <m:r>
                    <w:rPr>
                      <w:rFonts w:ascii="Cambria Math" w:hAnsi="Cambria Math"/>
                      <w:sz w:val="20"/>
                      <w:szCs w:val="20"/>
                    </w:rPr>
                    <m:rPr/>
                    <m:t>inst</m:t>
                  </m:r>
                </m:sup>
              </m:sSubSup>
              <m:r>
                <w:rPr>
                  <w:rFonts w:ascii="Cambria Math" w:hAnsi="Cambria Math"/>
                  <w:sz w:val="20"/>
                  <w:szCs w:val="20"/>
                </w:rPr>
                <m:rPr/>
                <m:t>∣</m:t>
              </m:r>
            </m:den>
          </m:f>
        </m:oMath>
      </m:oMathPara>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14:paraId="1EA07905"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 xml:space="preserve">Analyses were performed for </w:t>
      </w:r>
      <m:oMath>
        <m:r>
          <w:rPr>
            <w:rFonts w:ascii="Cambria Math" w:hAnsi="Cambria Math"/>
            <w:sz w:val="24"/>
            <w:szCs w:val="24"/>
            <w:lang w:bidi="en-US"/>
          </w:rPr>
          <m:rPr/>
          <m:t>N=50, 100, 200, </m:t>
        </m:r>
        <m:r>
          <w:rPr>
            <w:rFonts w:ascii="Cambria Math" w:hAnsi="Cambria Math" w:eastAsia="Cambria Math" w:cs="Cambria Math"/>
            <w:color w:val="000000"/>
            <w:sz w:val="24"/>
            <w:szCs w:val="24"/>
            <w:lang w:bidi="en-US"/>
          </w:rPr>
          <m:rPr/>
          <m:t>and </m:t>
        </m:r>
        <m:r>
          <w:rPr>
            <w:rFonts w:ascii="Cambria Math" w:hAnsi="Cambria Math"/>
            <w:sz w:val="24"/>
            <w:szCs w:val="24"/>
            <w:lang w:bidi="en-US"/>
          </w:rPr>
          <m:rPr/>
          <m:t>500</m:t>
        </m:r>
      </m:oMath>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D4F7735"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Representative genes were selected from </w:t>
      </w:r>
      <w:r>
        <w:rPr>
          <w:rFonts w:ascii="Times New Roman" w:hAnsi="Times New Roman" w:eastAsia="Times New Roman" w:cs="Times New Roman"/>
          <w:color w:val="000000" w:themeColor="text1"/>
          <w:sz w:val="24"/>
          <w:szCs w:val="24"/>
        </w:rPr>
        <w:t xml:space="preserve">i</w:t>
      </w:r>
      <w:r>
        <w:rPr>
          <w:rFonts w:ascii="Times New Roman" w:hAnsi="Times New Roman" w:eastAsia="Times New Roman" w:cs="Times New Roman"/>
          <w:color w:val="000000" w:themeColor="text1"/>
          <w:sz w:val="24"/>
          <w:szCs w:val="24"/>
        </w:rPr>
        <w:t xml:space="preserve">nstability-only and condition-level-only sets based on objective criteria, including (</w:t>
      </w:r>
      <w:r>
        <w:rPr>
          <w:rFonts w:ascii="Times New Roman" w:hAnsi="Times New Roman" w:eastAsia="Times New Roman" w:cs="Times New Roman"/>
          <w:color w:val="000000" w:themeColor="text1"/>
          <w:sz w:val="24"/>
          <w:szCs w:val="24"/>
        </w:rPr>
        <w:t xml:space="preserve">i</w:t>
      </w:r>
      <w:r>
        <w:rPr>
          <w:rFonts w:ascii="Times New Roman" w:hAnsi="Times New Roman" w:eastAsia="Times New Roman" w:cs="Times New Roman"/>
          <w:color w:val="000000" w:themeColor="text1"/>
          <w:sz w:val="24"/>
          <w:szCs w:val="24"/>
        </w:rPr>
        <w:t xml:space="preserve">) rank displacement defined as </w:t>
      </w:r>
      <m:oMath>
        <m:r>
          <w:rPr>
            <w:rFonts w:ascii="Cambria Math" w:hAnsi="Cambria Math"/>
            <w:lang w:bidi="en-US"/>
          </w:rPr>
          <m:rPr/>
          <m:t>∣</m:t>
        </m:r>
        <m:sSubSup>
          <m:sSubSupPr>
            <m:alnScr m:val="off"/>
            <m:ctrlPr>
              <w:rPr>
                <w:rFonts w:ascii="Cambria Math" w:hAnsi="Cambria Math" w:eastAsia="Cambria Math" w:cs="Cambria Math"/>
              </w:rPr>
            </m:ctrlPr>
          </m:sSubSupPr>
          <m:e>
            <m:r>
              <w:rPr>
                <w:rFonts w:ascii="Cambria Math" w:hAnsi="Cambria Math"/>
                <w:lang w:bidi="en-US"/>
              </w:rPr>
              <m:rPr/>
              <m:t>R</m:t>
            </m:r>
          </m:e>
          <m:sub>
            <m:r>
              <w:rPr>
                <w:rFonts w:ascii="Cambria Math" w:hAnsi="Cambria Math"/>
                <w:lang w:bidi="en-US"/>
              </w:rPr>
              <m:rPr/>
              <m:t>i</m:t>
            </m:r>
          </m:sub>
          <m:sup>
            <m:r>
              <w:rPr>
                <w:rFonts w:ascii="Cambria Math" w:hAnsi="Cambria Math" w:eastAsia="Cambria Math" w:cs="Cambria Math"/>
                <w:lang w:bidi="en-US"/>
              </w:rPr>
              <m:rPr/>
              <m:t>pool</m:t>
            </m:r>
          </m:sup>
        </m:sSubSup>
        <m:r>
          <w:rPr>
            <w:rFonts w:ascii="Cambria Math" w:hAnsi="Cambria Math"/>
            <w:lang w:bidi="en-US"/>
          </w:rPr>
          <m:rPr/>
          <m:t>-</m:t>
        </m:r>
        <m:sSubSup>
          <m:sSubSupPr>
            <m:alnScr m:val="off"/>
            <m:ctrlPr>
              <w:rPr>
                <w:rFonts w:ascii="Cambria Math" w:hAnsi="Cambria Math" w:eastAsia="Cambria Math" w:cs="Cambria Math"/>
              </w:rPr>
            </m:ctrlPr>
          </m:sSubSupPr>
          <m:e>
            <m:r>
              <w:rPr>
                <w:rFonts w:ascii="Cambria Math" w:hAnsi="Cambria Math"/>
                <w:lang w:bidi="en-US"/>
              </w:rPr>
              <m:rPr/>
              <m:t>R</m:t>
            </m:r>
          </m:e>
          <m:sub>
            <m:r>
              <w:rPr>
                <w:rFonts w:ascii="Cambria Math" w:hAnsi="Cambria Math"/>
                <w:lang w:bidi="en-US"/>
              </w:rPr>
              <m:rPr/>
              <m:t>i</m:t>
            </m:r>
          </m:sub>
          <m:sup>
            <m:r>
              <w:rPr>
                <w:rFonts w:ascii="Cambria Math" w:hAnsi="Cambria Math"/>
                <w:lang w:bidi="en-US"/>
              </w:rPr>
              <m:rPr/>
              <m:t>inst</m:t>
            </m:r>
          </m:sup>
        </m:sSubSup>
        <m:r>
          <w:rPr>
            <w:rFonts w:ascii="Cambria Math" w:hAnsi="Cambria Math"/>
            <w:lang w:bidi="en-US"/>
          </w:rPr>
          <m:rPr/>
          <m:t> |</m:t>
        </m:r>
      </m:oMath>
      <w:r>
        <w:rPr>
          <w:rFonts w:ascii="Times New Roman" w:hAnsi="Times New Roman" w:eastAsia="Times New Roman" w:cs="Times New Roman"/>
          <w:color w:val="000000" w:themeColor="text1"/>
          <w:sz w:val="24"/>
          <w:szCs w:val="24"/>
        </w:rPr>
        <w:t xml:space="preserve">, (ii) instability score magnitude, and (iii) consistency of structured effect patterns, defined as absence of stochastic fluctuations across partitions relative to the dominant trend. Selection was restricted to genes within the </w:t>
      </w:r>
      <w:r>
        <w:rPr>
          <w:rFonts w:ascii="Times New Roman" w:hAnsi="Times New Roman" w:eastAsia="Times New Roman" w:cs="Times New Roman"/>
          <w:color w:val="000000" w:themeColor="text1"/>
          <w:sz w:val="24"/>
          <w:szCs w:val="24"/>
        </w:rPr>
        <w:t xml:space="preserve">Top-N</w:t>
      </w:r>
      <w:r>
        <w:rPr>
          <w:rFonts w:ascii="Times New Roman" w:hAnsi="Times New Roman" w:eastAsia="Times New Roman" w:cs="Times New Roman"/>
          <w:color w:val="000000" w:themeColor="text1"/>
          <w:sz w:val="24"/>
          <w:szCs w:val="24"/>
        </w:rPr>
        <w:t xml:space="preserve"> ranked sets used for overlap analysis, ensuring consistency with the global </w:t>
      </w:r>
      <w:r>
        <w:rPr>
          <w:rFonts w:ascii="Times New Roman" w:hAnsi="Times New Roman" w:eastAsia="Times New Roman" w:cs="Times New Roman"/>
          <w:color w:val="000000" w:themeColor="text1"/>
          <w:sz w:val="24"/>
          <w:szCs w:val="24"/>
        </w:rPr>
        <w:t xml:space="preserve">prioritization framework. No manual curation based on gene identity or prior functional knowledge was applied.</w:t>
      </w:r>
      <w:r/>
    </w:p>
    <w:p w14:paraId="3C9CDD2F"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themeColor="text1"/>
          <w:sz w:val="24"/>
          <w:szCs w:val="24"/>
        </w:rPr>
        <w:t xml:space="preserve">Functional annotation was assigned post hoc by mapping selected gene identifiers to reference genome annotations and associated protein records, followed by integration of annotations from NCBI, </w:t>
      </w:r>
      <w:r>
        <w:rPr>
          <w:rFonts w:ascii="Times New Roman" w:hAnsi="Times New Roman" w:eastAsia="Times New Roman" w:cs="Times New Roman"/>
          <w:color w:val="000000" w:themeColor="text1"/>
          <w:sz w:val="24"/>
          <w:szCs w:val="24"/>
        </w:rPr>
        <w:t xml:space="preserve">eggNOG</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t xml:space="preserve">InterProScan</w:t>
      </w:r>
      <w:r>
        <w:rPr>
          <w:rFonts w:ascii="Times New Roman" w:hAnsi="Times New Roman" w:eastAsia="Times New Roman" w:cs="Times New Roman"/>
          <w:color w:val="000000" w:themeColor="text1"/>
          <w:sz w:val="24"/>
          <w:szCs w:val="24"/>
        </w:rPr>
        <w:t xml:space="preserve">, and </w:t>
      </w:r>
      <w:r>
        <w:rPr>
          <w:rFonts w:ascii="Times New Roman" w:hAnsi="Times New Roman" w:eastAsia="Times New Roman" w:cs="Times New Roman"/>
          <w:color w:val="000000" w:themeColor="text1"/>
          <w:sz w:val="24"/>
          <w:szCs w:val="24"/>
        </w:rPr>
        <w:t xml:space="preserve">Pfam</w:t>
      </w:r>
      <w:r>
        <w:rPr>
          <w:rFonts w:ascii="Times New Roman" w:hAnsi="Times New Roman" w:eastAsia="Times New Roman" w:cs="Times New Roman"/>
          <w:color w:val="000000" w:themeColor="text1"/>
          <w:sz w:val="24"/>
          <w:szCs w:val="24"/>
        </w:rPr>
        <w:t xml:space="preserve"> databases.</w:t>
      </w:r>
      <w:r/>
    </w:p>
    <w:p w14:paraId="68DE1F00"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2.10. </w:t>
      </w:r>
      <w:r>
        <w:rPr>
          <w:rFonts w:ascii="Times New Roman" w:hAnsi="Times New Roman" w:eastAsia="Times New Roman" w:cs="Times New Roman"/>
          <w:b/>
          <w:bCs/>
          <w:color w:val="000000" w:themeColor="text1"/>
          <w:sz w:val="24"/>
          <w:szCs w:val="24"/>
        </w:rPr>
        <w:t xml:space="preserve">Synthetic benchmarking and variance disentanglement</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C58356B"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Synthetic datasets were constructed to represent coherent, opposing, and phase-structured regulatory regimes. For each scenario, condition-level effect, instability, and variance proxy were computed as described above.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F060B5C"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Summary statistics were reported as mean ± standard deviation or median and interquartile range. To assess whether instability is reducible to variance, changes in instability and variance were compared across scenarios.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5EE98D2" w14:textId="77777777">
      <w:pPr>
        <w:pStyle w:val="816"/>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b/>
          <w:bCs/>
          <w:color w:val="000000" w:themeColor="text1"/>
          <w:sz w:val="24"/>
          <w:szCs w:val="24"/>
        </w:rPr>
        <w:t xml:space="preserve">2.11. </w:t>
      </w:r>
      <w:r>
        <w:rPr>
          <w:rFonts w:ascii="Times New Roman" w:hAnsi="Times New Roman" w:eastAsia="Times New Roman" w:cs="Times New Roman"/>
          <w:b/>
          <w:bCs/>
          <w:color w:val="000000" w:themeColor="text1"/>
          <w:sz w:val="24"/>
          <w:szCs w:val="24"/>
        </w:rPr>
        <w:t xml:space="preserve">Robustness and uncertainty estimation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69864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Threshold robustness was evaluated across ranges of condition-level effect and instability quantiles. Stability of condition separation and gene prioritization was assessed across these parameter settings.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4524C4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color w:val="000000" w:themeColor="text1"/>
          <w:sz w:val="24"/>
          <w:szCs w:val="24"/>
        </w:rPr>
        <w:t xml:space="preserve">Uncertainty in masked fractions and related statistics was estimated using bootstrap resampling, and results were summarized as mean ± standard deviation.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444455D" w14:textId="77777777">
      <w:pPr>
        <w:pStyle w:val="817"/>
        <w:pBdr>
          <w:top w:val="none" w:color="000000" w:sz="4" w:space="0"/>
          <w:left w:val="none" w:color="000000" w:sz="4" w:space="0"/>
          <w:bottom w:val="none" w:color="000000" w:sz="4" w:space="0"/>
          <w:right w:val="none" w:color="000000" w:sz="4" w:space="0"/>
        </w:pBdr>
        <w:spacing/>
        <w:ind/>
        <w:rPr>
          <w:sz w:val="24"/>
          <w:szCs w:val="24"/>
        </w:rPr>
      </w:pPr>
      <w:r>
        <w:rPr>
          <w:rFonts w:ascii="Times New Roman" w:hAnsi="Times New Roman" w:eastAsia="Times New Roman" w:cs="Times New Roman"/>
          <w:b/>
          <w:color w:val="000000"/>
          <w:sz w:val="24"/>
          <w:szCs w:val="24"/>
        </w:rPr>
        <w:t xml:space="preserve">2.12. </w:t>
      </w:r>
      <w:r>
        <w:rPr>
          <w:rFonts w:ascii="Times New Roman" w:hAnsi="Times New Roman" w:eastAsia="Times New Roman" w:cs="Times New Roman"/>
          <w:b/>
          <w:color w:val="000000"/>
          <w:sz w:val="24"/>
          <w:szCs w:val="24"/>
        </w:rPr>
        <w:t xml:space="preserve">Software implementation</w:t>
      </w:r>
      <w:r>
        <w:rPr>
          <w:sz w:val="24"/>
          <w:szCs w:val="24"/>
        </w:rPr>
      </w:r>
      <w:r>
        <w:rPr>
          <w:sz w:val="24"/>
          <w:szCs w:val="24"/>
        </w:rPr>
      </w:r>
    </w:p>
    <w:p w14:paraId="4B1A4BF4" w14:textId="77777777">
      <w:pPr>
        <w:pStyle w:val="1117"/>
        <w:pBdr/>
        <w:spacing w:line="276" w:lineRule="auto"/>
        <w:ind/>
        <w:jc w:val="both"/>
        <w:rPr/>
      </w:pPr>
      <w:r>
        <w:rPr>
          <w:rFonts w:ascii="Times New Roman" w:hAnsi="Times New Roman" w:eastAsia="Times New Roman" w:cs="Times New Roman"/>
          <w:color w:val="000000"/>
          <w:sz w:val="24"/>
        </w:rPr>
        <w:t xml:space="preserve">All analyses were performed in </w:t>
      </w:r>
      <w:r>
        <w:rPr>
          <w:rFonts w:ascii="Times New Roman" w:hAnsi="Times New Roman" w:eastAsia="Times New Roman" w:cs="Times New Roman"/>
          <w:b/>
          <w:color w:val="000000"/>
          <w:sz w:val="24"/>
        </w:rPr>
        <w:t xml:space="preserve">R v4.4.3</w:t>
      </w:r>
      <w:r>
        <w:rPr>
          <w:rFonts w:ascii="Times New Roman" w:hAnsi="Times New Roman" w:eastAsia="Times New Roman" w:cs="Times New Roman"/>
          <w:color w:val="000000"/>
          <w:sz w:val="24"/>
        </w:rPr>
        <w:t xml:space="preserve"> using a custom analysis pipeline developed for instability quantification and downstream transcriptomic analysis. Transcript quantification was performed using </w:t>
      </w:r>
      <w:r>
        <w:rPr>
          <w:rFonts w:ascii="Times New Roman" w:hAnsi="Times New Roman" w:eastAsia="Times New Roman" w:cs="Times New Roman"/>
          <w:b/>
          <w:color w:val="000000"/>
          <w:sz w:val="24"/>
        </w:rPr>
        <w:t xml:space="preserve">Salmon v1.10.2</w:t>
      </w:r>
      <w:r>
        <w:rPr>
          <w:rFonts w:ascii="Times New Roman" w:hAnsi="Times New Roman" w:eastAsia="Times New Roman" w:cs="Times New Roman"/>
          <w:color w:val="000000"/>
          <w:sz w:val="24"/>
        </w:rPr>
        <w:t xml:space="preserve">, followed by gene-level summarization using </w:t>
      </w:r>
      <w:r>
        <w:rPr>
          <w:rFonts w:ascii="Times New Roman" w:hAnsi="Times New Roman" w:eastAsia="Times New Roman" w:cs="Times New Roman"/>
          <w:b/>
          <w:color w:val="000000"/>
          <w:sz w:val="24"/>
        </w:rPr>
        <w:t xml:space="preserve">tximport v1.34.0</w:t>
      </w:r>
      <w:r>
        <w:rPr>
          <w:rFonts w:ascii="Times New Roman" w:hAnsi="Times New Roman" w:eastAsia="Times New Roman" w:cs="Times New Roman"/>
          <w:color w:val="000000"/>
          <w:sz w:val="24"/>
        </w:rPr>
        <w:t xml:space="preserve"> and variance-stabilizing transformation using </w:t>
      </w:r>
      <w:r>
        <w:rPr>
          <w:rFonts w:ascii="Times New Roman" w:hAnsi="Times New Roman" w:eastAsia="Times New Roman" w:cs="Times New Roman"/>
          <w:b/>
          <w:color w:val="000000"/>
          <w:sz w:val="24"/>
        </w:rPr>
        <w:t xml:space="preserve">DESeq2 v1.46.0</w:t>
      </w:r>
      <w:r>
        <w:rPr>
          <w:rFonts w:ascii="Times New Roman" w:hAnsi="Times New Roman" w:eastAsia="Times New Roman" w:cs="Times New Roman"/>
          <w:color w:val="000000"/>
          <w:sz w:val="24"/>
        </w:rPr>
        <w:t xml:space="preserve">. Differential-expression analyses were performed using </w:t>
      </w:r>
      <w:r>
        <w:rPr>
          <w:rFonts w:ascii="Times New Roman" w:hAnsi="Times New Roman" w:eastAsia="Times New Roman" w:cs="Times New Roman"/>
          <w:b/>
          <w:color w:val="000000"/>
          <w:sz w:val="24"/>
        </w:rPr>
        <w:t xml:space="preserve">limma v3.62.1</w:t>
      </w:r>
      <w:r>
        <w:rPr>
          <w:rFonts w:ascii="Times New Roman" w:hAnsi="Times New Roman" w:eastAsia="Times New Roman" w:cs="Times New Roman"/>
          <w:color w:val="000000"/>
          <w:sz w:val="24"/>
        </w:rPr>
        <w:t xml:space="preserve">, and all downstream statistical analyses, visualization, and instability calculations were implemented in R. </w:t>
      </w:r>
      <w:r/>
    </w:p>
    <w:p w14:paraId="0B1E9AD9" w14:textId="5DEF9D43">
      <w:pPr>
        <w:pStyle w:val="816"/>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Results</w:t>
      </w:r>
      <w:r>
        <w:rPr>
          <w:rFonts w:ascii="Times New Roman" w:hAnsi="Times New Roman" w:cs="Times New Roman"/>
          <w:b/>
          <w:bCs/>
          <w:sz w:val="24"/>
          <w:szCs w:val="24"/>
        </w:rPr>
      </w:r>
      <w:r>
        <w:rPr>
          <w:rFonts w:ascii="Times New Roman" w:hAnsi="Times New Roman" w:cs="Times New Roman"/>
          <w:b/>
          <w:bCs/>
          <w:sz w:val="24"/>
          <w:szCs w:val="24"/>
        </w:rPr>
      </w:r>
    </w:p>
    <w:p w14:paraId="7648716E" w14:textId="6A4D5FB8">
      <w:pPr>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To evaluate instability across distinct forms of internal heterogeneity, we analyzed RNA-seq datasets representing subgroup- and time-dependent stress responses in </w:t>
      </w:r>
      <w:r>
        <w:rPr>
          <w:rFonts w:ascii="Times New Roman" w:hAnsi="Times New Roman" w:eastAsia="Times New Roman" w:cs="Times New Roman"/>
          <w:i/>
          <w:iCs/>
          <w:sz w:val="24"/>
          <w:szCs w:val="24"/>
        </w:rPr>
        <w:t xml:space="preserve">Ramazzottius</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varieornatus</w:t>
      </w:r>
      <w:r>
        <w:rPr>
          <w:rFonts w:ascii="Times New Roman" w:hAnsi="Times New Roman" w:eastAsia="Times New Roman" w:cs="Times New Roman"/>
          <w:sz w:val="24"/>
          <w:szCs w:val="24"/>
        </w:rPr>
        <w:t xml:space="preserve">. Ultraviolet exposure (UV) contained temporally distinct response regimes with partially conflicting</w:t>
      </w:r>
      <w:r>
        <w:rPr>
          <w:rFonts w:ascii="Times New Roman" w:hAnsi="Times New Roman" w:eastAsia="Times New Roman" w:cs="Times New Roman"/>
          <w:sz w:val="24"/>
          <w:szCs w:val="24"/>
        </w:rPr>
        <w:t xml:space="preserve"> effects, desiccation (DES) exhibited subgroup-dependent response magnitude differences, and gamma radiation (GAM) represented temporal divergence across stress progression. In contrast, low-temperature controls (LT) showed comparatively consistent respons</w:t>
      </w:r>
      <w:r>
        <w:rPr>
          <w:rFonts w:ascii="Times New Roman" w:hAnsi="Times New Roman" w:eastAsia="Times New Roman" w:cs="Times New Roman"/>
          <w:sz w:val="24"/>
          <w:szCs w:val="24"/>
        </w:rPr>
        <w:t xml:space="preserve">es and were used as a relatively homogeneous reference condition. Here, heterogeneity refers to structured internal variation within a condition, such as temporal phases or biological subgroups, rather than differences between treatment and control groups.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9414DDC" w14:textId="120B11C3">
      <w:pPr>
        <w:pStyle w:val="1103"/>
        <w:numPr>
          <w:ilvl w:val="1"/>
          <w:numId w:val="6"/>
        </w:numPr>
        <w:pBdr>
          <w:top w:val="none" w:color="000000" w:sz="4" w:space="0"/>
          <w:left w:val="none" w:color="000000" w:sz="4" w:space="0"/>
          <w:bottom w:val="none" w:color="000000" w:sz="4" w:space="0"/>
          <w:right w:val="none" w:color="000000" w:sz="4" w:space="0"/>
        </w:pBdr>
        <w:spacing/>
        <w:ind w:hanging="360" w:left="360"/>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Pooled analysis attenuates structured signals across synthetic regulatory regimes</w:t>
      </w:r>
      <w:r>
        <w:rPr>
          <w:rFonts w:ascii="Times New Roman" w:hAnsi="Times New Roman" w:cs="Times New Roman"/>
          <w:b/>
          <w:bCs/>
          <w:sz w:val="24"/>
          <w:szCs w:val="24"/>
        </w:rPr>
      </w:r>
      <w:r>
        <w:rPr>
          <w:rFonts w:ascii="Times New Roman" w:hAnsi="Times New Roman" w:cs="Times New Roman"/>
          <w:b/>
          <w:bCs/>
          <w:sz w:val="24"/>
          <w:szCs w:val="24"/>
        </w:rPr>
      </w:r>
    </w:p>
    <w:p w14:paraId="20A1A950" w14:textId="1B428FFB">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We evaluated pooled analysis under controlled synthetic regimes (Fig. 2a–c). Pooled estimates preserved signal in coherent scenarios (pooled: 1.101 ± 0.036; structured: 1.102 ± 0.036</w:t>
      </w:r>
      <w:r>
        <w:rPr>
          <w:rFonts w:ascii="Times New Roman" w:hAnsi="Times New Roman" w:eastAsia="Times New Roman" w:cs="Times New Roman"/>
          <w:sz w:val="24"/>
          <w:szCs w:val="24"/>
        </w:rPr>
        <w:t xml:space="preserve">), but</w:t>
      </w:r>
      <w:r>
        <w:rPr>
          <w:rFonts w:ascii="Times New Roman" w:hAnsi="Times New Roman" w:eastAsia="Times New Roman" w:cs="Times New Roman"/>
          <w:sz w:val="24"/>
          <w:szCs w:val="24"/>
        </w:rPr>
        <w:t xml:space="preserve"> strongly attenuated structured signals. In opposing </w:t>
      </w:r>
      <w:r>
        <w:rPr>
          <w:rFonts w:ascii="Times New Roman" w:hAnsi="Times New Roman" w:eastAsia="Times New Roman" w:cs="Times New Roman"/>
          <w:sz w:val="24"/>
          <w:szCs w:val="24"/>
        </w:rPr>
        <w:t xml:space="preserve">scenarios, mean absolute effect decreased from 1.497 ± 0.019 (structured) to 0.283 ± 0.019 (pooled), a ~5.3-fold reduction. In phase-structured time-course data, pooled magnitude (0.251 ± 0.022) was reduced relative to structured estimates (0.850 ± 0.012),</w:t>
      </w:r>
      <w:r>
        <w:rPr>
          <w:rFonts w:ascii="Times New Roman" w:hAnsi="Times New Roman" w:eastAsia="Times New Roman" w:cs="Times New Roman"/>
          <w:sz w:val="24"/>
          <w:szCs w:val="24"/>
        </w:rPr>
        <w:t xml:space="preserve"> a ~3.4-fold decrease, while coherent signals remained stable (pooled: 0.999 ± 0.031; structured: 1.001 ± 0.031). Null scenarios showed low effects under both analyses (subgroup: 0.282 ± 0.008 vs 0.325 ± 0.007; time-course: 0.252 ± 0.006 vs 0.325 ± 0.006).</w:t>
      </w:r>
      <w:r/>
    </w:p>
    <w:p w14:paraId="5AD94C9D" w14:textId="0C3D4AF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Masking was negligible in coherent and null regimes b</w:t>
      </w:r>
      <w:r>
        <w:rPr>
          <w:rFonts w:ascii="Times New Roman" w:hAnsi="Times New Roman" w:eastAsia="Times New Roman" w:cs="Times New Roman"/>
          <w:sz w:val="24"/>
          <w:szCs w:val="24"/>
        </w:rPr>
        <w:t xml:space="preserve">ut substantial in structured cases, with masked fractions of 0.278 ± 0.020 (opposing) and 0.281 ± 0.025 (phase), indicating that approximately 28% of genes were masked under structured regimes, defined by low-to-moderate pooled effect and high instability.</w:t>
      </w:r>
      <w:r>
        <w:rPr>
          <w:rFonts w:ascii="Times New Roman" w:hAnsi="Times New Roman" w:cs="Times New Roman"/>
          <w:sz w:val="24"/>
          <w:szCs w:val="24"/>
        </w:rPr>
      </w:r>
      <w:r>
        <w:rPr>
          <w:rFonts w:ascii="Times New Roman" w:hAnsi="Times New Roman" w:cs="Times New Roman"/>
          <w:sz w:val="24"/>
          <w:szCs w:val="24"/>
        </w:rPr>
      </w:r>
    </w:p>
    <w:p w14:paraId="62C00CB3" w14:textId="574A85C4">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cs="Times New Roman"/>
          <w:sz w:val="24"/>
          <w:szCs w:val="24"/>
        </w:rPr>
        <w:t xml:space="preserve">These results demonstrate that attenuation under pooling i</w:t>
      </w:r>
      <w:r>
        <w:rPr>
          <w:rFonts w:ascii="Times New Roman" w:hAnsi="Times New Roman" w:cs="Times New Roman"/>
          <w:sz w:val="24"/>
          <w:szCs w:val="24"/>
        </w:rPr>
        <w:t xml:space="preserve">s not a consequence of noise or insufficient signal strength but arises specifically from structured disagreement between underlying responses. In such cases, pooled estimates provide no indication that biologically meaningful effects have been suppressed.</w:t>
      </w:r>
      <w:r>
        <w:rPr>
          <w:rFonts w:ascii="Times New Roman" w:hAnsi="Times New Roman" w:cs="Times New Roman"/>
          <w:sz w:val="24"/>
          <w:szCs w:val="24"/>
        </w:rPr>
      </w:r>
      <w:r>
        <w:rPr>
          <w:rFonts w:ascii="Times New Roman" w:hAnsi="Times New Roman" w:cs="Times New Roman"/>
          <w:sz w:val="24"/>
          <w:szCs w:val="24"/>
        </w:rPr>
      </w:r>
    </w:p>
    <w:p w14:paraId="58BCEB3B" w14:textId="22111B00">
      <w:pPr>
        <w:pStyle w:val="1103"/>
        <w:numPr>
          <w:ilvl w:val="1"/>
          <w:numId w:val="6"/>
        </w:numPr>
        <w:pBdr>
          <w:top w:val="none" w:color="000000" w:sz="4" w:space="0"/>
          <w:left w:val="none" w:color="000000" w:sz="4" w:space="0"/>
          <w:bottom w:val="none" w:color="000000" w:sz="4" w:space="0"/>
          <w:right w:val="none" w:color="000000" w:sz="4" w:space="0"/>
        </w:pBdr>
        <w:spacing/>
        <w:ind w:hanging="450" w:left="45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Instability is distinct from variance and reveals masked signals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4014A5F2" w14:textId="28E3D401">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To assess whether instability reveals signals not captured by pooled analysis, we compared pooled effect size and instability across 15,187 genes in the UV dataset (Fig. 3a–d). Using thresholds Q0.25(|</w:t>
      </w:r>
      <w:r>
        <w:rPr>
          <w:rFonts w:ascii="Times New Roman" w:hAnsi="Times New Roman" w:eastAsia="Times New Roman" w:cs="Times New Roman"/>
          <w:sz w:val="24"/>
          <w:szCs w:val="24"/>
        </w:rPr>
        <w:t xml:space="preserve">Δ_pool</w:t>
      </w:r>
      <w:r>
        <w:rPr>
          <w:rFonts w:ascii="Times New Roman" w:hAnsi="Times New Roman" w:eastAsia="Times New Roman" w:cs="Times New Roman"/>
          <w:sz w:val="24"/>
          <w:szCs w:val="24"/>
        </w:rPr>
        <w:t xml:space="preserve">|) = 0.119 and Q0.90(instability) = 1.146, 283 genes (~1.9%) were identified within a masked</w:t>
      </w:r>
      <w:r>
        <w:rPr>
          <w:rFonts w:ascii="Times New Roman" w:hAnsi="Times New Roman" w:eastAsia="Times New Roman" w:cs="Times New Roman"/>
          <w:sz w:val="24"/>
          <w:szCs w:val="24"/>
        </w:rPr>
        <w:t xml:space="preserve"> region characterized by low pooled effect but high instability. Representative genes (e.g., RvY_14730-1, RvY_14133, RvY_06540-1; Supplementary Table S2) showed strong opposing subgroup effects (|Δ| ≈ 1.18–1.31) that collapsed toward near-zero when pooled.</w:t>
      </w:r>
      <w:r/>
    </w:p>
    <w:p w14:paraId="12144DF1" w14:textId="02C3AA08">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Logistic regression confirmed instability as a strong predictor of masking (β = 3.16 ± 0.13, z = 24.28, p &lt; 2 × 10⁻¹⁶), whereas variance showed a weaker negative association (β = −0.65 ± 0.23, z = −2.86, p = 0.004), improving overall model fit (</w:t>
      </w:r>
      <w:r>
        <w:rPr>
          <w:rFonts w:ascii="Times New Roman" w:hAnsi="Times New Roman" w:eastAsia="Times New Roman" w:cs="Times New Roman"/>
          <w:sz w:val="24"/>
          <w:szCs w:val="24"/>
        </w:rPr>
        <w:t xml:space="preserve">Δdeviance</w:t>
      </w:r>
      <w:r>
        <w:rPr>
          <w:rFonts w:ascii="Times New Roman" w:hAnsi="Times New Roman" w:eastAsia="Times New Roman" w:cs="Times New Roman"/>
          <w:sz w:val="24"/>
          <w:szCs w:val="24"/>
        </w:rPr>
        <w:t xml:space="preserve"> = 847.8; AIC = 1973.1). This supports a distinction between variance as a measure of dispersion and instability as a measure of structured divergence.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7EA7509" w14:textId="77777CD8">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Grouping genes by instability revealed a progressive increase in directional discordance. Median divergence rose from 0.40 (IQR: 0.18–0.72) in the full set to 1.33 (1.19–1.55) and 1.55 (1.42–1.77) </w:t>
      </w:r>
      <w:r>
        <w:rPr>
          <w:rFonts w:ascii="Times New Roman" w:hAnsi="Times New Roman" w:eastAsia="Times New Roman" w:cs="Times New Roman"/>
          <w:sz w:val="24"/>
          <w:szCs w:val="24"/>
        </w:rPr>
        <w:t xml:space="preserve">in the top 10% and 5% instability tiers, respectively (~3.3-fold increase). Masked genes consistently exhibited opposing subgroup effects, indicating structured cancellation rather than weak signal. DES-specific patterns are shown in Supplementary Fig. S1.</w:t>
      </w:r>
      <w:r>
        <w:rPr>
          <w:rFonts w:ascii="Times New Roman" w:hAnsi="Times New Roman" w:cs="Times New Roman"/>
          <w:sz w:val="24"/>
          <w:szCs w:val="24"/>
        </w:rPr>
      </w:r>
      <w:r>
        <w:rPr>
          <w:rFonts w:ascii="Times New Roman" w:hAnsi="Times New Roman" w:cs="Times New Roman"/>
          <w:sz w:val="24"/>
          <w:szCs w:val="24"/>
        </w:rPr>
      </w:r>
    </w:p>
    <w:p w14:paraId="7709CB90" w14:textId="0D8F96E8">
      <w:pPr>
        <w:pStyle w:val="1103"/>
        <w:numPr>
          <w:ilvl w:val="1"/>
          <w:numId w:val="6"/>
        </w:numPr>
        <w:pBdr>
          <w:top w:val="none" w:color="000000" w:sz="4" w:space="0"/>
          <w:left w:val="none" w:color="000000" w:sz="4" w:space="0"/>
          <w:bottom w:val="none" w:color="000000" w:sz="4" w:space="0"/>
          <w:right w:val="none" w:color="000000" w:sz="4" w:space="0"/>
        </w:pBdr>
        <w:spacing/>
        <w:ind w:hanging="450" w:left="450"/>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Instability differs across structured and homogeneous conditions</w:t>
      </w:r>
      <w:r>
        <w:rPr>
          <w:rFonts w:ascii="Times New Roman" w:hAnsi="Times New Roman" w:cs="Times New Roman"/>
          <w:b/>
          <w:bCs/>
          <w:sz w:val="24"/>
          <w:szCs w:val="24"/>
        </w:rPr>
      </w:r>
      <w:r>
        <w:rPr>
          <w:rFonts w:ascii="Times New Roman" w:hAnsi="Times New Roman" w:cs="Times New Roman"/>
          <w:b/>
          <w:bCs/>
          <w:sz w:val="24"/>
          <w:szCs w:val="24"/>
        </w:rPr>
      </w:r>
    </w:p>
    <w:p w14:paraId="5883AF81" w14:textId="3D5525AE">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distributions varied across conditions (Fig. 4a), with median values of 0.43 (UV), 0.39 (</w:t>
      </w:r>
      <w:r>
        <w:rPr>
          <w:rFonts w:ascii="Times New Roman" w:hAnsi="Times New Roman" w:eastAsia="Times New Roman" w:cs="Times New Roman"/>
          <w:sz w:val="24"/>
          <w:szCs w:val="24"/>
        </w:rPr>
        <w:t xml:space="preserve">DES), and 0.77 (GAM), compared with 0.21 in the homogeneous LT condition. Structured conditions showed broader distributions and extended high-instability tails, whereas LT remained tightly constrained at low values, consistent with a homogeneous response.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C88687C" w14:textId="2CA46AFA">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pattern, high-instability tail occupancy was enriched in structured conditions (Fig</w:t>
      </w:r>
      <w:r>
        <w:rPr>
          <w:rFonts w:ascii="Times New Roman" w:hAnsi="Times New Roman" w:eastAsia="Times New Roman" w:cs="Times New Roman"/>
          <w:sz w:val="24"/>
          <w:szCs w:val="24"/>
        </w:rPr>
        <w:t xml:space="preserve">. 4b). The fraction of genes within the top 10% instability range reached 10% (UV), 9% (DES), and 20% (GAM), compared with 0.8% in LT. Similarly, the top 5% tail showed enrichment in UV (4.8%), DES (5.3%), and GAM (9.6%), but remained minimal in LT (0.3%).</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E47068D" w14:textId="45C2F64D">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Decomposition of instability into heterogeneity gap and directional </w:t>
      </w:r>
      <w:r>
        <w:rPr>
          <w:rFonts w:ascii="Times New Roman" w:hAnsi="Times New Roman" w:eastAsia="Times New Roman" w:cs="Times New Roman"/>
          <w:sz w:val="24"/>
          <w:szCs w:val="24"/>
        </w:rPr>
        <w:t xml:space="preserve">discordance revealed distinct condition-specific drivers (Fig. 4c). GAM exhibited the highest heterogeneity (0.67) and discordance (0.125), indicating strong temporal divergence. DES showed comparable heterogeneity (0.39) but negligible discordance, consis</w:t>
      </w:r>
      <w:r>
        <w:rPr>
          <w:rFonts w:ascii="Times New Roman" w:hAnsi="Times New Roman" w:eastAsia="Times New Roman" w:cs="Times New Roman"/>
          <w:sz w:val="24"/>
          <w:szCs w:val="24"/>
        </w:rPr>
        <w:t xml:space="preserve">tent with magnitude differences across subgroups. UV displayed intermediate heterogeneity (0.40) with modest discordance (0.026), reflecting partial subgroup conflict. In contrast, LT exhibited uniformly low heterogeneity (0.21) and near-zero discordance. </w:t>
      </w:r>
      <w:r/>
    </w:p>
    <w:p w14:paraId="5AAB1E0F" w14:textId="2E4DD52F">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sz w:val="24"/>
          <w:szCs w:val="24"/>
        </w:rPr>
        <w:t xml:space="preserve">These structural differences tra</w:t>
      </w:r>
      <w:r>
        <w:rPr>
          <w:rFonts w:ascii="Times New Roman" w:hAnsi="Times New Roman" w:eastAsia="Times New Roman" w:cs="Times New Roman"/>
          <w:sz w:val="24"/>
          <w:szCs w:val="24"/>
        </w:rPr>
        <w:t xml:space="preserve">nslated into condition-specific masking behavior (Fig. 4d). The fraction of masked genes remained minimal in LT (0.0066%) but increased in structured conditions (UV 1.40%, DES 0.34%, GAM 3.37%; bootstrap means: 0.014 ± 0.002, 0.004 ± 0.001, 0.034 ± 0.003).</w:t>
      </w:r>
      <w:r/>
    </w:p>
    <w:p w14:paraId="545A05E3" w14:textId="27EA3E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Together, these results show that instability is selectively elevated in the presence of structured internal variation and remains low in homogeneous conditions, indicating that it captures structured disagreement rather than overall signal magnitude.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B2E300E" w14:textId="2E741762">
      <w:pPr>
        <w:pStyle w:val="1103"/>
        <w:numPr>
          <w:ilvl w:val="1"/>
          <w:numId w:val="6"/>
        </w:numPr>
        <w:pBdr>
          <w:top w:val="none" w:color="000000" w:sz="4" w:space="0"/>
          <w:left w:val="none" w:color="000000" w:sz="4" w:space="0"/>
          <w:bottom w:val="none" w:color="000000" w:sz="4" w:space="0"/>
          <w:right w:val="none" w:color="000000" w:sz="4" w:space="0"/>
        </w:pBdr>
        <w:tabs>
          <w:tab w:val="left" w:leader="none" w:pos="360"/>
        </w:tabs>
        <w:spacing/>
        <w:ind w:hanging="540" w:left="540"/>
        <w:jc w:val="both"/>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Instability identifies genes missed by pooled analysis</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63836AC9" w14:textId="497A4A6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Across all genes (n = 15,187), instability-based prioritization diverged strongly from pooled effect–based ranking (Fig. 5a). Rank–rank comparison revealed a distinct subset of genes that were highly prioritized by in</w:t>
      </w:r>
      <w:r>
        <w:rPr>
          <w:rFonts w:ascii="Times New Roman" w:hAnsi="Times New Roman" w:eastAsia="Times New Roman" w:cs="Times New Roman"/>
          <w:sz w:val="24"/>
          <w:szCs w:val="24"/>
        </w:rPr>
        <w:t xml:space="preserve">stability but ranked poorly by pooled log2 fold change, with representative genes (RvY_14730-1, RvY_18684-1, RvY_14091-1) shifting by more than 11,000 rank positions. This displacement indicates systematic masking of structured responses under aggregation.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482A4CA2" w14:textId="723C56FD">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Consistent with this displacement, instability- and pooled-based selections showed minimal overlap (Fig. 5b). At N = 100, no shared genes were observed, indicating distinct prioritization regimes. This separation re</w:t>
      </w:r>
      <w:r>
        <w:rPr>
          <w:rFonts w:ascii="Times New Roman" w:hAnsi="Times New Roman" w:eastAsia="Times New Roman" w:cs="Times New Roman"/>
          <w:sz w:val="24"/>
          <w:szCs w:val="24"/>
        </w:rPr>
        <w:t xml:space="preserve">flects fundamentally different prioritization criteria rather than instability of ranking, with instability selectively capturing genes exhibiting structured heterogeneity, in contrast to pooled analysis, which favors genes with consistent average effects.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1617CB5" w14:textId="62611B0B">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separation between prioritization regimes remained stable across selection thresholds (Fig. 5c). Overlap remained negligible at N = 50 and N = </w:t>
      </w:r>
      <w:r>
        <w:rPr>
          <w:rFonts w:ascii="Times New Roman" w:hAnsi="Times New Roman" w:eastAsia="Times New Roman" w:cs="Times New Roman"/>
          <w:sz w:val="24"/>
          <w:szCs w:val="24"/>
        </w:rPr>
        <w:t xml:space="preserve">100, and</w:t>
      </w:r>
      <w:r>
        <w:rPr>
          <w:rFonts w:ascii="Times New Roman" w:hAnsi="Times New Roman" w:eastAsia="Times New Roman" w:cs="Times New Roman"/>
          <w:sz w:val="24"/>
          <w:szCs w:val="24"/>
        </w:rPr>
        <w:t xml:space="preserve"> increased only modestly at larger thresholds (Jaccard index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200) = 0.020; </w:t>
      </w:r>
      <w:r>
        <w:rPr>
          <w:rFonts w:ascii="Times New Roman" w:hAnsi="Times New Roman" w:eastAsia="Times New Roman" w:cs="Times New Roman"/>
          <w:sz w:val="24"/>
          <w:szCs w:val="24"/>
        </w:rPr>
        <w:t xml:space="preserve">J(</w:t>
      </w:r>
      <w:r>
        <w:rPr>
          <w:rFonts w:ascii="Times New Roman" w:hAnsi="Times New Roman" w:eastAsia="Times New Roman" w:cs="Times New Roman"/>
          <w:sz w:val="24"/>
          <w:szCs w:val="24"/>
        </w:rPr>
        <w:t xml:space="preserve">500) = 0.046), corresponding to 8 and 44 shared genes, respectively, and remaining below 5% even under relaxed thresholds.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FA5B18F" w14:textId="42C84581">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Representative examples illustrate the contrasting biological patterns captured by each approach (Fig. 5d). Instability-selected genes showed high instability (2.89–2.98) and stro</w:t>
      </w:r>
      <w:r>
        <w:rPr>
          <w:rFonts w:ascii="Times New Roman" w:hAnsi="Times New Roman" w:eastAsia="Times New Roman" w:cs="Times New Roman"/>
          <w:sz w:val="24"/>
          <w:szCs w:val="24"/>
        </w:rPr>
        <w:t xml:space="preserve">ng effect divergence across groups (2.75–2.85), consistent with opposing or subgroup-dependent responses. In contrast, pooled-selected genes exhibited low instability (0.08–0.28) and consistent regulation across groups, reflecting stable average responses.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14EF7B1"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Functional characterization of instability-recovered masked genes further supports their biological relevance (Fig. 5e</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Domain-based annotation (</w:t>
      </w:r>
      <w:r>
        <w:rPr>
          <w:rFonts w:ascii="Times New Roman" w:hAnsi="Times New Roman" w:eastAsia="Times New Roman" w:cs="Times New Roman"/>
          <w:sz w:val="24"/>
          <w:szCs w:val="24"/>
        </w:rPr>
        <w:t xml:space="preserve">Pfam</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InterProScan</w:t>
      </w:r>
      <w:r>
        <w:rPr>
          <w:rFonts w:ascii="Times New Roman" w:hAnsi="Times New Roman" w:eastAsia="Times New Roman" w:cs="Times New Roman"/>
          <w:sz w:val="24"/>
          <w:szCs w:val="24"/>
        </w:rPr>
        <w:t xml:space="preserve">) revealed representation across multiple functional classes, including signaling</w:t>
      </w:r>
      <w:r>
        <w:rPr>
          <w:rFonts w:ascii="Times New Roman" w:hAnsi="Times New Roman" w:eastAsia="Times New Roman" w:cs="Times New Roman"/>
          <w:sz w:val="24"/>
          <w:szCs w:val="24"/>
        </w:rPr>
        <w:t xml:space="preserve">/receptor proteins, metabolic enzymes, and nucleic acid–associated regulators, with complete annotation and classification provided in Supplementary Table S3. Notably, instability-based prioritization recovered neuroendocrine signaling peptides, including </w:t>
      </w:r>
      <w:r>
        <w:rPr>
          <w:rFonts w:ascii="Times New Roman" w:hAnsi="Times New Roman" w:eastAsia="Times New Roman" w:cs="Times New Roman"/>
          <w:sz w:val="24"/>
          <w:szCs w:val="24"/>
        </w:rPr>
        <w:t xml:space="preserve">Corazonin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Crz</w:t>
      </w:r>
      <w:r>
        <w:rPr>
          <w:rFonts w:ascii="Times New Roman" w:hAnsi="Times New Roman" w:eastAsia="Times New Roman" w:cs="Times New Roman"/>
          <w:sz w:val="24"/>
          <w:szCs w:val="24"/>
        </w:rPr>
        <w:t xml:space="preserve">), Pigment-Dispersing Hormone (PDH), and Crustacean Cardioactive Peptide (CCAP), which were not prominent under pooled analysis (Supplementary Table S3</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1CD21EF" w14:textId="24FC1EFB">
      <w:pPr>
        <w:pStyle w:val="1103"/>
        <w:numPr>
          <w:ilvl w:val="1"/>
          <w:numId w:val="6"/>
        </w:numPr>
        <w:pBdr>
          <w:top w:val="none" w:color="000000" w:sz="4" w:space="0"/>
          <w:left w:val="none" w:color="000000" w:sz="4" w:space="0"/>
          <w:bottom w:val="none" w:color="000000" w:sz="4" w:space="0"/>
          <w:right w:val="none" w:color="000000" w:sz="4" w:space="0"/>
        </w:pBdr>
        <w:spacing/>
        <w:ind w:hanging="360" w:left="360"/>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 </w:t>
      </w:r>
      <w:r>
        <w:rPr>
          <w:rFonts w:ascii="Times New Roman" w:hAnsi="Times New Roman" w:eastAsia="Times New Roman" w:cs="Times New Roman"/>
          <w:b/>
          <w:bCs/>
          <w:sz w:val="24"/>
          <w:szCs w:val="24"/>
        </w:rPr>
        <w:t xml:space="preserve">Instability reveals structured regulatory patterns in heterogeneous data</w:t>
      </w:r>
      <w:r>
        <w:rPr>
          <w:rFonts w:ascii="Times New Roman" w:hAnsi="Times New Roman" w:eastAsia="Times New Roman" w:cs="Times New Roman"/>
          <w:b/>
          <w:bCs/>
          <w:sz w:val="24"/>
          <w:szCs w:val="24"/>
        </w:rPr>
      </w:r>
      <w:r>
        <w:rPr>
          <w:rFonts w:ascii="Times New Roman" w:hAnsi="Times New Roman" w:eastAsia="Times New Roman" w:cs="Times New Roman"/>
          <w:b/>
          <w:bCs/>
          <w:sz w:val="24"/>
          <w:szCs w:val="24"/>
        </w:rPr>
      </w:r>
    </w:p>
    <w:p w14:paraId="2DD3DDB5" w14:textId="62759CAC">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To test whether instability captures structured disagreement beyond variance, we performed controlled synthet</w:t>
      </w:r>
      <w:r>
        <w:rPr>
          <w:rFonts w:ascii="Times New Roman" w:hAnsi="Times New Roman" w:eastAsia="Times New Roman" w:cs="Times New Roman"/>
          <w:sz w:val="24"/>
          <w:szCs w:val="24"/>
        </w:rPr>
        <w:t xml:space="preserve">ic analysis across defined response regimes (Fig. 6). Median instability rose from 0.277 (coherent) to 1.815 (phase) and 3.410 (opposing), whereas variance increased from 0.034 to 0.506 and 2.292, and pooled effects decreased from 1.042 to 0.143 and 0.164.</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A8B384D" w14:textId="1A136F60">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Instability increased ~6.5-fold (phase) and ~12-fold (opposing), whereas variance increased ~67-fold, indicating non-</w:t>
      </w:r>
      <w:r>
        <w:rPr>
          <w:rFonts w:ascii="Times New Roman" w:hAnsi="Times New Roman" w:eastAsia="Times New Roman" w:cs="Times New Roman"/>
          <w:sz w:val="24"/>
          <w:szCs w:val="24"/>
        </w:rPr>
        <w:t xml:space="preserve">proportional scaling. Variance reflects dispersion, whereas instability captures structured divergence across groups. Importantly, the non-proportional and scenario-dependent scaling indicates that instability is not a monotonic transformation of variance.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20470AA" w14:textId="10C991C3">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rPr>
      </w:pPr>
      <w:r>
        <w:rPr>
          <w:rFonts w:ascii="Times New Roman" w:hAnsi="Times New Roman" w:eastAsia="Times New Roman" w:cs="Times New Roman"/>
          <w:sz w:val="24"/>
          <w:szCs w:val="24"/>
        </w:rPr>
        <w:t xml:space="preserve">Together, these results show that instability quantifies internal disagreement rather than variance magnitude, providing a distinct signal for heterogeneous regulatory regimes.</w:t>
      </w:r>
      <w:r>
        <w:rPr>
          <w:rFonts w:ascii="Times New Roman" w:hAnsi="Times New Roman" w:eastAsia="Times New Roman" w:cs="Times New Roman"/>
        </w:rPr>
      </w:r>
      <w:r>
        <w:rPr>
          <w:rFonts w:ascii="Times New Roman" w:hAnsi="Times New Roman" w:eastAsia="Times New Roman" w:cs="Times New Roman"/>
        </w:rPr>
      </w:r>
    </w:p>
    <w:p w14:paraId="1C501624" w14:textId="0FC38D0A">
      <w:pPr>
        <w:pStyle w:val="816"/>
        <w:numPr>
          <w:ilvl w:val="0"/>
          <w:numId w:val="6"/>
        </w:numPr>
        <w:pBdr/>
        <w:spacing/>
        <w:ind/>
        <w:rPr>
          <w:rFonts w:ascii="Times New Roman" w:hAnsi="Times New Roman" w:cs="Times New Roman"/>
          <w:b/>
          <w:bCs/>
          <w:sz w:val="24"/>
          <w:szCs w:val="24"/>
        </w:rPr>
      </w:pPr>
      <w:r>
        <w:rPr>
          <w:rFonts w:ascii="Times New Roman" w:hAnsi="Times New Roman" w:cs="Times New Roman"/>
          <w:b/>
          <w:bCs/>
          <w:color w:val="auto"/>
          <w:sz w:val="24"/>
          <w:szCs w:val="24"/>
        </w:rPr>
        <w:t xml:space="preserve">Discussion</w:t>
      </w:r>
      <w:r>
        <w:rPr>
          <w:rFonts w:ascii="Times New Roman" w:hAnsi="Times New Roman" w:cs="Times New Roman"/>
          <w:b/>
          <w:bCs/>
          <w:sz w:val="24"/>
          <w:szCs w:val="24"/>
        </w:rPr>
      </w:r>
      <w:r>
        <w:rPr>
          <w:rFonts w:ascii="Times New Roman" w:hAnsi="Times New Roman" w:cs="Times New Roman"/>
          <w:b/>
          <w:bCs/>
          <w:sz w:val="24"/>
          <w:szCs w:val="24"/>
        </w:rPr>
      </w:r>
    </w:p>
    <w:p w14:paraId="476E1FD8" w14:textId="2D3167D7">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this study, we demonstrate that structured internal response diversity is an intrinsic property of many heterogeneous transcriptomic datasets and should be explicitly considered when interpreting </w:t>
      </w:r>
      <w:r>
        <w:rPr>
          <w:rFonts w:ascii="Times New Roman" w:hAnsi="Times New Roman" w:eastAsia="Times New Roman" w:cs="Times New Roman"/>
          <w:sz w:val="24"/>
          <w:szCs w:val="24"/>
        </w:rPr>
        <w:t xml:space="preserve">condition-level differential expression. When regulatory responses differ across predefin</w:t>
      </w:r>
      <w:r>
        <w:rPr>
          <w:rFonts w:ascii="Times New Roman" w:hAnsi="Times New Roman" w:eastAsia="Times New Roman" w:cs="Times New Roman"/>
          <w:sz w:val="24"/>
          <w:szCs w:val="24"/>
        </w:rPr>
        <w:t xml:space="preserve">ed biological partitions, a single condition-level transcriptional summary can attenuate structured regulatory signals, reducing opposing responses toward near-zero estimates and leading to an incomplete representation of the underlying biological response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PEVuZE5vdGU+PENpdGU+PEF1dGhvcj5TcXVhaXI8L0F1dGhvcj48WWVhcj4yMDIxPC9ZZWFyPjxS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(Newman, et al., 2015; Squair, et al., 2021; Tsoucas and Yuan, 2018; Wagner, et al., 2016)</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19B5BC9" w14:textId="7F5F16E0">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Instability provides a quantitative measure of this internal disagreement across predefined biological partitions. Across synthetic and </w:t>
      </w:r>
      <w:r>
        <w:rPr>
          <w:rFonts w:ascii="Times New Roman" w:hAnsi="Times New Roman" w:eastAsia="Times New Roman" w:cs="Times New Roman"/>
          <w:sz w:val="24"/>
          <w:szCs w:val="24"/>
        </w:rPr>
        <w:t xml:space="preserve">real datasets, instability increased selectively under opposing and phase-structured regimes while remaining low in coherent and null conditions. In real data, instability identified genes with subgroup-dependent or temporally structured responses that wer</w:t>
      </w:r>
      <w:r>
        <w:rPr>
          <w:rFonts w:ascii="Times New Roman" w:hAnsi="Times New Roman" w:eastAsia="Times New Roman" w:cs="Times New Roman"/>
          <w:sz w:val="24"/>
          <w:szCs w:val="24"/>
        </w:rPr>
        <w:t xml:space="preserve">e not captured by condition-level summaries. Unlike subgroup-specific analyses, which recover individual effects but do not quantify their compatibility, instability provides a unified measure of whether responses are coherent or conflicting across groups.</w:t>
      </w:r>
      <w:r>
        <w:rPr>
          <w:rFonts w:ascii="Times New Roman" w:hAnsi="Times New Roman" w:cs="Times New Roman"/>
          <w:sz w:val="24"/>
          <w:szCs w:val="24"/>
        </w:rPr>
      </w:r>
      <w:r>
        <w:rPr>
          <w:rFonts w:ascii="Times New Roman" w:hAnsi="Times New Roman" w:cs="Times New Roman"/>
          <w:sz w:val="24"/>
          <w:szCs w:val="24"/>
        </w:rPr>
      </w:r>
    </w:p>
    <w:p w14:paraId="752EE320" w14:textId="102AC129">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 defining property of instability is its condition-specific activation. It is elevated only when structured internal</w:t>
      </w:r>
      <w:r>
        <w:rPr>
          <w:rFonts w:ascii="Times New Roman" w:hAnsi="Times New Roman" w:eastAsia="Times New Roman" w:cs="Times New Roman"/>
          <w:sz w:val="24"/>
          <w:szCs w:val="24"/>
        </w:rPr>
        <w:t xml:space="preserve"> response diversity is present (UV, DES, GAM) and remains minimal in homogeneous conditions (LT). This behavior differentiates instability from variance, which reflects dispersion but cannot differentiate stochastic variability from structured disagreement</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 </w:instrText>
      </w:r>
      <w:r>
        <w:rPr>
          <w:rFonts w:ascii="Times New Roman" w:hAnsi="Times New Roman" w:eastAsia="Times New Roman" w:cs="Times New Roman"/>
          <w:color w:val="000000"/>
          <w:sz w:val="24"/>
          <w:szCs w:val="24"/>
        </w:rPr>
        <w:fldChar w:fldCharType="begin">
          <w:fldData xml:space="preserve">PEVuZE5vdGU+PENpdGU+PEF1dGhvcj5MZWVrPC9BdXRob3I+PFllYXI+MjAxMDwvWWVhcj48UmVj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</w:fldData>
        </w:fldChar>
      </w:r>
      <w:r>
        <w:rPr>
          <w:rFonts w:ascii="Times New Roman" w:hAnsi="Times New Roman" w:eastAsia="Times New Roman" w:cs="Times New Roman"/>
          <w:color w:val="000000"/>
          <w:sz w:val="24"/>
          <w:szCs w:val="24"/>
        </w:rPr>
        <w:instrText xml:space="preserve"> ADDIN EN.CITE.DATA </w:instrTex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 w:val="24"/>
          <w:szCs w:val="24"/>
        </w:rPr>
        <w:t xml:space="preserve">(Leek, et al., 2010; McCarthy, et al., 2012)</w:t>
      </w:r>
      <w:r>
        <w:rPr>
          <w:rFonts w:ascii="Times New Roman" w:hAnsi="Times New Roman" w:eastAsia="Times New Roman" w:cs="Times New Roman"/>
          <w:color w:val="000000"/>
          <w:sz w:val="24"/>
          <w:szCs w:val="24"/>
        </w:rPr>
        <w:fldChar w:fldCharType="end"/>
      </w:r>
      <w:r>
        <w:rPr>
          <w:rFonts w:ascii="Times New Roman" w:hAnsi="Times New Roman" w:eastAsia="Times New Roman" w:cs="Times New Roman"/>
          <w:sz w:val="24"/>
          <w:szCs w:val="24"/>
        </w:rPr>
        <w:t xml:space="preserve">. Decomposition ana</w:t>
      </w:r>
      <w:r>
        <w:rPr>
          <w:rFonts w:ascii="Times New Roman" w:hAnsi="Times New Roman" w:eastAsia="Times New Roman" w:cs="Times New Roman"/>
          <w:sz w:val="24"/>
          <w:szCs w:val="24"/>
        </w:rPr>
        <w:t xml:space="preserve">lysis further shows that instability arises from distinct structural drivers, including directional conflict, magnitude divergence, and temporal variation, supporting its interpretation as a structure-sensitive measure rather than a transformation of varia</w:t>
      </w:r>
      <w:r>
        <w:rPr>
          <w:rFonts w:ascii="Times New Roman" w:hAnsi="Times New Roman" w:eastAsia="Times New Roman" w:cs="Times New Roman"/>
          <w:sz w:val="24"/>
          <w:szCs w:val="24"/>
        </w:rPr>
        <w:t xml:space="preserve">nce. Temporal regimes such as GAM may partially couple instability with response amplitude variation, indicating that some forms of temporal divergence can contribute variance-associated structure alongside directional disagreement (Supplementary Fig. S2).</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22CC2D40"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rPr>
      </w:pPr>
      <w:r>
        <w:rPr>
          <w:rFonts w:ascii="Times New Roman" w:hAnsi="Times New Roman" w:eastAsia="Times New Roman" w:cs="Times New Roman"/>
          <w:sz w:val="24"/>
          <w:szCs w:val="24"/>
        </w:rPr>
        <w:t xml:space="preserve">A direct consequence of this behavior is divergence in gene prioritization. Instabilit</w:t>
      </w:r>
      <w:r>
        <w:rPr>
          <w:rFonts w:ascii="Times New Roman" w:hAnsi="Times New Roman" w:eastAsia="Times New Roman" w:cs="Times New Roman"/>
          <w:sz w:val="24"/>
          <w:szCs w:val="24"/>
        </w:rPr>
        <w:t xml:space="preserve">y-based ranking identifies genes largely distinct from those selected by condition-level differential-expression ranking, reflecting fundamentally different prioritization criteria rather than instability of ranking. While condition-level differential expr</w:t>
      </w:r>
      <w:r>
        <w:rPr>
          <w:rFonts w:ascii="Times New Roman" w:hAnsi="Times New Roman" w:eastAsia="Times New Roman" w:cs="Times New Roman"/>
          <w:sz w:val="24"/>
          <w:szCs w:val="24"/>
        </w:rPr>
        <w:t xml:space="preserve">ession preferentially selects genes with consistent directionality, instability highlights genes characterized by structured, subgroup-dependent, or temporally heterogeneous responses. As a result, genes that appear weak under condition-level differential </w:t>
      </w:r>
      <w:r>
        <w:rPr>
          <w:rFonts w:ascii="Times New Roman" w:hAnsi="Times New Roman" w:eastAsia="Times New Roman" w:cs="Times New Roman"/>
          <w:sz w:val="24"/>
          <w:szCs w:val="24"/>
        </w:rPr>
        <w:t xml:space="preserve">expression</w:t>
      </w:r>
      <w:r>
        <w:rPr>
          <w:rFonts w:ascii="Times New Roman" w:hAnsi="Times New Roman" w:eastAsia="Times New Roman" w:cs="Times New Roman"/>
          <w:sz w:val="24"/>
          <w:szCs w:val="24"/>
        </w:rPr>
        <w:t xml:space="preserve"> may represent structured </w:t>
      </w:r>
      <w:r>
        <w:rPr>
          <w:rFonts w:ascii="Times New Roman" w:hAnsi="Times New Roman" w:eastAsia="Times New Roman" w:cs="Times New Roman"/>
          <w:sz w:val="24"/>
          <w:szCs w:val="24"/>
        </w:rPr>
        <w:t xml:space="preserve">regulation</w:t>
      </w:r>
      <w:r>
        <w:rPr>
          <w:rFonts w:ascii="Times New Roman" w:hAnsi="Times New Roman" w:eastAsia="Times New Roman" w:cs="Times New Roman"/>
          <w:sz w:val="24"/>
          <w:szCs w:val="24"/>
        </w:rPr>
        <w:t xml:space="preserve"> that </w:t>
      </w:r>
      <w:r>
        <w:rPr>
          <w:rFonts w:ascii="Times New Roman" w:hAnsi="Times New Roman" w:eastAsia="Times New Roman" w:cs="Times New Roman"/>
          <w:sz w:val="24"/>
          <w:szCs w:val="24"/>
        </w:rPr>
        <w:t xml:space="preserve">becomes</w:t>
      </w:r>
      <w:r>
        <w:rPr>
          <w:rFonts w:ascii="Times New Roman" w:hAnsi="Times New Roman" w:eastAsia="Times New Roman" w:cs="Times New Roman"/>
          <w:sz w:val="24"/>
          <w:szCs w:val="24"/>
        </w:rPr>
        <w:t xml:space="preserve"> detectable only through instability.</w:t>
      </w:r>
      <w:r>
        <w:rPr>
          <w:rFonts w:ascii="Times New Roman" w:hAnsi="Times New Roman" w:eastAsia="Times New Roman" w:cs="Times New Roman"/>
          <w:szCs w:val="24"/>
        </w:rPr>
      </w:r>
      <w:r>
        <w:rPr>
          <w:rFonts w:ascii="Times New Roman" w:hAnsi="Times New Roman" w:eastAsia="Times New Roman" w:cs="Times New Roman"/>
          <w:szCs w:val="24"/>
        </w:rPr>
      </w:r>
    </w:p>
    <w:p w14:paraId="0DF0B603"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 conventional analysis workflows, such genes often require extensive iterative subgroup-specific analyses, including subgroup-specific contrasts or time-reso</w:t>
      </w:r>
      <w:r>
        <w:rPr>
          <w:rFonts w:ascii="Times New Roman" w:hAnsi="Times New Roman" w:eastAsia="Times New Roman" w:cs="Times New Roman"/>
          <w:sz w:val="24"/>
          <w:szCs w:val="24"/>
        </w:rPr>
        <w:t xml:space="preserve">lved analyses, to resolve underlying structure. Instability provides a direct measure of internal disagreement, enabling their identification without prior stratification or iterative contrast testing, thereby reducing reliance on ad hoc post hoc analysis.</w:t>
      </w:r>
      <w:r>
        <w:rPr>
          <w:rFonts w:ascii="Times New Roman" w:hAnsi="Times New Roman" w:cs="Times New Roman"/>
          <w:sz w:val="24"/>
          <w:szCs w:val="24"/>
        </w:rPr>
      </w:r>
      <w:r>
        <w:rPr>
          <w:rFonts w:ascii="Times New Roman" w:hAnsi="Times New Roman" w:cs="Times New Roman"/>
          <w:sz w:val="24"/>
          <w:szCs w:val="24"/>
        </w:rPr>
      </w:r>
    </w:p>
    <w:p w14:paraId="668348AF"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Cs w:val="24"/>
        </w:rPr>
      </w:pPr>
      <w:r>
        <w:rPr>
          <w:rFonts w:ascii="Times New Roman" w:hAnsi="Times New Roman" w:eastAsia="Times New Roman" w:cs="Times New Roman"/>
          <w:sz w:val="24"/>
          <w:szCs w:val="24"/>
        </w:rPr>
        <w:t xml:space="preserve">The functional composition of the masked gene set further supports its biological relevance. Domain-based annotation of all masked genes (Supplementary Table S3) revealed multiple </w:t>
      </w:r>
      <w:r>
        <w:rPr>
          <w:rFonts w:ascii="Times New Roman" w:hAnsi="Times New Roman" w:eastAsia="Times New Roman" w:cs="Times New Roman"/>
          <w:sz w:val="24"/>
          <w:szCs w:val="24"/>
        </w:rPr>
        <w:t xml:space="preserve">regulatory and signaling-asso</w:t>
      </w:r>
      <w:r>
        <w:rPr>
          <w:rFonts w:ascii="Times New Roman" w:hAnsi="Times New Roman" w:eastAsia="Times New Roman" w:cs="Times New Roman"/>
          <w:sz w:val="24"/>
          <w:szCs w:val="24"/>
        </w:rPr>
        <w:t xml:space="preserve">ciated features, including kinase/phosphatase modules, GPCR-related domains, and nucleic acid–associated components, consistent with stress-response pathways. Notably, instability-based prioritization recovered neuroendocrine signaling peptides, including </w:t>
      </w:r>
      <w:r>
        <w:rPr>
          <w:rFonts w:ascii="Times New Roman" w:hAnsi="Times New Roman" w:eastAsia="Times New Roman" w:cs="Times New Roman"/>
          <w:sz w:val="24"/>
          <w:szCs w:val="24"/>
        </w:rPr>
        <w:t xml:space="preserve">Corazonin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Crz</w:t>
      </w:r>
      <w:r>
        <w:rPr>
          <w:rFonts w:ascii="Times New Roman" w:hAnsi="Times New Roman" w:eastAsia="Times New Roman" w:cs="Times New Roman"/>
          <w:sz w:val="24"/>
          <w:szCs w:val="24"/>
        </w:rPr>
        <w:t xml:space="preserve">), Pigment-Dispersing Hormone (PDH), and Crustacean Cardioactive Peptide (CCAP), which were not prominent under condition-level differential expression. These genes were identified within th</w:t>
      </w:r>
      <w:r>
        <w:rPr>
          <w:rFonts w:ascii="Times New Roman" w:hAnsi="Times New Roman" w:eastAsia="Times New Roman" w:cs="Times New Roman"/>
          <w:sz w:val="24"/>
          <w:szCs w:val="24"/>
        </w:rPr>
        <w:t xml:space="preserve">e masked set prior to functional interpretation, indicating that their prioritization was driven by structured instability rather than annotation completeness. Given that such signaling molecules are often expressed in spatially restricted cell populations</w:t>
      </w:r>
      <w:r>
        <w:rPr>
          <w:rFonts w:ascii="Times New Roman" w:hAnsi="Times New Roman" w:eastAsia="Times New Roman" w:cs="Times New Roman"/>
          <w:sz w:val="24"/>
          <w:szCs w:val="24"/>
        </w:rPr>
        <w:t xml:space="preserve"> or exhibit temporally dynamic expression, their signals are susceptible to attenuation under pooled transcriptomic analysis. Their recovery is therefore consistent with structured regulatory heterogeneity that is not captured by condition-level summaries.</w:t>
      </w:r>
      <w:r>
        <w:rPr>
          <w:rFonts w:ascii="Times New Roman" w:hAnsi="Times New Roman" w:eastAsia="Times New Roman" w:cs="Times New Roman"/>
          <w:szCs w:val="24"/>
        </w:rPr>
      </w:r>
      <w:r>
        <w:rPr>
          <w:rFonts w:ascii="Times New Roman" w:hAnsi="Times New Roman" w:eastAsia="Times New Roman" w:cs="Times New Roman"/>
          <w:szCs w:val="24"/>
        </w:rPr>
      </w:r>
    </w:p>
    <w:p w14:paraId="5588593C" w14:textId="390469F6">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Instability quantifie</w:t>
      </w:r>
      <w:r>
        <w:rPr>
          <w:rFonts w:ascii="Times New Roman" w:hAnsi="Times New Roman" w:eastAsia="Times New Roman" w:cs="Times New Roman"/>
          <w:sz w:val="24"/>
          <w:szCs w:val="24"/>
        </w:rPr>
        <w:t xml:space="preserve">s structured disagreement of effect across defined groups, enabling the identification of genes whose regulatory behavior cannot be captured by a single condition-level estimate. Rather than replacing differential expression analysis, it complements it by </w:t>
      </w:r>
      <w:r>
        <w:rPr>
          <w:rFonts w:ascii="Times New Roman" w:hAnsi="Times New Roman" w:eastAsia="Times New Roman" w:cs="Times New Roman"/>
          <w:sz w:val="24"/>
          <w:szCs w:val="24"/>
        </w:rPr>
        <w:t xml:space="preserve">identifying when condition-level summaries are incomplete or potentially misleading</w:t>
      </w:r>
      <w:r>
        <w:rPr>
          <w:rFonts w:ascii="Times New Roman" w:hAnsi="Times New Roman" w:eastAsia="Times New Roman" w:cs="Times New Roman"/>
          <w:sz w:val="24"/>
          <w:szCs w:val="24"/>
        </w:rPr>
        <w:t xml:space="preserve">. In heterogeneous datasets, condition-level estimates can obscure structured regulatory patterns, leading to incorrect biological interpretation rather than reduced sensitivity. While subgroup-specifi</w:t>
      </w:r>
      <w:r>
        <w:rPr>
          <w:rFonts w:ascii="Times New Roman" w:hAnsi="Times New Roman" w:eastAsia="Times New Roman" w:cs="Times New Roman"/>
          <w:sz w:val="24"/>
          <w:szCs w:val="24"/>
        </w:rPr>
        <w:t xml:space="preserve">c analyses can recover individual effects, they require prior knowledge of relevant structure and do not provide a unified measure of compatibility across groups. Instability addresses this gap by quantifying whether a single effect estimate is meaningful.</w:t>
      </w:r>
      <w:r>
        <w:rPr>
          <w:rFonts w:ascii="Times New Roman" w:hAnsi="Times New Roman" w:cs="Times New Roman"/>
          <w:sz w:val="24"/>
          <w:szCs w:val="24"/>
        </w:rPr>
      </w:r>
      <w:r>
        <w:rPr>
          <w:rFonts w:ascii="Times New Roman" w:hAnsi="Times New Roman" w:cs="Times New Roman"/>
          <w:sz w:val="24"/>
          <w:szCs w:val="24"/>
        </w:rPr>
      </w:r>
    </w:p>
    <w:p w14:paraId="15B9AF45" w14:textId="3C917BEA">
      <w:pPr>
        <w:pBdr>
          <w:top w:val="none" w:color="000000" w:sz="4" w:space="0"/>
          <w:left w:val="none" w:color="000000" w:sz="4" w:space="0"/>
          <w:bottom w:val="none" w:color="000000" w:sz="4" w:space="0"/>
          <w:right w:val="none" w:color="000000" w:sz="4" w:space="0"/>
        </w:pBdr>
        <w:spacing/>
        <w:ind/>
        <w:jc w:val="both"/>
        <w:rPr>
          <w:rFonts w:ascii="Times New Roman" w:hAnsi="Times New Roman" w:cs="Times New Roman"/>
          <w:sz w:val="24"/>
          <w:szCs w:val="24"/>
        </w:rPr>
      </w:pPr>
      <w:r>
        <w:rPr>
          <w:rFonts w:ascii="Times New Roman" w:hAnsi="Times New Roman" w:eastAsia="Times New Roman" w:cs="Times New Roman"/>
          <w:sz w:val="24"/>
          <w:szCs w:val="24"/>
        </w:rPr>
        <w:t xml:space="preserve">A limitation of the current framework is its reliance on predefined subgroup or tempora</w:t>
      </w:r>
      <w:r>
        <w:rPr>
          <w:rFonts w:ascii="Times New Roman" w:hAnsi="Times New Roman" w:eastAsia="Times New Roman" w:cs="Times New Roman"/>
          <w:sz w:val="24"/>
          <w:szCs w:val="24"/>
        </w:rPr>
        <w:t xml:space="preserve">l groups. In settings where structure is latent, additional approaches may be required to identify relevant groups before instability can be applied, as the method does not infer the source of heterogeneity but instead quantifies its presence and structure</w:t>
      </w:r>
      <w:r>
        <w:rPr>
          <w:rFonts w:ascii="Times New Roman" w:hAnsi="Times New Roman" w:eastAsia="Times New Roman" w:cs="Times New Roman"/>
          <w:sz w:val="24"/>
          <w:szCs w:val="24"/>
          <w:vertAlign w:val="superscript"/>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 Consequently, instability complements existing analyses by quantifying response consistency across known biological partitions rather than identifying the source of biological heterogeneity itself</w:t>
      </w:r>
      <w:r>
        <w:rPr>
          <w:rFonts w:ascii="Times New Roman" w:hAnsi="Times New Roman" w:eastAsia="Times New Roman" w:cs="Times New Roman"/>
          <w:sz w:val="24"/>
          <w:szCs w:val="24"/>
        </w:rPr>
        <w:t xml:space="preserve"> </w: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 </w:instrText>
      </w:r>
      <w:r>
        <w:rPr>
          <w:rFonts w:ascii="Times New Roman" w:hAnsi="Times New Roman" w:eastAsia="Times New Roman" w:cs="Times New Roman"/>
          <w:color w:val="000000" w:themeColor="text1"/>
          <w:sz w:val="24"/>
          <w:szCs w:val="24"/>
        </w:rPr>
        <w:fldChar w:fldCharType="begin">
          <w:fldData xml:space="preserve">PEVuZE5vdGU+PENpdGU+PEF1dGhvcj5Db25lc2E8L0F1dGhvcj48WWVhcj4yMDE2PC9ZZWFyPjxS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</w:fldData>
        </w:fldChar>
      </w:r>
      <w:r>
        <w:rPr>
          <w:rFonts w:ascii="Times New Roman" w:hAnsi="Times New Roman" w:eastAsia="Times New Roman" w:cs="Times New Roman"/>
          <w:color w:val="000000" w:themeColor="text1"/>
          <w:sz w:val="24"/>
          <w:szCs w:val="24"/>
        </w:rPr>
        <w:instrText xml:space="preserve"> ADDIN EN.CITE.DATA </w:instrTex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color w:val="000000" w:themeColor="text1"/>
          <w:sz w:val="24"/>
          <w:szCs w:val="24"/>
        </w:rPr>
        <w:fldChar w:fldCharType="separate"/>
      </w:r>
      <w:r>
        <w:rPr>
          <w:rFonts w:ascii="Times New Roman" w:hAnsi="Times New Roman" w:eastAsia="Times New Roman" w:cs="Times New Roman"/>
          <w:color w:val="000000" w:themeColor="text1"/>
          <w:sz w:val="24"/>
          <w:szCs w:val="24"/>
        </w:rPr>
        <w:t xml:space="preserve">(Bar-Joseph, et al., 2012; Conesa, et al., 2016; Spies, et al., 2019; Storey, et al., 2005)</w:t>
      </w:r>
      <w:r>
        <w:rPr>
          <w:rFonts w:ascii="Times New Roman" w:hAnsi="Times New Roman" w:eastAsia="Times New Roman" w:cs="Times New Roman"/>
          <w:color w:val="000000" w:themeColor="text1"/>
          <w:sz w:val="24"/>
          <w:szCs w:val="24"/>
        </w:rPr>
        <w:fldChar w:fldCharType="end"/>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57A92E79" w14:textId="77777777">
      <w:pPr>
        <w:pBdr>
          <w:top w:val="none" w:color="000000" w:sz="4" w:space="0"/>
          <w:left w:val="none" w:color="000000" w:sz="4" w:space="0"/>
          <w:bottom w:val="none" w:color="000000" w:sz="4" w:space="0"/>
          <w:right w:val="none" w:color="000000" w:sz="4" w:space="0"/>
        </w:pBdr>
        <w:spacing/>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applicability of instability extends to transcriptomic analyses where biologically meaningful partitions are encoded in the experimental design, including subgrou</w:t>
      </w:r>
      <w:r>
        <w:rPr>
          <w:rFonts w:ascii="Times New Roman" w:hAnsi="Times New Roman" w:eastAsia="Times New Roman" w:cs="Times New Roman"/>
          <w:sz w:val="24"/>
          <w:szCs w:val="24"/>
        </w:rPr>
        <w:t xml:space="preserve">p, temporal, developmental, perturbation, or condition-specific analyses. Consequently, its utility is expected to be greatest in heterogeneous biological systems where internal response diversity is biologically meaningful rather than technical in origin.</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6A8873F" w14:textId="16D97E4D">
      <w:pPr>
        <w:pBdr>
          <w:top w:val="none" w:color="000000" w:sz="4" w:space="0"/>
          <w:left w:val="none" w:color="000000" w:sz="4" w:space="0"/>
          <w:bottom w:val="none" w:color="000000" w:sz="4" w:space="0"/>
          <w:right w:val="none" w:color="000000" w:sz="4" w:space="0"/>
        </w:pBdr>
        <w:spacing/>
        <w:ind/>
        <w:jc w:val="both"/>
        <w:rPr>
          <w:szCs w:val="24"/>
        </w:rPr>
      </w:pPr>
      <w:r>
        <w:rPr>
          <w:rFonts w:ascii="Times New Roman" w:hAnsi="Times New Roman" w:eastAsia="Times New Roman" w:cs="Times New Roman"/>
          <w:sz w:val="24"/>
          <w:szCs w:val="24"/>
        </w:rPr>
        <w:t xml:space="preserve">Structured internal response diversity is a common characteristic of many biological systems, including stress adaptation, development, disease progression, and heterogeneous cell populations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fldChar w:fldCharType="begin">
          <w:fldData xml:space="preserve">PEVuZE5vdGU+PENpdGU+PEF1dGhvcj5UcmFwbmVsbDwvQXV0aG9yPjxZZWFyPjIwMTQ8L1llYXI+
PFJlY051bT4zOTwvUmVjTnVtPjxEaXNwbGF5VGV4dD4oQ29uc29ydGl1bSwgMjAxNDsgS2Vsc2V5
LCBldCBhbC4sIDIwMTc7IExpLCBldCBhbC4sIDIwMTQ7IFRyYXBuZWxsLCBldCBhbC4sIDIwMTQp
PC9EaXNwbGF5VGV4dD48cmVjb3JkPjxyZWMtbnVtYmVyPjM5PC9yZWMtbnVtYmVyPjxmb3JlaWdu
LWtleXM+PGtleSBhcHA9IkVOIiBkYi1pZD0iZHA5OTV3ZTloYXpzYWVldzV0dnA1OXp5cnI5MnIw
enQwc2F3IiB0aW1lc3RhbXA9IjE3ODI4MjA4OTkiPjM5PC9rZXk+PC9mb3JlaWduLWtleXM+PHJl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PktlbHNleTwvQXV0aG9yPjxZZWFyPjIwMTc8L1llYXI+PFJlY051bT40MDwvUmVjTnVtPjxyZWNv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sz w:val="24"/>
          <w:szCs w:val="24"/>
        </w:rPr>
        <w:instrText xml:space="preserve"> ADDIN EN.CITE </w:instrText>
      </w:r>
      <w:r>
        <w:rPr>
          <w:rFonts w:ascii="Times New Roman" w:hAnsi="Times New Roman" w:eastAsia="Times New Roman" w:cs="Times New Roman"/>
          <w:sz w:val="24"/>
          <w:szCs w:val="24"/>
        </w:rPr>
        <w:fldChar w:fldCharType="begin">
          <w:fldData xml:space="preserve">PEVuZE5vdGU+PENpdGU+PEF1dGhvcj5UcmFwbmVsbDwvQXV0aG9yPjxZZWFyPjIwMTQ8L1llYXI+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</w:fldData>
        </w:fldChar>
      </w:r>
      <w:r>
        <w:rPr>
          <w:rFonts w:ascii="Times New Roman" w:hAnsi="Times New Roman" w:eastAsia="Times New Roman" w:cs="Times New Roman"/>
          <w:sz w:val="24"/>
          <w:szCs w:val="24"/>
        </w:rPr>
        <w:instrText xml:space="preserve"> ADDIN EN.CITE.DATA </w:instrTex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 xml:space="preserve">(Consortium, 2014; Kelsey, et al., 2017; Li, et al., 2014; Trapnell, et al., 2014)</w:t>
      </w:r>
      <w:r>
        <w:rPr>
          <w:rFonts w:ascii="Times New Roman" w:hAnsi="Times New Roman" w:eastAsia="Times New Roman" w:cs="Times New Roman"/>
          <w:sz w:val="24"/>
          <w:szCs w:val="24"/>
        </w:rPr>
        <w:fldChar w:fldCharType="end"/>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 By quantifying the consistency of gene regulation across predefined biological partitions, instability extends the interpretation of condition-level differential </w:t>
      </w:r>
      <w:r>
        <w:rPr>
          <w:rFonts w:ascii="Times New Roman" w:hAnsi="Times New Roman" w:eastAsia="Times New Roman" w:cs="Times New Roman"/>
          <w:sz w:val="24"/>
          <w:szCs w:val="24"/>
        </w:rPr>
        <w:t xml:space="preserve">expression</w:t>
      </w:r>
      <w:r>
        <w:rPr>
          <w:rFonts w:ascii="Times New Roman" w:hAnsi="Times New Roman" w:eastAsia="Times New Roman" w:cs="Times New Roman"/>
          <w:sz w:val="24"/>
          <w:szCs w:val="24"/>
        </w:rPr>
        <w:t xml:space="preserve"> and provides a complementary analytical </w:t>
      </w:r>
      <w:r>
        <w:rPr>
          <w:rFonts w:ascii="Times New Roman" w:hAnsi="Times New Roman" w:eastAsia="Times New Roman" w:cs="Times New Roman"/>
          <w:sz w:val="24"/>
          <w:szCs w:val="24"/>
        </w:rPr>
        <w:t xml:space="preserve">framework for identifying biologically meaningful regulatory programs in heterogeneous transcriptomic datasets.</w:t>
      </w:r>
      <w:r>
        <w:rPr>
          <w:szCs w:val="24"/>
        </w:rPr>
      </w:r>
      <w:r>
        <w:rPr>
          <w:szCs w:val="24"/>
        </w:rPr>
      </w:r>
    </w:p>
    <w:p w14:paraId="462839EC"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Acknowledgements</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1042FFAF"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sz w:val="24"/>
          <w:szCs w:val="24"/>
        </w:rPr>
        <w:t xml:space="preserve">The authors thank the developers and maintainers of the open-source statistical and bioinformat</w:t>
      </w:r>
      <w:r>
        <w:rPr>
          <w:rFonts w:ascii="Times New Roman" w:hAnsi="Times New Roman" w:eastAsia="Times New Roman" w:cs="Times New Roman"/>
          <w:color w:val="000000" w:themeColor="text1"/>
          <w:sz w:val="24"/>
          <w:szCs w:val="24"/>
        </w:rPr>
        <w:t xml:space="preserve">ics software used in this work for enabling reproducible computational research. Computational resources were provided by institutional high-performance computing facilities. This study was supported by the National Science Centre (Poland), project number </w:t>
      </w:r>
      <w:r>
        <w:rPr>
          <w:rFonts w:ascii="Times New Roman" w:hAnsi="Times New Roman" w:eastAsia="Times New Roman" w:cs="Times New Roman"/>
          <w:b/>
          <w:bCs/>
          <w:color w:val="000000" w:themeColor="text1"/>
          <w:sz w:val="24"/>
          <w:szCs w:val="24"/>
        </w:rPr>
        <w:t xml:space="preserve">2023/51/B/NZ3/01550</w:t>
      </w:r>
      <w:r>
        <w:rPr>
          <w:rFonts w:ascii="Times New Roman" w:hAnsi="Times New Roman" w:eastAsia="Times New Roman" w:cs="Times New Roman"/>
          <w:color w:val="000000" w:themeColor="text1"/>
          <w:sz w:val="24"/>
          <w:szCs w:val="24"/>
        </w:rPr>
        <w:t xml:space="preserve">. </w:t>
      </w:r>
      <w:r/>
    </w:p>
    <w:p w14:paraId="75579418"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Competing Interests</w:t>
      </w:r>
      <w:r>
        <w:rPr>
          <w:rFonts w:ascii="Times New Roman" w:hAnsi="Times New Roman" w:eastAsia="Times New Roman" w:cs="Times New Roman"/>
          <w:color w:val="000000" w:themeColor="text1"/>
          <w:sz w:val="24"/>
          <w:szCs w:val="24"/>
        </w:rPr>
        <w:t xml:space="preserve"> </w:t>
      </w:r>
      <w:r/>
    </w:p>
    <w:p w14:paraId="3BD94D69"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color w:val="000000" w:themeColor="text1"/>
          <w:sz w:val="24"/>
          <w:szCs w:val="24"/>
        </w:rPr>
        <w:t xml:space="preserve">The authors declare no competing interests. </w:t>
      </w:r>
      <w:r/>
    </w:p>
    <w:p w14:paraId="1A7B962E"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Code and Data Availability</w:t>
      </w:r>
      <w:r>
        <w:rPr>
          <w:rFonts w:ascii="Times New Roman" w:hAnsi="Times New Roman" w:eastAsia="Times New Roman" w:cs="Times New Roman"/>
          <w:color w:val="000000" w:themeColor="text1"/>
          <w:sz w:val="24"/>
          <w:szCs w:val="24"/>
        </w:rPr>
        <w:t xml:space="preserve"> </w:t>
      </w:r>
      <w:r/>
    </w:p>
    <w:p w14:paraId="123D1ECE"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All analyses were per</w:t>
      </w:r>
      <w:r>
        <w:rPr>
          <w:rFonts w:ascii="Times New Roman" w:hAnsi="Times New Roman" w:eastAsia="Times New Roman" w:cs="Times New Roman"/>
          <w:color w:val="000000"/>
          <w:sz w:val="24"/>
        </w:rPr>
        <w:t xml:space="preserve">formed using custom, fully documented R scripts. The complete analytical pipeline, including preprocessing, effect estimation, instability calculation, supplementary analyses, and figure generation, is maintained in a version-controlled GitHub repository (</w:t>
      </w:r>
      <w:hyperlink r:id="rId10" w:tooltip="https://github.com/sajadshahbaz/NM2_instability_signal" w:history="1">
        <w:r>
          <w:rPr>
            <w:rStyle w:val="1088"/>
            <w:rFonts w:ascii="Times New Roman" w:hAnsi="Times New Roman" w:eastAsia="Times New Roman" w:cs="Times New Roman"/>
            <w:color w:val="0000ee"/>
            <w:sz w:val="24"/>
            <w:u w:val="none"/>
          </w:rPr>
          <w:t xml:space="preserve">https://github.com/sajadshahbaz/NM2_instability_signal</w:t>
        </w:r>
      </w:hyperlink>
      <w:r>
        <w:rPr>
          <w:rFonts w:ascii="Times New Roman" w:hAnsi="Times New Roman" w:eastAsia="Times New Roman" w:cs="Times New Roman"/>
          <w:color w:val="000000"/>
          <w:sz w:val="24"/>
        </w:rPr>
        <w:t xml:space="preserve">). The repository is currently private during peer review and will be made publicly available upon acceptance of the manuscript. A permanent archived </w:t>
      </w:r>
      <w:r>
        <w:rPr>
          <w:rFonts w:ascii="Times New Roman" w:hAnsi="Times New Roman" w:eastAsia="Times New Roman" w:cs="Times New Roman"/>
          <w:color w:val="000000"/>
          <w:sz w:val="24"/>
        </w:rPr>
        <w:t xml:space="preserve">Zenodo</w:t>
      </w:r>
      <w:r>
        <w:rPr>
          <w:rFonts w:ascii="Times New Roman" w:hAnsi="Times New Roman" w:eastAsia="Times New Roman" w:cs="Times New Roman"/>
          <w:color w:val="000000"/>
          <w:sz w:val="24"/>
        </w:rPr>
        <w:t xml:space="preserve"> release and DOI will be generated at the time of public release. Processed datasets, metadata tabl</w:t>
      </w:r>
      <w:r>
        <w:rPr>
          <w:rFonts w:ascii="Times New Roman" w:hAnsi="Times New Roman" w:eastAsia="Times New Roman" w:cs="Times New Roman"/>
          <w:color w:val="000000"/>
          <w:sz w:val="24"/>
        </w:rPr>
        <w:t xml:space="preserve">es, precomputed resources required for figure generation, and intermediate outputs used to reproduce the manuscript figures are maintained within the repository. Raw RNA-seq datasets are publicly available through the Sequence Read Archive (SRA) under the </w:t>
      </w:r>
      <w:r>
        <w:rPr>
          <w:rFonts w:ascii="Times New Roman" w:hAnsi="Times New Roman" w:eastAsia="Times New Roman" w:cs="Times New Roman"/>
          <w:color w:val="000000"/>
          <w:sz w:val="24"/>
        </w:rPr>
        <w:t xml:space="preserve">BioProject</w:t>
      </w:r>
      <w:r>
        <w:rPr>
          <w:rFonts w:ascii="Times New Roman" w:hAnsi="Times New Roman" w:eastAsia="Times New Roman" w:cs="Times New Roman"/>
          <w:color w:val="000000"/>
          <w:sz w:val="24"/>
        </w:rPr>
        <w:t xml:space="preserve"> accessions listed in Supplementary Table S1, comprising 111 samples across six independent studies. Metadata used for condition definition, partitioning, and downstream analyses are provided in Supplementary Table S1.</w:t>
      </w:r>
      <w:r/>
    </w:p>
    <w:p w14:paraId="4DD3923D" w14:textId="77777777">
      <w:pPr>
        <w:pBdr>
          <w:top w:val="none" w:color="000000" w:sz="4" w:space="0"/>
          <w:left w:val="none" w:color="000000" w:sz="4" w:space="0"/>
          <w:bottom w:val="none" w:color="000000" w:sz="4" w:space="0"/>
          <w:right w:val="none" w:color="000000" w:sz="4" w:space="0"/>
        </w:pBdr>
        <w:spacing/>
        <w:ind/>
        <w:jc w:val="both"/>
        <w:rPr/>
      </w:pPr>
      <w:r>
        <w:rPr>
          <w:rFonts w:ascii="Times New Roman" w:hAnsi="Times New Roman" w:eastAsia="Times New Roman" w:cs="Times New Roman"/>
          <w:color w:val="000000"/>
          <w:sz w:val="24"/>
        </w:rPr>
        <w:t xml:space="preserve">All results reported in this study can be reproduced using the supplied scripts, processed inputs, and def</w:t>
      </w:r>
      <w:r>
        <w:rPr>
          <w:rFonts w:ascii="Times New Roman" w:hAnsi="Times New Roman" w:eastAsia="Times New Roman" w:cs="Times New Roman"/>
          <w:color w:val="000000"/>
          <w:sz w:val="24"/>
        </w:rPr>
        <w:t xml:space="preserve">ault parameters. Computational environment specifications, software dependencies, and reproducibility instructions are documented within the repository. Repository access can be provided to editors and reviewers upon request during the peer-review process.</w:t>
      </w:r>
      <w:r/>
    </w:p>
    <w:p w14:paraId="489DF9FD"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Author Contributions</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6F8C31DA"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themeColor="text1"/>
          <w:sz w:val="24"/>
          <w:szCs w:val="24"/>
        </w:rPr>
        <w:t xml:space="preserve">S.S.: </w:t>
      </w:r>
      <w:r>
        <w:rPr>
          <w:rFonts w:ascii="Times New Roman" w:hAnsi="Times New Roman" w:eastAsia="Times New Roman" w:cs="Times New Roman"/>
          <w:color w:val="000000" w:themeColor="text1"/>
          <w:sz w:val="24"/>
          <w:szCs w:val="24"/>
        </w:rPr>
        <w:t xml:space="preserve">Conceptualization; Methodology; Data curation; Formal analysis; Investigation; Validation; Visualization; Writing – original draft, Writing – review &amp; editing. </w:t>
      </w:r>
      <w:r>
        <w:rPr>
          <w:rFonts w:ascii="Times New Roman" w:hAnsi="Times New Roman" w:eastAsia="Times New Roman" w:cs="Times New Roman"/>
          <w:b/>
          <w:bCs/>
          <w:color w:val="000000" w:themeColor="text1"/>
          <w:sz w:val="24"/>
          <w:szCs w:val="24"/>
        </w:rPr>
        <w:t xml:space="preserve">P.M.: </w:t>
      </w:r>
      <w:r>
        <w:rPr>
          <w:rFonts w:ascii="Times New Roman" w:hAnsi="Times New Roman" w:eastAsia="Times New Roman" w:cs="Times New Roman"/>
          <w:color w:val="000000" w:themeColor="text1"/>
          <w:sz w:val="24"/>
          <w:szCs w:val="24"/>
        </w:rPr>
        <w:t xml:space="preserve">Funding acquisition; Project administration; Resources; Supervision; Writing – review &amp; editing. </w:t>
      </w:r>
      <w:r>
        <w:rPr>
          <w:rFonts w:ascii="Times New Roman" w:hAnsi="Times New Roman" w:eastAsia="Times New Roman" w:cs="Times New Roman"/>
          <w:b/>
          <w:bCs/>
          <w:color w:val="000000" w:themeColor="text1"/>
          <w:sz w:val="24"/>
          <w:szCs w:val="24"/>
        </w:rPr>
        <w:t xml:space="preserve">J.L.: </w:t>
      </w:r>
      <w:r>
        <w:rPr>
          <w:rFonts w:ascii="Times New Roman" w:hAnsi="Times New Roman" w:eastAsia="Times New Roman" w:cs="Times New Roman"/>
          <w:color w:val="000000" w:themeColor="text1"/>
          <w:sz w:val="24"/>
          <w:szCs w:val="24"/>
        </w:rPr>
        <w:t xml:space="preserve">Investigation; Validation; Figure preparation; Writing – review &amp; editing. </w:t>
      </w:r>
      <w:r>
        <w:rPr>
          <w:rFonts w:ascii="Times New Roman" w:hAnsi="Times New Roman" w:eastAsia="Times New Roman" w:cs="Times New Roman"/>
          <w:b/>
          <w:bCs/>
          <w:color w:val="000000" w:themeColor="text1"/>
          <w:sz w:val="24"/>
          <w:szCs w:val="24"/>
        </w:rPr>
        <w:t xml:space="preserve">A.U.: </w:t>
      </w:r>
      <w:r>
        <w:rPr>
          <w:rFonts w:ascii="Times New Roman" w:hAnsi="Times New Roman" w:eastAsia="Times New Roman" w:cs="Times New Roman"/>
          <w:color w:val="000000" w:themeColor="text1"/>
          <w:sz w:val="24"/>
          <w:szCs w:val="24"/>
        </w:rPr>
        <w:t xml:space="preserve">Scientific guidance; Writing – review &amp; editing.</w:t>
      </w:r>
      <w:r>
        <w:rPr>
          <w:rFonts w:ascii="Times New Roman" w:hAnsi="Times New Roman" w:eastAsia="Times New Roman" w:cs="Times New Roman"/>
          <w:b/>
          <w:bCs/>
          <w:color w:val="000000" w:themeColor="text1"/>
          <w:sz w:val="24"/>
          <w:szCs w:val="24"/>
        </w:rPr>
        <w:t xml:space="preserve"> T.Z.: </w:t>
      </w:r>
      <w:r>
        <w:rPr>
          <w:rFonts w:ascii="Times New Roman" w:hAnsi="Times New Roman" w:eastAsia="Times New Roman" w:cs="Times New Roman"/>
          <w:color w:val="000000" w:themeColor="text1"/>
          <w:sz w:val="24"/>
          <w:szCs w:val="24"/>
        </w:rPr>
        <w:t xml:space="preserve">Scientific guidance; Writing – review &amp; editing.</w:t>
      </w:r>
      <w:r>
        <w:rPr>
          <w:rFonts w:ascii="Times New Roman" w:hAnsi="Times New Roman" w:eastAsia="Times New Roman" w:cs="Times New Roman"/>
          <w:b/>
          <w:bCs/>
          <w:color w:val="000000"/>
          <w:sz w:val="24"/>
          <w:szCs w:val="24"/>
        </w:rPr>
      </w:r>
      <w:r>
        <w:rPr>
          <w:rFonts w:ascii="Times New Roman" w:hAnsi="Times New Roman" w:eastAsia="Times New Roman" w:cs="Times New Roman"/>
          <w:b/>
          <w:bCs/>
          <w:color w:val="000000"/>
          <w:sz w:val="24"/>
          <w:szCs w:val="24"/>
        </w:rPr>
      </w:r>
    </w:p>
    <w:p w14:paraId="70617B51" w14:textId="2C95161B">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pPr>
      <w:r>
        <w:rPr>
          <w:rFonts w:ascii="Times New Roman" w:hAnsi="Times New Roman" w:eastAsia="Times New Roman" w:cs="Times New Roman"/>
          <w:b/>
          <w:bCs/>
          <w:color w:val="000000" w:themeColor="text1"/>
          <w:sz w:val="24"/>
          <w:szCs w:val="24"/>
        </w:rPr>
        <w:t xml:space="preserve">Use of Generative AI Tools</w:t>
      </w:r>
      <w:r>
        <w:rPr>
          <w:rFonts w:ascii="Times New Roman" w:hAnsi="Times New Roman" w:eastAsia="Times New Roman" w:cs="Times New Roman"/>
          <w:color w:val="000000" w:themeColor="text1"/>
          <w:sz w:val="24"/>
          <w:szCs w:val="24"/>
        </w:rPr>
        <w:t xml:space="preserve"> </w:t>
      </w:r>
      <w:r/>
    </w:p>
    <w:p w14:paraId="66C4CDD5" w14:textId="77777777">
      <w:pPr>
        <w:pBdr>
          <w:top w:val="none" w:color="000000" w:sz="4" w:space="0"/>
          <w:left w:val="none" w:color="000000" w:sz="4" w:space="0"/>
          <w:bottom w:val="none" w:color="000000" w:sz="4" w:space="0"/>
          <w:right w:val="none" w:color="000000" w:sz="4" w:space="0"/>
        </w:pBdr>
        <w:shd w:val="clear" w:color="auto" w:fill="ffffff" w:themeFill="background1"/>
        <w:spacing w:after="120"/>
        <w:ind/>
        <w:jc w:val="both"/>
        <w:rPr>
          <w:rFonts w:ascii="Times New Roman" w:hAnsi="Times New Roman" w:eastAsia="Times New Roman" w:cs="Times New Roman"/>
          <w:color w:val="000000" w:themeColor="text1"/>
          <w:sz w:val="24"/>
          <w:szCs w:val="24"/>
          <w14:ligatures w14:val="none"/>
        </w:rPr>
      </w:pP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lang w:val="undefined"/>
        </w:rPr>
        <w:t xml:space="preserve">Generative artificial intelligence (AI) tools, including OpenAI ChatGPT, Rubriq, and American Journal Experts (AJE) language-editing services, were used during manuscript preparation to assist with English language editing, structural refinement, code refi</w:t>
      </w:r>
      <w:r>
        <w:rPr>
          <w:rFonts w:ascii="Times New Roman" w:hAnsi="Times New Roman" w:eastAsia="Times New Roman" w:cs="Times New Roman"/>
          <w:color w:val="000000" w:themeColor="text1"/>
          <w:sz w:val="24"/>
          <w:szCs w:val="24"/>
          <w:lang w:val="undefined"/>
        </w:rPr>
        <w:t xml:space="preserve">nement, and the development of preliminary conceptual layouts for schematic figures, including the conceptual workflow and graphical abstract. These tools were used solely as assistive aids and not for the design of the methodological framework, mathematic</w:t>
      </w:r>
      <w:r>
        <w:rPr>
          <w:rFonts w:ascii="Times New Roman" w:hAnsi="Times New Roman" w:eastAsia="Times New Roman" w:cs="Times New Roman"/>
          <w:color w:val="000000" w:themeColor="text1"/>
          <w:sz w:val="24"/>
          <w:szCs w:val="24"/>
          <w:lang w:val="undefined"/>
        </w:rPr>
        <w:t xml:space="preserve">al formulation, algorithm implementation, parameter selection, data processing, statistical analyses, or interpretation of results. All scientific concepts, analytical decisions, figures, and conclusions were developed, verified, and approved by the author</w:t>
      </w:r>
      <w:r>
        <w:rPr>
          <w:rFonts w:ascii="Times New Roman" w:hAnsi="Times New Roman" w:eastAsia="Times New Roman" w:cs="Times New Roman"/>
          <w:color w:val="000000" w:themeColor="text1"/>
          <w:sz w:val="24"/>
          <w:szCs w:val="24"/>
          <w:lang w:val="undefined"/>
        </w:rPr>
        <w:t xml:space="preserve">s, who take full responsibility for the accuracy, originality, and integrity of the manuscript.</w:t>
      </w:r>
      <w:r>
        <w:rPr>
          <w:rFonts w:ascii="Times New Roman" w:hAnsi="Times New Roman" w:eastAsia="Times New Roman" w:cs="Times New Roman"/>
          <w:color w:val="000000" w:themeColor="text1"/>
          <w:sz w:val="24"/>
          <w:szCs w:val="24"/>
          <w:lang w:val="undefined" w:bidi="undefined"/>
        </w:rPr>
      </w:r>
      <w:r>
        <w:rPr>
          <w:rFonts w:ascii="Times New Roman" w:hAnsi="Times New Roman" w:eastAsia="Times New Roman" w:cs="Times New Roman"/>
          <w:color w:val="000000" w:themeColor="text1"/>
          <w:sz w:val="24"/>
          <w:szCs w:val="24"/>
          <w:lang w:val="undefined"/>
        </w:rPr>
      </w:r>
    </w:p>
    <w:p w14:paraId="11C733CC" w14:textId="23C2A548">
      <w:pPr>
        <w:pBdr/>
        <w:spacing w:after="100" w:afterAutospacing="1" w:before="100" w:beforeAutospacing="1"/>
        <w:ind/>
        <w:jc w:val="both"/>
        <w:rPr>
          <w:rFonts w:ascii="Times New Roman" w:hAnsi="Times New Roman" w:cs="Times New Roman"/>
          <w:b/>
          <w:bCs/>
          <w:sz w:val="24"/>
          <w:szCs w:val="24"/>
        </w:rPr>
      </w:pPr>
      <w:r>
        <w:rPr>
          <w:rFonts w:ascii="Times New Roman" w:hAnsi="Times New Roman" w:cs="Times New Roman"/>
          <w:b/>
          <w:bCs/>
          <w:sz w:val="24"/>
          <w:szCs w:val="24"/>
        </w:rPr>
        <w:t xml:space="preserve">References</w:t>
      </w:r>
      <w:r>
        <w:rPr>
          <w:rFonts w:ascii="Times New Roman" w:hAnsi="Times New Roman" w:cs="Times New Roman"/>
          <w:b/>
          <w:bCs/>
          <w:sz w:val="24"/>
          <w:szCs w:val="24"/>
        </w:rPr>
      </w:r>
      <w:r>
        <w:rPr>
          <w:rFonts w:ascii="Times New Roman" w:hAnsi="Times New Roman" w:cs="Times New Roman"/>
          <w:b/>
          <w:bCs/>
          <w:sz w:val="24"/>
          <w:szCs w:val="24"/>
        </w:rPr>
      </w:r>
    </w:p>
    <w:p w14:paraId="0023A4B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EN.REFLIST </w:instrText>
      </w:r>
      <w:r>
        <w:rPr>
          <w:rFonts w:ascii="Times New Roman" w:hAnsi="Times New Roman" w:cs="Times New Roman"/>
          <w:sz w:val="24"/>
          <w:szCs w:val="24"/>
        </w:rPr>
        <w:fldChar w:fldCharType="separate"/>
      </w:r>
      <w:r>
        <w:rPr>
          <w:rFonts w:ascii="Times New Roman" w:hAnsi="Times New Roman" w:cs="Times New Roman"/>
          <w:sz w:val="24"/>
          <w:szCs w:val="24"/>
        </w:rPr>
        <w:t xml:space="preserve">Amezquita, R.A.</w:t>
      </w:r>
      <w:r>
        <w:rPr>
          <w:rFonts w:ascii="Times New Roman" w:hAnsi="Times New Roman" w:cs="Times New Roman"/>
          <w:i/>
          <w:sz w:val="24"/>
          <w:szCs w:val="24"/>
        </w:rPr>
        <w:t xml:space="preserve">, et al.</w:t>
      </w:r>
      <w:r>
        <w:rPr>
          <w:rFonts w:ascii="Times New Roman" w:hAnsi="Times New Roman" w:cs="Times New Roman"/>
          <w:sz w:val="24"/>
          <w:szCs w:val="24"/>
        </w:rPr>
        <w:t xml:space="preserve"> Orchestrating single-cell analysis with Bioconductor. </w:t>
      </w:r>
      <w:r>
        <w:rPr>
          <w:rFonts w:ascii="Times New Roman" w:hAnsi="Times New Roman" w:cs="Times New Roman"/>
          <w:i/>
          <w:sz w:val="24"/>
          <w:szCs w:val="24"/>
        </w:rPr>
        <w:t xml:space="preserve">Nature methods</w:t>
      </w:r>
      <w:r>
        <w:rPr>
          <w:rFonts w:ascii="Times New Roman" w:hAnsi="Times New Roman" w:cs="Times New Roman"/>
          <w:sz w:val="24"/>
          <w:szCs w:val="24"/>
        </w:rPr>
        <w:t xml:space="preserve"> 2020;17(2):137–145.</w:t>
      </w:r>
      <w:r>
        <w:rPr>
          <w:rFonts w:ascii="Times New Roman" w:hAnsi="Times New Roman" w:cs="Times New Roman"/>
          <w:sz w:val="24"/>
          <w:szCs w:val="24"/>
        </w:rPr>
      </w:r>
      <w:r>
        <w:rPr>
          <w:rFonts w:ascii="Times New Roman" w:hAnsi="Times New Roman" w:cs="Times New Roman"/>
          <w:sz w:val="24"/>
          <w:szCs w:val="24"/>
        </w:rPr>
      </w:r>
    </w:p>
    <w:p w14:paraId="7C13D30B"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Bar-Joseph, Z., Gitter, A. and Simon, I. Studying and modelling dynamic biological processes using time-series gene expression data. </w:t>
      </w:r>
      <w:r>
        <w:rPr>
          <w:rFonts w:ascii="Times New Roman" w:hAnsi="Times New Roman" w:cs="Times New Roman"/>
          <w:i/>
          <w:sz w:val="24"/>
          <w:szCs w:val="24"/>
        </w:rPr>
        <w:t xml:space="preserve">Nature Reviews Genetics</w:t>
      </w:r>
      <w:r>
        <w:rPr>
          <w:rFonts w:ascii="Times New Roman" w:hAnsi="Times New Roman" w:cs="Times New Roman"/>
          <w:sz w:val="24"/>
          <w:szCs w:val="24"/>
        </w:rPr>
        <w:t xml:space="preserve"> 2012;13(8):552–564.</w:t>
      </w:r>
      <w:r>
        <w:rPr>
          <w:rFonts w:ascii="Times New Roman" w:hAnsi="Times New Roman" w:cs="Times New Roman"/>
          <w:sz w:val="24"/>
          <w:szCs w:val="24"/>
        </w:rPr>
      </w:r>
      <w:r>
        <w:rPr>
          <w:rFonts w:ascii="Times New Roman" w:hAnsi="Times New Roman" w:cs="Times New Roman"/>
          <w:sz w:val="24"/>
          <w:szCs w:val="24"/>
        </w:rPr>
      </w:r>
    </w:p>
    <w:p w14:paraId="1742D0A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Conesa, A.</w:t>
      </w:r>
      <w:r>
        <w:rPr>
          <w:rFonts w:ascii="Times New Roman" w:hAnsi="Times New Roman" w:cs="Times New Roman"/>
          <w:i/>
          <w:sz w:val="24"/>
          <w:szCs w:val="24"/>
        </w:rPr>
        <w:t xml:space="preserve">, et al.</w:t>
      </w:r>
      <w:r>
        <w:rPr>
          <w:rFonts w:ascii="Times New Roman" w:hAnsi="Times New Roman" w:cs="Times New Roman"/>
          <w:sz w:val="24"/>
          <w:szCs w:val="24"/>
        </w:rPr>
        <w:t xml:space="preserve"> A survey of best practices for RNA-seq data analysis. </w:t>
      </w:r>
      <w:r>
        <w:rPr>
          <w:rFonts w:ascii="Times New Roman" w:hAnsi="Times New Roman" w:cs="Times New Roman"/>
          <w:i/>
          <w:sz w:val="24"/>
          <w:szCs w:val="24"/>
        </w:rPr>
        <w:t xml:space="preserve">Genome biology</w:t>
      </w:r>
      <w:r>
        <w:rPr>
          <w:rFonts w:ascii="Times New Roman" w:hAnsi="Times New Roman" w:cs="Times New Roman"/>
          <w:sz w:val="24"/>
          <w:szCs w:val="24"/>
        </w:rPr>
        <w:t xml:space="preserve"> 2016;17(1):13.</w:t>
      </w:r>
      <w:r>
        <w:rPr>
          <w:rFonts w:ascii="Times New Roman" w:hAnsi="Times New Roman" w:cs="Times New Roman"/>
          <w:sz w:val="24"/>
          <w:szCs w:val="24"/>
        </w:rPr>
      </w:r>
      <w:r>
        <w:rPr>
          <w:rFonts w:ascii="Times New Roman" w:hAnsi="Times New Roman" w:cs="Times New Roman"/>
          <w:sz w:val="24"/>
          <w:szCs w:val="24"/>
        </w:rPr>
      </w:r>
    </w:p>
    <w:p w14:paraId="526D995A"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Consortium, S.M.-I. A comprehensive assessment of RNA-seq accuracy, reproducibility and information content by the Sequencing Quality Control Consortium.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2014;32(9):903–914.</w:t>
      </w:r>
      <w:r>
        <w:rPr>
          <w:rFonts w:ascii="Times New Roman" w:hAnsi="Times New Roman" w:cs="Times New Roman"/>
          <w:sz w:val="24"/>
          <w:szCs w:val="24"/>
        </w:rPr>
      </w:r>
      <w:r>
        <w:rPr>
          <w:rFonts w:ascii="Times New Roman" w:hAnsi="Times New Roman" w:cs="Times New Roman"/>
          <w:sz w:val="24"/>
          <w:szCs w:val="24"/>
        </w:rPr>
      </w:r>
    </w:p>
    <w:p w14:paraId="23E92A6B"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Hicks, S.C.</w:t>
      </w:r>
      <w:r>
        <w:rPr>
          <w:rFonts w:ascii="Times New Roman" w:hAnsi="Times New Roman" w:cs="Times New Roman"/>
          <w:i/>
          <w:sz w:val="24"/>
          <w:szCs w:val="24"/>
        </w:rPr>
        <w:t xml:space="preserve">, et al.</w:t>
      </w:r>
      <w:r>
        <w:rPr>
          <w:rFonts w:ascii="Times New Roman" w:hAnsi="Times New Roman" w:cs="Times New Roman"/>
          <w:sz w:val="24"/>
          <w:szCs w:val="24"/>
        </w:rPr>
        <w:t xml:space="preserve"> Missing data and technical variability in single-cell RNA-sequencing experiments. </w:t>
      </w:r>
      <w:r>
        <w:rPr>
          <w:rFonts w:ascii="Times New Roman" w:hAnsi="Times New Roman" w:cs="Times New Roman"/>
          <w:i/>
          <w:sz w:val="24"/>
          <w:szCs w:val="24"/>
        </w:rPr>
        <w:t xml:space="preserve">Biostatistics</w:t>
      </w:r>
      <w:r>
        <w:rPr>
          <w:rFonts w:ascii="Times New Roman" w:hAnsi="Times New Roman" w:cs="Times New Roman"/>
          <w:sz w:val="24"/>
          <w:szCs w:val="24"/>
        </w:rPr>
        <w:t xml:space="preserve"> 2018;19(4):562–578.</w:t>
      </w:r>
      <w:r>
        <w:rPr>
          <w:rFonts w:ascii="Times New Roman" w:hAnsi="Times New Roman" w:cs="Times New Roman"/>
          <w:sz w:val="24"/>
          <w:szCs w:val="24"/>
        </w:rPr>
      </w:r>
      <w:r>
        <w:rPr>
          <w:rFonts w:ascii="Times New Roman" w:hAnsi="Times New Roman" w:cs="Times New Roman"/>
          <w:sz w:val="24"/>
          <w:szCs w:val="24"/>
        </w:rPr>
      </w:r>
    </w:p>
    <w:p w14:paraId="77C3C841"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Kelsey, G., Stegle, O. and Reik, W. Single-cell epigenomics: Recording the past and predicting the future. </w:t>
      </w:r>
      <w:r>
        <w:rPr>
          <w:rFonts w:ascii="Times New Roman" w:hAnsi="Times New Roman" w:cs="Times New Roman"/>
          <w:i/>
          <w:sz w:val="24"/>
          <w:szCs w:val="24"/>
        </w:rPr>
        <w:t xml:space="preserve">Science</w:t>
      </w:r>
      <w:r>
        <w:rPr>
          <w:rFonts w:ascii="Times New Roman" w:hAnsi="Times New Roman" w:cs="Times New Roman"/>
          <w:sz w:val="24"/>
          <w:szCs w:val="24"/>
        </w:rPr>
        <w:t xml:space="preserve"> 2017;358(6359):69–75.</w:t>
      </w:r>
      <w:r>
        <w:rPr>
          <w:rFonts w:ascii="Times New Roman" w:hAnsi="Times New Roman" w:cs="Times New Roman"/>
          <w:sz w:val="24"/>
          <w:szCs w:val="24"/>
        </w:rPr>
      </w:r>
      <w:r>
        <w:rPr>
          <w:rFonts w:ascii="Times New Roman" w:hAnsi="Times New Roman" w:cs="Times New Roman"/>
          <w:sz w:val="24"/>
          <w:szCs w:val="24"/>
        </w:rPr>
      </w:r>
    </w:p>
    <w:p w14:paraId="19D2033C"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Leek, J.T.</w:t>
      </w:r>
      <w:r>
        <w:rPr>
          <w:rFonts w:ascii="Times New Roman" w:hAnsi="Times New Roman" w:cs="Times New Roman"/>
          <w:i/>
          <w:sz w:val="24"/>
          <w:szCs w:val="24"/>
        </w:rPr>
        <w:t xml:space="preserve">, et al.</w:t>
      </w:r>
      <w:r>
        <w:rPr>
          <w:rFonts w:ascii="Times New Roman" w:hAnsi="Times New Roman" w:cs="Times New Roman"/>
          <w:sz w:val="24"/>
          <w:szCs w:val="24"/>
        </w:rPr>
        <w:t xml:space="preserve"> Tackling the widespread and critical impact of batch effects in high-throughput data. </w:t>
      </w:r>
      <w:r>
        <w:rPr>
          <w:rFonts w:ascii="Times New Roman" w:hAnsi="Times New Roman" w:cs="Times New Roman"/>
          <w:i/>
          <w:sz w:val="24"/>
          <w:szCs w:val="24"/>
        </w:rPr>
        <w:t xml:space="preserve">Nat Rev Genet</w:t>
      </w:r>
      <w:r>
        <w:rPr>
          <w:rFonts w:ascii="Times New Roman" w:hAnsi="Times New Roman" w:cs="Times New Roman"/>
          <w:sz w:val="24"/>
          <w:szCs w:val="24"/>
        </w:rPr>
        <w:t xml:space="preserve"> 2010;11(10):733–739.</w:t>
      </w:r>
      <w:r>
        <w:rPr>
          <w:rFonts w:ascii="Times New Roman" w:hAnsi="Times New Roman" w:cs="Times New Roman"/>
          <w:sz w:val="24"/>
          <w:szCs w:val="24"/>
        </w:rPr>
      </w:r>
      <w:r>
        <w:rPr>
          <w:rFonts w:ascii="Times New Roman" w:hAnsi="Times New Roman" w:cs="Times New Roman"/>
          <w:sz w:val="24"/>
          <w:szCs w:val="24"/>
        </w:rPr>
      </w:r>
    </w:p>
    <w:p w14:paraId="6721F8B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Lemeshow, S. and Hosmer, D.W., Jr. Logistic regression analysis: applications to ophthalmic research. </w:t>
      </w:r>
      <w:r>
        <w:rPr>
          <w:rFonts w:ascii="Times New Roman" w:hAnsi="Times New Roman" w:cs="Times New Roman"/>
          <w:i/>
          <w:sz w:val="24"/>
          <w:szCs w:val="24"/>
        </w:rPr>
        <w:t xml:space="preserve">Am J Ophthalmol</w:t>
      </w:r>
      <w:r>
        <w:rPr>
          <w:rFonts w:ascii="Times New Roman" w:hAnsi="Times New Roman" w:cs="Times New Roman"/>
          <w:sz w:val="24"/>
          <w:szCs w:val="24"/>
        </w:rPr>
        <w:t xml:space="preserve"> 2009;147(5):766–767.</w:t>
      </w:r>
      <w:r>
        <w:rPr>
          <w:rFonts w:ascii="Times New Roman" w:hAnsi="Times New Roman" w:cs="Times New Roman"/>
          <w:sz w:val="24"/>
          <w:szCs w:val="24"/>
        </w:rPr>
      </w:r>
      <w:r>
        <w:rPr>
          <w:rFonts w:ascii="Times New Roman" w:hAnsi="Times New Roman" w:cs="Times New Roman"/>
          <w:sz w:val="24"/>
          <w:szCs w:val="24"/>
        </w:rPr>
      </w:r>
    </w:p>
    <w:p w14:paraId="70CB9A63"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Li, S.</w:t>
      </w:r>
      <w:r>
        <w:rPr>
          <w:rFonts w:ascii="Times New Roman" w:hAnsi="Times New Roman" w:cs="Times New Roman"/>
          <w:i/>
          <w:sz w:val="24"/>
          <w:szCs w:val="24"/>
        </w:rPr>
        <w:t xml:space="preserve">, et al.</w:t>
      </w:r>
      <w:r>
        <w:rPr>
          <w:rFonts w:ascii="Times New Roman" w:hAnsi="Times New Roman" w:cs="Times New Roman"/>
          <w:sz w:val="24"/>
          <w:szCs w:val="24"/>
        </w:rPr>
        <w:t xml:space="preserve"> Multi-platform assessment of transcriptome profiling using RNA-seq in the ABRF next-generation sequencing study.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2014;32(9):915–925.</w:t>
      </w:r>
      <w:r>
        <w:rPr>
          <w:rFonts w:ascii="Times New Roman" w:hAnsi="Times New Roman" w:cs="Times New Roman"/>
          <w:sz w:val="24"/>
          <w:szCs w:val="24"/>
        </w:rPr>
      </w:r>
      <w:r>
        <w:rPr>
          <w:rFonts w:ascii="Times New Roman" w:hAnsi="Times New Roman" w:cs="Times New Roman"/>
          <w:sz w:val="24"/>
          <w:szCs w:val="24"/>
        </w:rPr>
      </w:r>
    </w:p>
    <w:p w14:paraId="58127E6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Love, M.I.</w:t>
      </w:r>
      <w:r>
        <w:rPr>
          <w:rFonts w:ascii="Times New Roman" w:hAnsi="Times New Roman" w:cs="Times New Roman"/>
          <w:i/>
          <w:sz w:val="24"/>
          <w:szCs w:val="24"/>
        </w:rPr>
        <w:t xml:space="preserve">, et al.</w:t>
      </w:r>
      <w:r>
        <w:rPr>
          <w:rFonts w:ascii="Times New Roman" w:hAnsi="Times New Roman" w:cs="Times New Roman"/>
          <w:sz w:val="24"/>
          <w:szCs w:val="24"/>
        </w:rPr>
        <w:t xml:space="preserve"> RNA-Seq workflow: gene-level exploratory analysis and differential expression. </w:t>
      </w:r>
      <w:r>
        <w:rPr>
          <w:rFonts w:ascii="Times New Roman" w:hAnsi="Times New Roman" w:cs="Times New Roman"/>
          <w:i/>
          <w:sz w:val="24"/>
          <w:szCs w:val="24"/>
        </w:rPr>
        <w:t xml:space="preserve">F1000Res</w:t>
      </w:r>
      <w:r>
        <w:rPr>
          <w:rFonts w:ascii="Times New Roman" w:hAnsi="Times New Roman" w:cs="Times New Roman"/>
          <w:sz w:val="24"/>
          <w:szCs w:val="24"/>
        </w:rPr>
        <w:t xml:space="preserve"> 2015;4:1070.</w:t>
      </w:r>
      <w:r>
        <w:rPr>
          <w:rFonts w:ascii="Times New Roman" w:hAnsi="Times New Roman" w:cs="Times New Roman"/>
          <w:sz w:val="24"/>
          <w:szCs w:val="24"/>
        </w:rPr>
      </w:r>
      <w:r>
        <w:rPr>
          <w:rFonts w:ascii="Times New Roman" w:hAnsi="Times New Roman" w:cs="Times New Roman"/>
          <w:sz w:val="24"/>
          <w:szCs w:val="24"/>
        </w:rPr>
      </w:r>
    </w:p>
    <w:p w14:paraId="3B82B80D"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Love, M.I., Huber, W. and Anders, S. Moderated estimation of fold change and dispersion for RNA-seq data with DESeq2. </w:t>
      </w:r>
      <w:r>
        <w:rPr>
          <w:rFonts w:ascii="Times New Roman" w:hAnsi="Times New Roman" w:cs="Times New Roman"/>
          <w:i/>
          <w:sz w:val="24"/>
          <w:szCs w:val="24"/>
        </w:rPr>
        <w:t xml:space="preserve">Genome Biol</w:t>
      </w:r>
      <w:r>
        <w:rPr>
          <w:rFonts w:ascii="Times New Roman" w:hAnsi="Times New Roman" w:cs="Times New Roman"/>
          <w:sz w:val="24"/>
          <w:szCs w:val="24"/>
        </w:rPr>
        <w:t xml:space="preserve"> 2014;15(12):550.</w:t>
      </w:r>
      <w:r>
        <w:rPr>
          <w:rFonts w:ascii="Times New Roman" w:hAnsi="Times New Roman" w:cs="Times New Roman"/>
          <w:sz w:val="24"/>
          <w:szCs w:val="24"/>
        </w:rPr>
      </w:r>
      <w:r>
        <w:rPr>
          <w:rFonts w:ascii="Times New Roman" w:hAnsi="Times New Roman" w:cs="Times New Roman"/>
          <w:sz w:val="24"/>
          <w:szCs w:val="24"/>
        </w:rPr>
      </w:r>
    </w:p>
    <w:p w14:paraId="241A0770"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Luecken, M.D. and Theis, F.J. Current best practices in single‐cell RNA‐seq analysis: a tutorial. </w:t>
      </w:r>
      <w:r>
        <w:rPr>
          <w:rFonts w:ascii="Times New Roman" w:hAnsi="Times New Roman" w:cs="Times New Roman"/>
          <w:i/>
          <w:sz w:val="24"/>
          <w:szCs w:val="24"/>
        </w:rPr>
        <w:t xml:space="preserve">Molecular systems biology</w:t>
      </w:r>
      <w:r>
        <w:rPr>
          <w:rFonts w:ascii="Times New Roman" w:hAnsi="Times New Roman" w:cs="Times New Roman"/>
          <w:sz w:val="24"/>
          <w:szCs w:val="24"/>
        </w:rPr>
        <w:t xml:space="preserve"> 2019;15(6):MSB188746.</w:t>
      </w:r>
      <w:r>
        <w:rPr>
          <w:rFonts w:ascii="Times New Roman" w:hAnsi="Times New Roman" w:cs="Times New Roman"/>
          <w:sz w:val="24"/>
          <w:szCs w:val="24"/>
        </w:rPr>
      </w:r>
      <w:r>
        <w:rPr>
          <w:rFonts w:ascii="Times New Roman" w:hAnsi="Times New Roman" w:cs="Times New Roman"/>
          <w:sz w:val="24"/>
          <w:szCs w:val="24"/>
        </w:rPr>
      </w:r>
    </w:p>
    <w:p w14:paraId="7B8419E2"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McCarthy, D.J., Chen, Y. and Smyth, G.K. Differential expression analysis of multifactor RNA-Seq experiments with respect to biological variation. </w:t>
      </w:r>
      <w:r>
        <w:rPr>
          <w:rFonts w:ascii="Times New Roman" w:hAnsi="Times New Roman" w:cs="Times New Roman"/>
          <w:i/>
          <w:sz w:val="24"/>
          <w:szCs w:val="24"/>
        </w:rPr>
        <w:t xml:space="preserve">Nucleic Acids Res</w:t>
      </w:r>
      <w:r>
        <w:rPr>
          <w:rFonts w:ascii="Times New Roman" w:hAnsi="Times New Roman" w:cs="Times New Roman"/>
          <w:sz w:val="24"/>
          <w:szCs w:val="24"/>
        </w:rPr>
        <w:t xml:space="preserve"> 2012;40(10):4288–4297.</w:t>
      </w:r>
      <w:r>
        <w:rPr>
          <w:rFonts w:ascii="Times New Roman" w:hAnsi="Times New Roman" w:cs="Times New Roman"/>
          <w:sz w:val="24"/>
          <w:szCs w:val="24"/>
        </w:rPr>
      </w:r>
      <w:r>
        <w:rPr>
          <w:rFonts w:ascii="Times New Roman" w:hAnsi="Times New Roman" w:cs="Times New Roman"/>
          <w:sz w:val="24"/>
          <w:szCs w:val="24"/>
        </w:rPr>
      </w:r>
    </w:p>
    <w:p w14:paraId="155D0A66"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Newman, A.M.</w:t>
      </w:r>
      <w:r>
        <w:rPr>
          <w:rFonts w:ascii="Times New Roman" w:hAnsi="Times New Roman" w:cs="Times New Roman"/>
          <w:i/>
          <w:sz w:val="24"/>
          <w:szCs w:val="24"/>
        </w:rPr>
        <w:t xml:space="preserve">, et al.</w:t>
      </w:r>
      <w:r>
        <w:rPr>
          <w:rFonts w:ascii="Times New Roman" w:hAnsi="Times New Roman" w:cs="Times New Roman"/>
          <w:sz w:val="24"/>
          <w:szCs w:val="24"/>
        </w:rPr>
        <w:t xml:space="preserve"> Robust enumeration of cell subsets from tissue expression profiles. </w:t>
      </w:r>
      <w:r>
        <w:rPr>
          <w:rFonts w:ascii="Times New Roman" w:hAnsi="Times New Roman" w:cs="Times New Roman"/>
          <w:i/>
          <w:sz w:val="24"/>
          <w:szCs w:val="24"/>
        </w:rPr>
        <w:t xml:space="preserve">Nat Methods</w:t>
      </w:r>
      <w:r>
        <w:rPr>
          <w:rFonts w:ascii="Times New Roman" w:hAnsi="Times New Roman" w:cs="Times New Roman"/>
          <w:sz w:val="24"/>
          <w:szCs w:val="24"/>
        </w:rPr>
        <w:t xml:space="preserve"> 2015;12(5):453–457.</w:t>
      </w:r>
      <w:r>
        <w:rPr>
          <w:rFonts w:ascii="Times New Roman" w:hAnsi="Times New Roman" w:cs="Times New Roman"/>
          <w:sz w:val="24"/>
          <w:szCs w:val="24"/>
        </w:rPr>
      </w:r>
      <w:r>
        <w:rPr>
          <w:rFonts w:ascii="Times New Roman" w:hAnsi="Times New Roman" w:cs="Times New Roman"/>
          <w:sz w:val="24"/>
          <w:szCs w:val="24"/>
        </w:rPr>
      </w:r>
    </w:p>
    <w:p w14:paraId="2690BDF4"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Risso, D.</w:t>
      </w:r>
      <w:r>
        <w:rPr>
          <w:rFonts w:ascii="Times New Roman" w:hAnsi="Times New Roman" w:cs="Times New Roman"/>
          <w:i/>
          <w:sz w:val="24"/>
          <w:szCs w:val="24"/>
        </w:rPr>
        <w:t xml:space="preserve">, et al.</w:t>
      </w:r>
      <w:r>
        <w:rPr>
          <w:rFonts w:ascii="Times New Roman" w:hAnsi="Times New Roman" w:cs="Times New Roman"/>
          <w:sz w:val="24"/>
          <w:szCs w:val="24"/>
        </w:rPr>
        <w:t xml:space="preserve"> Normalization of RNA-seq data using factor analysis of control genes or samples.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2014;32(9):896–902.</w:t>
      </w:r>
      <w:r>
        <w:rPr>
          <w:rFonts w:ascii="Times New Roman" w:hAnsi="Times New Roman" w:cs="Times New Roman"/>
          <w:sz w:val="24"/>
          <w:szCs w:val="24"/>
        </w:rPr>
      </w:r>
      <w:r>
        <w:rPr>
          <w:rFonts w:ascii="Times New Roman" w:hAnsi="Times New Roman" w:cs="Times New Roman"/>
          <w:sz w:val="24"/>
          <w:szCs w:val="24"/>
        </w:rPr>
      </w:r>
    </w:p>
    <w:p w14:paraId="1FFB1BE1"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Ritchie, M.E.</w:t>
      </w:r>
      <w:r>
        <w:rPr>
          <w:rFonts w:ascii="Times New Roman" w:hAnsi="Times New Roman" w:cs="Times New Roman"/>
          <w:i/>
          <w:sz w:val="24"/>
          <w:szCs w:val="24"/>
        </w:rPr>
        <w:t xml:space="preserve">, et al.</w:t>
      </w:r>
      <w:r>
        <w:rPr>
          <w:rFonts w:ascii="Times New Roman" w:hAnsi="Times New Roman" w:cs="Times New Roman"/>
          <w:sz w:val="24"/>
          <w:szCs w:val="24"/>
        </w:rPr>
        <w:t xml:space="preserve"> limma powers differential expression analyses for RNA-sequencing and microarray studies. </w:t>
      </w:r>
      <w:r>
        <w:rPr>
          <w:rFonts w:ascii="Times New Roman" w:hAnsi="Times New Roman" w:cs="Times New Roman"/>
          <w:i/>
          <w:sz w:val="24"/>
          <w:szCs w:val="24"/>
        </w:rPr>
        <w:t xml:space="preserve">Nucleic Acids Res</w:t>
      </w:r>
      <w:r>
        <w:rPr>
          <w:rFonts w:ascii="Times New Roman" w:hAnsi="Times New Roman" w:cs="Times New Roman"/>
          <w:sz w:val="24"/>
          <w:szCs w:val="24"/>
        </w:rPr>
        <w:t xml:space="preserve"> 2015;43(7):e47.</w:t>
      </w:r>
      <w:r>
        <w:rPr>
          <w:rFonts w:ascii="Times New Roman" w:hAnsi="Times New Roman" w:cs="Times New Roman"/>
          <w:sz w:val="24"/>
          <w:szCs w:val="24"/>
        </w:rPr>
      </w:r>
      <w:r>
        <w:rPr>
          <w:rFonts w:ascii="Times New Roman" w:hAnsi="Times New Roman" w:cs="Times New Roman"/>
          <w:sz w:val="24"/>
          <w:szCs w:val="24"/>
        </w:rPr>
      </w:r>
    </w:p>
    <w:p w14:paraId="03D6D70D"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Soneson, C., Love, M.I. and Robinson, M.D. Differential analyses for RNA-seq: transcript-level estimates improve gene-level inferences. </w:t>
      </w:r>
      <w:r>
        <w:rPr>
          <w:rFonts w:ascii="Times New Roman" w:hAnsi="Times New Roman" w:cs="Times New Roman"/>
          <w:i/>
          <w:sz w:val="24"/>
          <w:szCs w:val="24"/>
        </w:rPr>
        <w:t xml:space="preserve">F1000Research</w:t>
      </w:r>
      <w:r>
        <w:rPr>
          <w:rFonts w:ascii="Times New Roman" w:hAnsi="Times New Roman" w:cs="Times New Roman"/>
          <w:sz w:val="24"/>
          <w:szCs w:val="24"/>
        </w:rPr>
        <w:t xml:space="preserve"> 2016;4:1521.</w:t>
      </w:r>
      <w:r>
        <w:rPr>
          <w:rFonts w:ascii="Times New Roman" w:hAnsi="Times New Roman" w:cs="Times New Roman"/>
          <w:sz w:val="24"/>
          <w:szCs w:val="24"/>
        </w:rPr>
      </w:r>
      <w:r>
        <w:rPr>
          <w:rFonts w:ascii="Times New Roman" w:hAnsi="Times New Roman" w:cs="Times New Roman"/>
          <w:sz w:val="24"/>
          <w:szCs w:val="24"/>
        </w:rPr>
      </w:r>
    </w:p>
    <w:p w14:paraId="258DF2DC"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Soneson, C. and Robinson, M.D. Bias, robustness and scalability in single-cell differential expression analysis. </w:t>
      </w:r>
      <w:r>
        <w:rPr>
          <w:rFonts w:ascii="Times New Roman" w:hAnsi="Times New Roman" w:cs="Times New Roman"/>
          <w:i/>
          <w:sz w:val="24"/>
          <w:szCs w:val="24"/>
        </w:rPr>
        <w:t xml:space="preserve">Nat Methods</w:t>
      </w:r>
      <w:r>
        <w:rPr>
          <w:rFonts w:ascii="Times New Roman" w:hAnsi="Times New Roman" w:cs="Times New Roman"/>
          <w:sz w:val="24"/>
          <w:szCs w:val="24"/>
        </w:rPr>
        <w:t xml:space="preserve"> 2018;15(4):255–261.</w:t>
      </w:r>
      <w:r>
        <w:rPr>
          <w:rFonts w:ascii="Times New Roman" w:hAnsi="Times New Roman" w:cs="Times New Roman"/>
          <w:sz w:val="24"/>
          <w:szCs w:val="24"/>
        </w:rPr>
      </w:r>
      <w:r>
        <w:rPr>
          <w:rFonts w:ascii="Times New Roman" w:hAnsi="Times New Roman" w:cs="Times New Roman"/>
          <w:sz w:val="24"/>
          <w:szCs w:val="24"/>
        </w:rPr>
      </w:r>
    </w:p>
    <w:p w14:paraId="1B9EF449"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Spies, D.</w:t>
      </w:r>
      <w:r>
        <w:rPr>
          <w:rFonts w:ascii="Times New Roman" w:hAnsi="Times New Roman" w:cs="Times New Roman"/>
          <w:i/>
          <w:sz w:val="24"/>
          <w:szCs w:val="24"/>
        </w:rPr>
        <w:t xml:space="preserve">, et al.</w:t>
      </w:r>
      <w:r>
        <w:rPr>
          <w:rFonts w:ascii="Times New Roman" w:hAnsi="Times New Roman" w:cs="Times New Roman"/>
          <w:sz w:val="24"/>
          <w:szCs w:val="24"/>
        </w:rPr>
        <w:t xml:space="preserve"> Comparative analysis of differential gene expression tools for RNA sequencing time course data. </w:t>
      </w:r>
      <w:r>
        <w:rPr>
          <w:rFonts w:ascii="Times New Roman" w:hAnsi="Times New Roman" w:cs="Times New Roman"/>
          <w:i/>
          <w:sz w:val="24"/>
          <w:szCs w:val="24"/>
        </w:rPr>
        <w:t xml:space="preserve">Briefings in bioinformatics</w:t>
      </w:r>
      <w:r>
        <w:rPr>
          <w:rFonts w:ascii="Times New Roman" w:hAnsi="Times New Roman" w:cs="Times New Roman"/>
          <w:sz w:val="24"/>
          <w:szCs w:val="24"/>
        </w:rPr>
        <w:t xml:space="preserve"> 2019;20(1):288–298.</w:t>
      </w:r>
      <w:r>
        <w:rPr>
          <w:rFonts w:ascii="Times New Roman" w:hAnsi="Times New Roman" w:cs="Times New Roman"/>
          <w:sz w:val="24"/>
          <w:szCs w:val="24"/>
        </w:rPr>
      </w:r>
      <w:r>
        <w:rPr>
          <w:rFonts w:ascii="Times New Roman" w:hAnsi="Times New Roman" w:cs="Times New Roman"/>
          <w:sz w:val="24"/>
          <w:szCs w:val="24"/>
        </w:rPr>
      </w:r>
    </w:p>
    <w:p w14:paraId="4414E884"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Squair, J.W.</w:t>
      </w:r>
      <w:r>
        <w:rPr>
          <w:rFonts w:ascii="Times New Roman" w:hAnsi="Times New Roman" w:cs="Times New Roman"/>
          <w:i/>
          <w:sz w:val="24"/>
          <w:szCs w:val="24"/>
        </w:rPr>
        <w:t xml:space="preserve">, et al.</w:t>
      </w:r>
      <w:r>
        <w:rPr>
          <w:rFonts w:ascii="Times New Roman" w:hAnsi="Times New Roman" w:cs="Times New Roman"/>
          <w:sz w:val="24"/>
          <w:szCs w:val="24"/>
        </w:rPr>
        <w:t xml:space="preserve"> Confronting false discoveries in single-cell differential expression. </w:t>
      </w:r>
      <w:r>
        <w:rPr>
          <w:rFonts w:ascii="Times New Roman" w:hAnsi="Times New Roman" w:cs="Times New Roman"/>
          <w:i/>
          <w:sz w:val="24"/>
          <w:szCs w:val="24"/>
        </w:rPr>
        <w:t xml:space="preserve">Nat Commun</w:t>
      </w:r>
      <w:r>
        <w:rPr>
          <w:rFonts w:ascii="Times New Roman" w:hAnsi="Times New Roman" w:cs="Times New Roman"/>
          <w:sz w:val="24"/>
          <w:szCs w:val="24"/>
        </w:rPr>
        <w:t xml:space="preserve"> 2021;12(1):5692.</w:t>
      </w:r>
      <w:r>
        <w:rPr>
          <w:rFonts w:ascii="Times New Roman" w:hAnsi="Times New Roman" w:cs="Times New Roman"/>
          <w:sz w:val="24"/>
          <w:szCs w:val="24"/>
        </w:rPr>
      </w:r>
      <w:r>
        <w:rPr>
          <w:rFonts w:ascii="Times New Roman" w:hAnsi="Times New Roman" w:cs="Times New Roman"/>
          <w:sz w:val="24"/>
          <w:szCs w:val="24"/>
        </w:rPr>
      </w:r>
    </w:p>
    <w:p w14:paraId="48956E51"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Storey, J.D.</w:t>
      </w:r>
      <w:r>
        <w:rPr>
          <w:rFonts w:ascii="Times New Roman" w:hAnsi="Times New Roman" w:cs="Times New Roman"/>
          <w:i/>
          <w:sz w:val="24"/>
          <w:szCs w:val="24"/>
        </w:rPr>
        <w:t xml:space="preserve">, et al.</w:t>
      </w:r>
      <w:r>
        <w:rPr>
          <w:rFonts w:ascii="Times New Roman" w:hAnsi="Times New Roman" w:cs="Times New Roman"/>
          <w:sz w:val="24"/>
          <w:szCs w:val="24"/>
        </w:rPr>
        <w:t xml:space="preserve"> Significance analysis of time course microarray experiments. </w:t>
      </w:r>
      <w:r>
        <w:rPr>
          <w:rFonts w:ascii="Times New Roman" w:hAnsi="Times New Roman" w:cs="Times New Roman"/>
          <w:i/>
          <w:sz w:val="24"/>
          <w:szCs w:val="24"/>
        </w:rPr>
        <w:t xml:space="preserve">Proceedings of the National Academy of Sciences</w:t>
      </w:r>
      <w:r>
        <w:rPr>
          <w:rFonts w:ascii="Times New Roman" w:hAnsi="Times New Roman" w:cs="Times New Roman"/>
          <w:sz w:val="24"/>
          <w:szCs w:val="24"/>
        </w:rPr>
        <w:t xml:space="preserve"> 2005;102(36):12837–12842.</w:t>
      </w:r>
      <w:r>
        <w:rPr>
          <w:rFonts w:ascii="Times New Roman" w:hAnsi="Times New Roman" w:cs="Times New Roman"/>
          <w:sz w:val="24"/>
          <w:szCs w:val="24"/>
        </w:rPr>
      </w:r>
      <w:r>
        <w:rPr>
          <w:rFonts w:ascii="Times New Roman" w:hAnsi="Times New Roman" w:cs="Times New Roman"/>
          <w:sz w:val="24"/>
          <w:szCs w:val="24"/>
        </w:rPr>
      </w:r>
    </w:p>
    <w:p w14:paraId="1A6B4844"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Stuart, T. and Satija, R. Integrative single-cell analysis. </w:t>
      </w:r>
      <w:r>
        <w:rPr>
          <w:rFonts w:ascii="Times New Roman" w:hAnsi="Times New Roman" w:cs="Times New Roman"/>
          <w:i/>
          <w:sz w:val="24"/>
          <w:szCs w:val="24"/>
        </w:rPr>
        <w:t xml:space="preserve">Nature reviews genetics</w:t>
      </w:r>
      <w:r>
        <w:rPr>
          <w:rFonts w:ascii="Times New Roman" w:hAnsi="Times New Roman" w:cs="Times New Roman"/>
          <w:sz w:val="24"/>
          <w:szCs w:val="24"/>
        </w:rPr>
        <w:t xml:space="preserve"> 2019;20(5):257–272.</w:t>
      </w:r>
      <w:r>
        <w:rPr>
          <w:rFonts w:ascii="Times New Roman" w:hAnsi="Times New Roman" w:cs="Times New Roman"/>
          <w:sz w:val="24"/>
          <w:szCs w:val="24"/>
        </w:rPr>
      </w:r>
      <w:r>
        <w:rPr>
          <w:rFonts w:ascii="Times New Roman" w:hAnsi="Times New Roman" w:cs="Times New Roman"/>
          <w:sz w:val="24"/>
          <w:szCs w:val="24"/>
        </w:rPr>
      </w:r>
    </w:p>
    <w:p w14:paraId="030A6D9A"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Trapnell, C.</w:t>
      </w:r>
      <w:r>
        <w:rPr>
          <w:rFonts w:ascii="Times New Roman" w:hAnsi="Times New Roman" w:cs="Times New Roman"/>
          <w:i/>
          <w:sz w:val="24"/>
          <w:szCs w:val="24"/>
        </w:rPr>
        <w:t xml:space="preserve">, et al.</w:t>
      </w:r>
      <w:r>
        <w:rPr>
          <w:rFonts w:ascii="Times New Roman" w:hAnsi="Times New Roman" w:cs="Times New Roman"/>
          <w:sz w:val="24"/>
          <w:szCs w:val="24"/>
        </w:rPr>
        <w:t xml:space="preserve"> Pseudo-temporal ordering of individual cells reveals dynamics and regulators of cell fate decisions. </w:t>
      </w:r>
      <w:r>
        <w:rPr>
          <w:rFonts w:ascii="Times New Roman" w:hAnsi="Times New Roman" w:cs="Times New Roman"/>
          <w:i/>
          <w:sz w:val="24"/>
          <w:szCs w:val="24"/>
        </w:rPr>
        <w:t xml:space="preserve">Nature biotechnology</w:t>
      </w:r>
      <w:r>
        <w:rPr>
          <w:rFonts w:ascii="Times New Roman" w:hAnsi="Times New Roman" w:cs="Times New Roman"/>
          <w:sz w:val="24"/>
          <w:szCs w:val="24"/>
        </w:rPr>
        <w:t xml:space="preserve"> 2014;32(4):381.</w:t>
      </w:r>
      <w:r>
        <w:rPr>
          <w:rFonts w:ascii="Times New Roman" w:hAnsi="Times New Roman" w:cs="Times New Roman"/>
          <w:sz w:val="24"/>
          <w:szCs w:val="24"/>
        </w:rPr>
      </w:r>
      <w:r>
        <w:rPr>
          <w:rFonts w:ascii="Times New Roman" w:hAnsi="Times New Roman" w:cs="Times New Roman"/>
          <w:sz w:val="24"/>
          <w:szCs w:val="24"/>
        </w:rPr>
      </w:r>
    </w:p>
    <w:p w14:paraId="0403F9EA"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Tsoucas, D. and Yuan, G.C. GiniClust2: a cluster-aware, weighted ensemble clustering method for cell-type detection. </w:t>
      </w:r>
      <w:r>
        <w:rPr>
          <w:rFonts w:ascii="Times New Roman" w:hAnsi="Times New Roman" w:cs="Times New Roman"/>
          <w:i/>
          <w:sz w:val="24"/>
          <w:szCs w:val="24"/>
        </w:rPr>
        <w:t xml:space="preserve">Genome Biol</w:t>
      </w:r>
      <w:r>
        <w:rPr>
          <w:rFonts w:ascii="Times New Roman" w:hAnsi="Times New Roman" w:cs="Times New Roman"/>
          <w:sz w:val="24"/>
          <w:szCs w:val="24"/>
        </w:rPr>
        <w:t xml:space="preserve"> 2018;19(1):58.</w:t>
      </w:r>
      <w:r>
        <w:rPr>
          <w:rFonts w:ascii="Times New Roman" w:hAnsi="Times New Roman" w:cs="Times New Roman"/>
          <w:sz w:val="24"/>
          <w:szCs w:val="24"/>
        </w:rPr>
      </w:r>
      <w:r>
        <w:rPr>
          <w:rFonts w:ascii="Times New Roman" w:hAnsi="Times New Roman" w:cs="Times New Roman"/>
          <w:sz w:val="24"/>
          <w:szCs w:val="24"/>
        </w:rPr>
      </w:r>
    </w:p>
    <w:p w14:paraId="103B8B96"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Vallejos, C.A., Marioni, J.C. and Richardson, S. BASiCS: Bayesian analysis of single-cell sequencing data. </w:t>
      </w:r>
      <w:r>
        <w:rPr>
          <w:rFonts w:ascii="Times New Roman" w:hAnsi="Times New Roman" w:cs="Times New Roman"/>
          <w:i/>
          <w:sz w:val="24"/>
          <w:szCs w:val="24"/>
        </w:rPr>
        <w:t xml:space="preserve">PLoS computational biology</w:t>
      </w:r>
      <w:r>
        <w:rPr>
          <w:rFonts w:ascii="Times New Roman" w:hAnsi="Times New Roman" w:cs="Times New Roman"/>
          <w:sz w:val="24"/>
          <w:szCs w:val="24"/>
        </w:rPr>
        <w:t xml:space="preserve"> 2015;11(6):e1004333.</w:t>
      </w:r>
      <w:r>
        <w:rPr>
          <w:rFonts w:ascii="Times New Roman" w:hAnsi="Times New Roman" w:cs="Times New Roman"/>
          <w:sz w:val="24"/>
          <w:szCs w:val="24"/>
        </w:rPr>
      </w:r>
      <w:r>
        <w:rPr>
          <w:rFonts w:ascii="Times New Roman" w:hAnsi="Times New Roman" w:cs="Times New Roman"/>
          <w:sz w:val="24"/>
          <w:szCs w:val="24"/>
        </w:rPr>
      </w:r>
    </w:p>
    <w:p w14:paraId="1B006102" w14:textId="77777777">
      <w:pPr>
        <w:pStyle w:val="1107"/>
        <w:pBdr/>
        <w:spacing w:after="100" w:afterAutospacing="1" w:before="100" w:beforeAutospacing="1"/>
        <w:ind/>
        <w:rPr>
          <w:rFonts w:ascii="Times New Roman" w:hAnsi="Times New Roman" w:cs="Times New Roman"/>
          <w:sz w:val="24"/>
          <w:szCs w:val="24"/>
        </w:rPr>
      </w:pPr>
      <w:r>
        <w:rPr>
          <w:rFonts w:ascii="Times New Roman" w:hAnsi="Times New Roman" w:cs="Times New Roman"/>
          <w:sz w:val="24"/>
          <w:szCs w:val="24"/>
        </w:rPr>
        <w:t xml:space="preserve">Wagner, A., Regev, A. and Yosef, N. Revealing the vectors of cellular identity with single-cell genomics. </w:t>
      </w:r>
      <w:r>
        <w:rPr>
          <w:rFonts w:ascii="Times New Roman" w:hAnsi="Times New Roman" w:cs="Times New Roman"/>
          <w:i/>
          <w:sz w:val="24"/>
          <w:szCs w:val="24"/>
        </w:rPr>
        <w:t xml:space="preserve">Nat Biotechnol</w:t>
      </w:r>
      <w:r>
        <w:rPr>
          <w:rFonts w:ascii="Times New Roman" w:hAnsi="Times New Roman" w:cs="Times New Roman"/>
          <w:sz w:val="24"/>
          <w:szCs w:val="24"/>
        </w:rPr>
        <w:t xml:space="preserve"> 2016;34(11):1145–1160.</w:t>
      </w:r>
      <w:r>
        <w:rPr>
          <w:rFonts w:ascii="Times New Roman" w:hAnsi="Times New Roman" w:cs="Times New Roman"/>
          <w:sz w:val="24"/>
          <w:szCs w:val="24"/>
        </w:rPr>
      </w:r>
      <w:r>
        <w:rPr>
          <w:rFonts w:ascii="Times New Roman" w:hAnsi="Times New Roman" w:cs="Times New Roman"/>
          <w:sz w:val="24"/>
          <w:szCs w:val="24"/>
        </w:rPr>
      </w:r>
    </w:p>
    <w:p w14:paraId="45B6C5D1" w14:textId="5766BA27">
      <w:pPr>
        <w:pBdr/>
        <w:spacing w:after="100" w:afterAutospacing="1" w:before="100" w:beforeAutospacing="1"/>
        <w:ind/>
        <w:jc w:val="both"/>
        <w:rPr>
          <w:rFonts w:ascii="Times New Roman" w:hAnsi="Times New Roman" w:cs="Times New Roman"/>
          <w:sz w:val="24"/>
          <w:szCs w:val="24"/>
        </w:rPr>
      </w:pPr>
      <w:r>
        <w:rPr>
          <w:rFonts w:ascii="Times New Roman" w:hAnsi="Times New Roman" w:cs="Times New Roman"/>
          <w:sz w:val="24"/>
          <w:szCs w:val="24"/>
        </w:rPr>
        <w:fldChar w:fldCharType="end"/>
      </w:r>
      <w:r>
        <w:rPr>
          <w:rFonts w:ascii="Times New Roman" w:hAnsi="Times New Roman" w:cs="Times New Roman"/>
          <w:sz w:val="24"/>
          <w:szCs w:val="24"/>
        </w:rPr>
      </w:r>
      <w:r>
        <w:rPr>
          <w:rFonts w:ascii="Times New Roman" w:hAnsi="Times New Roman" w:cs="Times New Roman"/>
          <w:sz w:val="24"/>
          <w:szCs w:val="24"/>
        </w:rPr>
      </w:r>
    </w:p>
    <w:sectPr>
      <w:footerReference w:type="default" r:id="rId9"/>
      <w:footnotePr/>
      <w:endnotePr/>
      <w:type w:val="nextPage"/>
      <w:pgSz w:h="15840" w:orient="portrait" w:w="12240"/>
      <w:pgMar w:top="1440" w:right="1440" w:bottom="1440" w:left="1440" w:header="720" w:footer="720" w:gutter="0"/>
      <w:lnNumType w:countBy="1" w:restart="continuou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B28AFEF" w14:textId="77777777">
      <w:pPr>
        <w:pBdr/>
        <w:spacing w:after="0" w:line="240" w:lineRule="auto"/>
        <w:ind/>
        <w:rPr/>
      </w:pPr>
      <w:r>
        <w:separator/>
      </w:r>
      <w:r/>
    </w:p>
  </w:endnote>
  <w:endnote w:type="continuationSeparator" w:id="0">
    <w:p w14:paraId="0698620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309020205020404"/>
  </w:font>
  <w:font w:name="Symbol">
    <w:panose1 w:val="05010000000000000000"/>
  </w:font>
  <w:font w:name="Times New Roman">
    <w:panose1 w:val="02020603050405020304"/>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0B5C1D" w14:textId="77777777">
    <w:pPr>
      <w:pStyle w:val="1079"/>
      <w:pBdr/>
      <w:spacing/>
      <w:ind/>
      <w:jc w:val="right"/>
      <w:rPr/>
    </w:pPr>
    <w:r>
      <w:fldChar w:fldCharType="begin"/>
    </w:r>
    <w:r>
      <w:instrText xml:space="preserve">PAGE \* MERGEFORMAT</w:instrText>
    </w:r>
    <w:r>
      <w:fldChar w:fldCharType="separate"/>
    </w:r>
    <w:r>
      <w:t xml:space="preserve">1</w:t>
    </w:r>
    <w:r>
      <w:fldChar w:fldCharType="end"/>
    </w:r>
    <w:r/>
  </w:p>
  <w:p w14:paraId="4FD9CB41" w14:textId="77777777">
    <w:pPr>
      <w:pStyle w:val="10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31862E3" w14:textId="77777777">
      <w:pPr>
        <w:pBdr/>
        <w:spacing w:after="0" w:line="240" w:lineRule="auto"/>
        <w:ind/>
        <w:rPr/>
      </w:pPr>
      <w:r>
        <w:separator/>
      </w:r>
      <w:r/>
    </w:p>
  </w:footnote>
  <w:footnote w:type="continuationSeparator" w:id="0">
    <w:p w14:paraId="71F01C43"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B6951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8116C5E"/>
    <w:lvl w:ilvl="0">
      <w:isLgl w:val="false"/>
      <w:lvlJc w:val="left"/>
      <w:lvlText w:val="%1."/>
      <w:numFmt w:val="decimal"/>
      <w:pPr>
        <w:pBdr/>
        <w:spacing/>
        <w:ind w:hanging="360" w:left="360"/>
      </w:pPr>
      <w:rPr>
        <w:b/>
        <w:color w:val="000000" w:themeColor="text1"/>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2">
    <w:nsid w:val="5320BD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57CD2B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23AAB0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6EE00A0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3"/>
  </w:num>
  <w:num w:numId="2">
    <w:abstractNumId w:val="5"/>
  </w:num>
  <w:num w:numId="3">
    <w:abstractNumId w:val="0"/>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1">
    <w:name w:val="Table Grid Light"/>
    <w:basedOn w:val="8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1"/>
    <w:basedOn w:val="8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5"/>
    <w:basedOn w:val="8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6"/>
    <w:basedOn w:val="8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8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8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8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8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8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8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5"/>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6"/>
    <w:basedOn w:val="8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6 Colorful - Accent 1"/>
    <w:basedOn w:val="8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8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8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8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 Accent 1"/>
    <w:basedOn w:val="8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1"/>
    <w:basedOn w:val="8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2"/>
    <w:basedOn w:val="8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3"/>
    <w:basedOn w:val="8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4"/>
    <w:basedOn w:val="8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5"/>
    <w:basedOn w:val="8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6"/>
    <w:basedOn w:val="8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8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8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8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8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8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8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 Accent 1"/>
    <w:basedOn w:val="8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 Accent 1"/>
    <w:basedOn w:val="8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2"/>
    <w:basedOn w:val="8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3"/>
    <w:basedOn w:val="8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4"/>
    <w:basedOn w:val="8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5"/>
    <w:basedOn w:val="8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6"/>
    <w:basedOn w:val="8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7 Colorful - Accent 1"/>
    <w:basedOn w:val="8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paragraph" w:styleId="814" w:default="1">
    <w:name w:val="Normal"/>
    <w:qFormat/>
    <w:pPr>
      <w:pBdr/>
      <w:spacing/>
      <w:ind/>
    </w:pPr>
  </w:style>
  <w:style w:type="paragraph" w:styleId="815">
    <w:name w:val="Heading 1"/>
    <w:basedOn w:val="814"/>
    <w:next w:val="814"/>
    <w:link w:val="1053"/>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816">
    <w:name w:val="Heading 2"/>
    <w:basedOn w:val="814"/>
    <w:next w:val="814"/>
    <w:link w:val="1054"/>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817">
    <w:name w:val="Heading 3"/>
    <w:basedOn w:val="814"/>
    <w:next w:val="814"/>
    <w:link w:val="1055"/>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818">
    <w:name w:val="Heading 4"/>
    <w:basedOn w:val="814"/>
    <w:next w:val="814"/>
    <w:link w:val="1056"/>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819">
    <w:name w:val="Heading 5"/>
    <w:basedOn w:val="814"/>
    <w:next w:val="814"/>
    <w:link w:val="1057"/>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820">
    <w:name w:val="Heading 6"/>
    <w:basedOn w:val="814"/>
    <w:next w:val="814"/>
    <w:link w:val="10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1">
    <w:name w:val="Heading 7"/>
    <w:basedOn w:val="814"/>
    <w:next w:val="814"/>
    <w:link w:val="10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22">
    <w:name w:val="Heading 8"/>
    <w:basedOn w:val="814"/>
    <w:next w:val="814"/>
    <w:link w:val="10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23">
    <w:name w:val="Heading 9"/>
    <w:basedOn w:val="814"/>
    <w:next w:val="814"/>
    <w:link w:val="10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24" w:default="1">
    <w:name w:val="Default Paragraph Font"/>
    <w:uiPriority w:val="1"/>
    <w:unhideWhenUsed/>
    <w:pPr>
      <w:pBdr/>
      <w:spacing/>
      <w:ind/>
    </w:pPr>
  </w:style>
  <w:style w:type="table" w:styleId="8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6" w:default="1">
    <w:name w:val="No List"/>
    <w:uiPriority w:val="99"/>
    <w:semiHidden/>
    <w:unhideWhenUsed/>
    <w:pPr>
      <w:pBdr/>
      <w:spacing/>
      <w:ind/>
    </w:pPr>
  </w:style>
  <w:style w:type="table" w:styleId="827">
    <w:name w:val="Grid Table Light"/>
    <w:basedOn w:val="8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Accent 1"/>
    <w:basedOn w:val="825"/>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Accent 2"/>
    <w:basedOn w:val="8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Accent 3"/>
    <w:basedOn w:val="8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Accent 4"/>
    <w:basedOn w:val="8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Accent 5"/>
    <w:basedOn w:val="825"/>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Accent 6"/>
    <w:basedOn w:val="8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Accent 1"/>
    <w:basedOn w:val="825"/>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Accent 2"/>
    <w:basedOn w:val="8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Accent 3"/>
    <w:basedOn w:val="8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Accent 4"/>
    <w:basedOn w:val="8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Accent 5"/>
    <w:basedOn w:val="825"/>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Accent 6"/>
    <w:basedOn w:val="8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Accent 1"/>
    <w:basedOn w:val="825"/>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Accent 2"/>
    <w:basedOn w:val="8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Accent 3"/>
    <w:basedOn w:val="8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Accent 4"/>
    <w:basedOn w:val="8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Accent 5"/>
    <w:basedOn w:val="825"/>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Accent 6"/>
    <w:basedOn w:val="8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Accent 1"/>
    <w:basedOn w:val="825"/>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Accent 2"/>
    <w:basedOn w:val="82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Accent 3"/>
    <w:basedOn w:val="82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Accent 4"/>
    <w:basedOn w:val="82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Accent 5"/>
    <w:basedOn w:val="825"/>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Accent 6"/>
    <w:basedOn w:val="82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Accent 2"/>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3"/>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5"/>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Accent 6"/>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6 Colorful Accent 1"/>
    <w:basedOn w:val="825"/>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Accent 2"/>
    <w:basedOn w:val="8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6 Colorful Accent 3"/>
    <w:basedOn w:val="82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6 Colorful Accent 4"/>
    <w:basedOn w:val="8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6 Colorful Accent 5"/>
    <w:basedOn w:val="825"/>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6 Colorful Accent 6"/>
    <w:basedOn w:val="82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Accent 1"/>
    <w:basedOn w:val="825"/>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Accent 2"/>
    <w:basedOn w:val="82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Accent 3"/>
    <w:basedOn w:val="82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Accent 4"/>
    <w:basedOn w:val="82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Accent 5"/>
    <w:basedOn w:val="825"/>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Accent 6"/>
    <w:basedOn w:val="82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Accent 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Accent 2"/>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Accent 3"/>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Accent 4"/>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Accent 5"/>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Accent 6"/>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Accent 1"/>
    <w:basedOn w:val="825"/>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Accent 2"/>
    <w:basedOn w:val="82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Accent 3"/>
    <w:basedOn w:val="82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Accent 4"/>
    <w:basedOn w:val="82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Accent 5"/>
    <w:basedOn w:val="825"/>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Accent 6"/>
    <w:basedOn w:val="82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3 Accent 1"/>
    <w:basedOn w:val="825"/>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Accent 2"/>
    <w:basedOn w:val="8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Accent 3"/>
    <w:basedOn w:val="82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Accent 4"/>
    <w:basedOn w:val="8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Accent 5"/>
    <w:basedOn w:val="825"/>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Accent 6"/>
    <w:basedOn w:val="82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4 Accent 1"/>
    <w:basedOn w:val="825"/>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4 Accent 2"/>
    <w:basedOn w:val="82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Accent 3"/>
    <w:basedOn w:val="82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Accent 4"/>
    <w:basedOn w:val="82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Accent 5"/>
    <w:basedOn w:val="825"/>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Accent 6"/>
    <w:basedOn w:val="82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5 Dark Accent 1"/>
    <w:basedOn w:val="825"/>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5 Dark Accent 2"/>
    <w:basedOn w:val="82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5 Dark Accent 3"/>
    <w:basedOn w:val="82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5 Dark Accent 4"/>
    <w:basedOn w:val="82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5 Dark Accent 5"/>
    <w:basedOn w:val="825"/>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5 Dark Accent 6"/>
    <w:basedOn w:val="82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6 Colorful Accent 1"/>
    <w:basedOn w:val="825"/>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6 Colorful Accent 2"/>
    <w:basedOn w:val="82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6 Colorful Accent 3"/>
    <w:basedOn w:val="82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6 Colorful Accent 4"/>
    <w:basedOn w:val="82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6 Colorful Accent 5"/>
    <w:basedOn w:val="825"/>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Accent 6"/>
    <w:basedOn w:val="82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7 Colorful Accent 1"/>
    <w:basedOn w:val="825"/>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7 Colorful Accent 2"/>
    <w:basedOn w:val="82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7 Colorful Accent 3"/>
    <w:basedOn w:val="82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7 Colorful Accent 4"/>
    <w:basedOn w:val="82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7 Colorful Accent 5"/>
    <w:basedOn w:val="825"/>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7 Colorful Accent 6"/>
    <w:basedOn w:val="82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10" w:customStyle="1">
    <w:name w:val="Heading 1 Char"/>
    <w:basedOn w:val="824"/>
    <w:uiPriority w:val="9"/>
    <w:pPr>
      <w:pBdr/>
      <w:spacing/>
      <w:ind/>
    </w:pPr>
    <w:rPr>
      <w:rFonts w:ascii="Arial" w:hAnsi="Arial" w:eastAsia="Arial" w:cs="Arial"/>
      <w:color w:val="2e74b5" w:themeColor="accent1" w:themeShade="BF"/>
      <w:sz w:val="40"/>
      <w:szCs w:val="40"/>
    </w:rPr>
  </w:style>
  <w:style w:type="character" w:styleId="911" w:customStyle="1">
    <w:name w:val="Heading 2 Char"/>
    <w:basedOn w:val="824"/>
    <w:uiPriority w:val="9"/>
    <w:pPr>
      <w:pBdr/>
      <w:spacing/>
      <w:ind/>
    </w:pPr>
    <w:rPr>
      <w:rFonts w:ascii="Arial" w:hAnsi="Arial" w:eastAsia="Arial" w:cs="Arial"/>
      <w:color w:val="2e74b5" w:themeColor="accent1" w:themeShade="BF"/>
      <w:sz w:val="32"/>
      <w:szCs w:val="32"/>
    </w:rPr>
  </w:style>
  <w:style w:type="character" w:styleId="912" w:customStyle="1">
    <w:name w:val="Heading 3 Char"/>
    <w:basedOn w:val="824"/>
    <w:uiPriority w:val="9"/>
    <w:pPr>
      <w:pBdr/>
      <w:spacing/>
      <w:ind/>
    </w:pPr>
    <w:rPr>
      <w:rFonts w:ascii="Arial" w:hAnsi="Arial" w:eastAsia="Arial" w:cs="Arial"/>
      <w:color w:val="2e74b5" w:themeColor="accent1" w:themeShade="BF"/>
      <w:sz w:val="28"/>
      <w:szCs w:val="28"/>
    </w:rPr>
  </w:style>
  <w:style w:type="character" w:styleId="913" w:customStyle="1">
    <w:name w:val="Heading 4 Char"/>
    <w:basedOn w:val="824"/>
    <w:uiPriority w:val="9"/>
    <w:pPr>
      <w:pBdr/>
      <w:spacing/>
      <w:ind/>
    </w:pPr>
    <w:rPr>
      <w:rFonts w:ascii="Arial" w:hAnsi="Arial" w:eastAsia="Arial" w:cs="Arial"/>
      <w:i/>
      <w:iCs/>
      <w:color w:val="2e74b5" w:themeColor="accent1" w:themeShade="BF"/>
    </w:rPr>
  </w:style>
  <w:style w:type="character" w:styleId="914" w:customStyle="1">
    <w:name w:val="Heading 5 Char"/>
    <w:basedOn w:val="824"/>
    <w:uiPriority w:val="9"/>
    <w:pPr>
      <w:pBdr/>
      <w:spacing/>
      <w:ind/>
    </w:pPr>
    <w:rPr>
      <w:rFonts w:ascii="Arial" w:hAnsi="Arial" w:eastAsia="Arial" w:cs="Arial"/>
      <w:color w:val="2e74b5" w:themeColor="accent1" w:themeShade="BF"/>
    </w:rPr>
  </w:style>
  <w:style w:type="character" w:styleId="915" w:customStyle="1">
    <w:name w:val="Heading 6 Char"/>
    <w:basedOn w:val="824"/>
    <w:uiPriority w:val="9"/>
    <w:pPr>
      <w:pBdr/>
      <w:spacing/>
      <w:ind/>
    </w:pPr>
    <w:rPr>
      <w:rFonts w:ascii="Arial" w:hAnsi="Arial" w:eastAsia="Arial" w:cs="Arial"/>
      <w:i/>
      <w:iCs/>
      <w:color w:val="595959" w:themeColor="text1" w:themeTint="A6"/>
    </w:rPr>
  </w:style>
  <w:style w:type="character" w:styleId="916" w:customStyle="1">
    <w:name w:val="Heading 7 Char"/>
    <w:basedOn w:val="824"/>
    <w:uiPriority w:val="9"/>
    <w:pPr>
      <w:pBdr/>
      <w:spacing/>
      <w:ind/>
    </w:pPr>
    <w:rPr>
      <w:rFonts w:ascii="Arial" w:hAnsi="Arial" w:eastAsia="Arial" w:cs="Arial"/>
      <w:color w:val="595959" w:themeColor="text1" w:themeTint="A6"/>
    </w:rPr>
  </w:style>
  <w:style w:type="character" w:styleId="917" w:customStyle="1">
    <w:name w:val="Heading 8 Char"/>
    <w:basedOn w:val="824"/>
    <w:uiPriority w:val="9"/>
    <w:pPr>
      <w:pBdr/>
      <w:spacing/>
      <w:ind/>
    </w:pPr>
    <w:rPr>
      <w:rFonts w:ascii="Arial" w:hAnsi="Arial" w:eastAsia="Arial" w:cs="Arial"/>
      <w:i/>
      <w:iCs/>
      <w:color w:val="272727" w:themeColor="text1" w:themeTint="D8"/>
    </w:rPr>
  </w:style>
  <w:style w:type="character" w:styleId="918" w:customStyle="1">
    <w:name w:val="Heading 9 Char"/>
    <w:basedOn w:val="824"/>
    <w:uiPriority w:val="9"/>
    <w:pPr>
      <w:pBdr/>
      <w:spacing/>
      <w:ind/>
    </w:pPr>
    <w:rPr>
      <w:rFonts w:ascii="Arial" w:hAnsi="Arial" w:eastAsia="Arial" w:cs="Arial"/>
      <w:i/>
      <w:iCs/>
      <w:color w:val="272727" w:themeColor="text1" w:themeTint="D8"/>
    </w:rPr>
  </w:style>
  <w:style w:type="character" w:styleId="919" w:customStyle="1">
    <w:name w:val="Title Char"/>
    <w:basedOn w:val="824"/>
    <w:uiPriority w:val="10"/>
    <w:pPr>
      <w:pBdr/>
      <w:spacing/>
      <w:ind/>
    </w:pPr>
    <w:rPr>
      <w:rFonts w:ascii="Arial" w:hAnsi="Arial" w:eastAsia="Arial" w:cs="Arial"/>
      <w:spacing w:val="-10"/>
      <w:sz w:val="56"/>
      <w:szCs w:val="56"/>
    </w:rPr>
  </w:style>
  <w:style w:type="character" w:styleId="920" w:customStyle="1">
    <w:name w:val="Subtitle Char"/>
    <w:basedOn w:val="824"/>
    <w:uiPriority w:val="11"/>
    <w:pPr>
      <w:pBdr/>
      <w:spacing/>
      <w:ind/>
    </w:pPr>
    <w:rPr>
      <w:color w:val="595959" w:themeColor="text1" w:themeTint="A6"/>
      <w:spacing w:val="15"/>
      <w:sz w:val="28"/>
      <w:szCs w:val="28"/>
    </w:rPr>
  </w:style>
  <w:style w:type="character" w:styleId="921" w:customStyle="1">
    <w:name w:val="Quote Char"/>
    <w:basedOn w:val="824"/>
    <w:uiPriority w:val="29"/>
    <w:pPr>
      <w:pBdr/>
      <w:spacing/>
      <w:ind/>
    </w:pPr>
    <w:rPr>
      <w:i/>
      <w:iCs/>
      <w:color w:val="404040" w:themeColor="text1" w:themeTint="BF"/>
    </w:rPr>
  </w:style>
  <w:style w:type="character" w:styleId="922" w:customStyle="1">
    <w:name w:val="Intense Quote Char"/>
    <w:basedOn w:val="824"/>
    <w:uiPriority w:val="30"/>
    <w:pPr>
      <w:pBdr/>
      <w:spacing/>
      <w:ind/>
    </w:pPr>
    <w:rPr>
      <w:i/>
      <w:iCs/>
      <w:color w:val="2e74b5" w:themeColor="accent1" w:themeShade="BF"/>
    </w:rPr>
  </w:style>
  <w:style w:type="character" w:styleId="923" w:customStyle="1">
    <w:name w:val="Header Char"/>
    <w:basedOn w:val="824"/>
    <w:uiPriority w:val="99"/>
    <w:pPr>
      <w:pBdr/>
      <w:spacing/>
      <w:ind/>
    </w:pPr>
  </w:style>
  <w:style w:type="character" w:styleId="924" w:customStyle="1">
    <w:name w:val="Footer Char"/>
    <w:basedOn w:val="824"/>
    <w:uiPriority w:val="99"/>
    <w:pPr>
      <w:pBdr/>
      <w:spacing/>
      <w:ind/>
    </w:pPr>
  </w:style>
  <w:style w:type="character" w:styleId="925" w:customStyle="1">
    <w:name w:val="Footnote Text Char"/>
    <w:basedOn w:val="824"/>
    <w:uiPriority w:val="99"/>
    <w:semiHidden/>
    <w:pPr>
      <w:pBdr/>
      <w:spacing/>
      <w:ind/>
    </w:pPr>
    <w:rPr>
      <w:sz w:val="20"/>
      <w:szCs w:val="20"/>
    </w:rPr>
  </w:style>
  <w:style w:type="character" w:styleId="926" w:customStyle="1">
    <w:name w:val="Endnote Text Char"/>
    <w:basedOn w:val="824"/>
    <w:uiPriority w:val="99"/>
    <w:semiHidden/>
    <w:pPr>
      <w:pBdr/>
      <w:spacing/>
      <w:ind/>
    </w:pPr>
    <w:rPr>
      <w:sz w:val="20"/>
      <w:szCs w:val="20"/>
    </w:rPr>
  </w:style>
  <w:style w:type="table" w:styleId="927" w:customStyle="1">
    <w:name w:val="Table Grid Light1"/>
    <w:basedOn w:val="8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Grid Table 1 Light - Accent 11"/>
    <w:basedOn w:val="825"/>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1 Light - Accent 21"/>
    <w:basedOn w:val="8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1 Light - Accent 31"/>
    <w:basedOn w:val="8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Grid Table 1 Light - Accent 41"/>
    <w:basedOn w:val="8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1 Light - Accent 51"/>
    <w:basedOn w:val="825"/>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1 Light - Accent 61"/>
    <w:basedOn w:val="8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2 - Accent 11"/>
    <w:basedOn w:val="825"/>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2 - Accent 21"/>
    <w:basedOn w:val="8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2 - Accent 31"/>
    <w:basedOn w:val="8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2 - Accent 41"/>
    <w:basedOn w:val="8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Grid Table 2 - Accent 51"/>
    <w:basedOn w:val="825"/>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2 - Accent 61"/>
    <w:basedOn w:val="8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3 - Accent 11"/>
    <w:basedOn w:val="825"/>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3 - Accent 21"/>
    <w:basedOn w:val="825"/>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Grid Table 3 - Accent 31"/>
    <w:basedOn w:val="825"/>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3 - Accent 41"/>
    <w:basedOn w:val="825"/>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3 - Accent 51"/>
    <w:basedOn w:val="825"/>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Grid Table 3 - Accent 61"/>
    <w:basedOn w:val="825"/>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4 - Accent 11"/>
    <w:basedOn w:val="825"/>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4 - Accent 21"/>
    <w:basedOn w:val="825"/>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4 - Accent 31"/>
    <w:basedOn w:val="825"/>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4 - Accent 41"/>
    <w:basedOn w:val="825"/>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4 - Accent 51"/>
    <w:basedOn w:val="825"/>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4 - Accent 61"/>
    <w:basedOn w:val="825"/>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customStyle="1">
    <w:name w:val="Grid Table 5 Dark - Accent 2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5 Dark - Accent 3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5 Dark - Accent 5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5 Dark - Accent 6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6 Colorful - Accent 11"/>
    <w:basedOn w:val="825"/>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6 Colorful - Accent 21"/>
    <w:basedOn w:val="8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6 Colorful - Accent 31"/>
    <w:basedOn w:val="825"/>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customStyle="1">
    <w:name w:val="Grid Table 6 Colorful - Accent 41"/>
    <w:basedOn w:val="8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6 Colorful - Accent 51"/>
    <w:basedOn w:val="825"/>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6 Colorful - Accent 61"/>
    <w:basedOn w:val="825"/>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7 Colorful - Accent 11"/>
    <w:basedOn w:val="825"/>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7 Colorful - Accent 21"/>
    <w:basedOn w:val="825"/>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7 Colorful - Accent 31"/>
    <w:basedOn w:val="825"/>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Grid Table 7 Colorful - Accent 41"/>
    <w:basedOn w:val="825"/>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customStyle="1">
    <w:name w:val="Grid Table 7 Colorful - Accent 51"/>
    <w:basedOn w:val="825"/>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Grid Table 7 Colorful - Accent 61"/>
    <w:basedOn w:val="825"/>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1 Light - Accent 1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1 Light - Accent 2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1 Light - Accent 3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1 Light - Accent 4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1 Light - Accent 5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st Table 1 Light - Accent 61"/>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2 - Accent 11"/>
    <w:basedOn w:val="825"/>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2 - Accent 21"/>
    <w:basedOn w:val="825"/>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2 - Accent 31"/>
    <w:basedOn w:val="825"/>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2 - Accent 41"/>
    <w:basedOn w:val="825"/>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2 - Accent 51"/>
    <w:basedOn w:val="825"/>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2 - Accent 61"/>
    <w:basedOn w:val="825"/>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List Table 3 - Accent 11"/>
    <w:basedOn w:val="825"/>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3 - Accent 21"/>
    <w:basedOn w:val="825"/>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3 - Accent 31"/>
    <w:basedOn w:val="825"/>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3 - Accent 41"/>
    <w:basedOn w:val="825"/>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3 - Accent 51"/>
    <w:basedOn w:val="825"/>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3 - Accent 61"/>
    <w:basedOn w:val="825"/>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4 - Accent 11"/>
    <w:basedOn w:val="825"/>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List Table 4 - Accent 21"/>
    <w:basedOn w:val="825"/>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4 - Accent 31"/>
    <w:basedOn w:val="825"/>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4 - Accent 41"/>
    <w:basedOn w:val="825"/>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4 - Accent 51"/>
    <w:basedOn w:val="825"/>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st Table 4 - Accent 61"/>
    <w:basedOn w:val="825"/>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5 Dark - Accent 11"/>
    <w:basedOn w:val="825"/>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5 Dark - Accent 21"/>
    <w:basedOn w:val="825"/>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customStyle="1">
    <w:name w:val="List Table 5 Dark - Accent 31"/>
    <w:basedOn w:val="825"/>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5 Dark - Accent 41"/>
    <w:basedOn w:val="825"/>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5 Dark - Accent 51"/>
    <w:basedOn w:val="825"/>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5 Dark - Accent 61"/>
    <w:basedOn w:val="825"/>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6 Colorful - Accent 11"/>
    <w:basedOn w:val="825"/>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6 Colorful - Accent 21"/>
    <w:basedOn w:val="825"/>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6 Colorful - Accent 31"/>
    <w:basedOn w:val="825"/>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customStyle="1">
    <w:name w:val="List Table 6 Colorful - Accent 41"/>
    <w:basedOn w:val="825"/>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6 Colorful - Accent 51"/>
    <w:basedOn w:val="825"/>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6 Colorful - Accent 61"/>
    <w:basedOn w:val="825"/>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7 Colorful - Accent 11"/>
    <w:basedOn w:val="825"/>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7 Colorful - Accent 21"/>
    <w:basedOn w:val="825"/>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7 Colorful - Accent 31"/>
    <w:basedOn w:val="825"/>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st Table 7 Colorful - Accent 41"/>
    <w:basedOn w:val="825"/>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customStyle="1">
    <w:name w:val="List Table 7 Colorful - Accent 51"/>
    <w:basedOn w:val="825"/>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st Table 7 Colorful - Accent 61"/>
    <w:basedOn w:val="825"/>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Table Grid"/>
    <w:basedOn w:val="825"/>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Plain Table 1"/>
    <w:basedOn w:val="825"/>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Plain Table 2"/>
    <w:basedOn w:val="825"/>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Plain Table 3"/>
    <w:basedOn w:val="8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Plain Table 4"/>
    <w:basedOn w:val="8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Plain Table 5"/>
    <w:basedOn w:val="825"/>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1 Light"/>
    <w:basedOn w:val="825"/>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2"/>
    <w:basedOn w:val="8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3"/>
    <w:basedOn w:val="825"/>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4"/>
    <w:basedOn w:val="825"/>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5 Dark"/>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5 Dark- Accent 1"/>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5 Dark- Accent 4"/>
    <w:basedOn w:val="825"/>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6 Colorful"/>
    <w:basedOn w:val="825"/>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7 Colorful"/>
    <w:basedOn w:val="825"/>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1 Light"/>
    <w:basedOn w:val="825"/>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2"/>
    <w:basedOn w:val="825"/>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3"/>
    <w:basedOn w:val="8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4"/>
    <w:basedOn w:val="825"/>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5 Dark"/>
    <w:basedOn w:val="825"/>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w:basedOn w:val="825"/>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w:basedOn w:val="825"/>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Lined - Accent"/>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Lined - Accent 1"/>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Lined - Accent 2"/>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Lined - Accent 3"/>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Lined - Accent 4"/>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Lined - Accent 5"/>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Lined - Accent 6"/>
    <w:basedOn w:val="825"/>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Bordered &amp; Lined - Accent"/>
    <w:basedOn w:val="825"/>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Bordered &amp; Lined - Accent 1"/>
    <w:basedOn w:val="825"/>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Bordered &amp; Lined - Accent 2"/>
    <w:basedOn w:val="825"/>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Bordered &amp; Lined - Accent 3"/>
    <w:basedOn w:val="825"/>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Bordered &amp; Lined - Accent 4"/>
    <w:basedOn w:val="825"/>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Bordered &amp; Lined - Accent 5"/>
    <w:basedOn w:val="825"/>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Bordered &amp; Lined - Accent 6"/>
    <w:basedOn w:val="825"/>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Bordered"/>
    <w:basedOn w:val="825"/>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Bordered - Accent 1"/>
    <w:basedOn w:val="825"/>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Bordered - Accent 2"/>
    <w:basedOn w:val="825"/>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Bordered - Accent 3"/>
    <w:basedOn w:val="825"/>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Bordered - Accent 4"/>
    <w:basedOn w:val="825"/>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Bordered - Accent 5"/>
    <w:basedOn w:val="825"/>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Bordered - Accent 6"/>
    <w:basedOn w:val="825"/>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53" w:customStyle="1">
    <w:name w:val="Heading 1 Char1"/>
    <w:basedOn w:val="824"/>
    <w:link w:val="815"/>
    <w:uiPriority w:val="9"/>
    <w:pPr>
      <w:pBdr/>
      <w:spacing/>
      <w:ind/>
    </w:pPr>
    <w:rPr>
      <w:rFonts w:ascii="Arial" w:hAnsi="Arial" w:eastAsia="Arial" w:cs="Arial"/>
      <w:color w:val="2e74b5" w:themeColor="accent1" w:themeShade="BF"/>
      <w:sz w:val="40"/>
      <w:szCs w:val="40"/>
    </w:rPr>
  </w:style>
  <w:style w:type="character" w:styleId="1054" w:customStyle="1">
    <w:name w:val="Heading 2 Char1"/>
    <w:basedOn w:val="824"/>
    <w:link w:val="816"/>
    <w:uiPriority w:val="9"/>
    <w:pPr>
      <w:pBdr/>
      <w:spacing/>
      <w:ind/>
    </w:pPr>
    <w:rPr>
      <w:rFonts w:ascii="Arial" w:hAnsi="Arial" w:eastAsia="Arial" w:cs="Arial"/>
      <w:color w:val="2e74b5" w:themeColor="accent1" w:themeShade="BF"/>
      <w:sz w:val="32"/>
      <w:szCs w:val="32"/>
    </w:rPr>
  </w:style>
  <w:style w:type="character" w:styleId="1055" w:customStyle="1">
    <w:name w:val="Heading 3 Char1"/>
    <w:basedOn w:val="824"/>
    <w:link w:val="817"/>
    <w:uiPriority w:val="9"/>
    <w:pPr>
      <w:pBdr/>
      <w:spacing/>
      <w:ind/>
    </w:pPr>
    <w:rPr>
      <w:rFonts w:ascii="Arial" w:hAnsi="Arial" w:eastAsia="Arial" w:cs="Arial"/>
      <w:color w:val="2e74b5" w:themeColor="accent1" w:themeShade="BF"/>
      <w:sz w:val="28"/>
      <w:szCs w:val="28"/>
    </w:rPr>
  </w:style>
  <w:style w:type="character" w:styleId="1056" w:customStyle="1">
    <w:name w:val="Heading 4 Char1"/>
    <w:basedOn w:val="824"/>
    <w:link w:val="818"/>
    <w:uiPriority w:val="9"/>
    <w:pPr>
      <w:pBdr/>
      <w:spacing/>
      <w:ind/>
    </w:pPr>
    <w:rPr>
      <w:rFonts w:ascii="Arial" w:hAnsi="Arial" w:eastAsia="Arial" w:cs="Arial"/>
      <w:i/>
      <w:iCs/>
      <w:color w:val="2e74b5" w:themeColor="accent1" w:themeShade="BF"/>
    </w:rPr>
  </w:style>
  <w:style w:type="character" w:styleId="1057" w:customStyle="1">
    <w:name w:val="Heading 5 Char1"/>
    <w:basedOn w:val="824"/>
    <w:link w:val="819"/>
    <w:uiPriority w:val="9"/>
    <w:pPr>
      <w:pBdr/>
      <w:spacing/>
      <w:ind/>
    </w:pPr>
    <w:rPr>
      <w:rFonts w:ascii="Arial" w:hAnsi="Arial" w:eastAsia="Arial" w:cs="Arial"/>
      <w:color w:val="2e74b5" w:themeColor="accent1" w:themeShade="BF"/>
    </w:rPr>
  </w:style>
  <w:style w:type="character" w:styleId="1058" w:customStyle="1">
    <w:name w:val="Heading 6 Char1"/>
    <w:basedOn w:val="824"/>
    <w:link w:val="820"/>
    <w:uiPriority w:val="9"/>
    <w:pPr>
      <w:pBdr/>
      <w:spacing/>
      <w:ind/>
    </w:pPr>
    <w:rPr>
      <w:rFonts w:ascii="Arial" w:hAnsi="Arial" w:eastAsia="Arial" w:cs="Arial"/>
      <w:i/>
      <w:iCs/>
      <w:color w:val="595959" w:themeColor="text1" w:themeTint="A6"/>
    </w:rPr>
  </w:style>
  <w:style w:type="character" w:styleId="1059" w:customStyle="1">
    <w:name w:val="Heading 7 Char1"/>
    <w:basedOn w:val="824"/>
    <w:link w:val="821"/>
    <w:uiPriority w:val="9"/>
    <w:pPr>
      <w:pBdr/>
      <w:spacing/>
      <w:ind/>
    </w:pPr>
    <w:rPr>
      <w:rFonts w:ascii="Arial" w:hAnsi="Arial" w:eastAsia="Arial" w:cs="Arial"/>
      <w:color w:val="595959" w:themeColor="text1" w:themeTint="A6"/>
    </w:rPr>
  </w:style>
  <w:style w:type="character" w:styleId="1060" w:customStyle="1">
    <w:name w:val="Heading 8 Char1"/>
    <w:basedOn w:val="824"/>
    <w:link w:val="822"/>
    <w:uiPriority w:val="9"/>
    <w:pPr>
      <w:pBdr/>
      <w:spacing/>
      <w:ind/>
    </w:pPr>
    <w:rPr>
      <w:rFonts w:ascii="Arial" w:hAnsi="Arial" w:eastAsia="Arial" w:cs="Arial"/>
      <w:i/>
      <w:iCs/>
      <w:color w:val="272727" w:themeColor="text1" w:themeTint="D8"/>
    </w:rPr>
  </w:style>
  <w:style w:type="character" w:styleId="1061" w:customStyle="1">
    <w:name w:val="Heading 9 Char1"/>
    <w:basedOn w:val="824"/>
    <w:link w:val="823"/>
    <w:uiPriority w:val="9"/>
    <w:pPr>
      <w:pBdr/>
      <w:spacing/>
      <w:ind/>
    </w:pPr>
    <w:rPr>
      <w:rFonts w:ascii="Arial" w:hAnsi="Arial" w:eastAsia="Arial" w:cs="Arial"/>
      <w:i/>
      <w:iCs/>
      <w:color w:val="272727" w:themeColor="text1" w:themeTint="D8"/>
    </w:rPr>
  </w:style>
  <w:style w:type="paragraph" w:styleId="1062">
    <w:name w:val="Title"/>
    <w:basedOn w:val="814"/>
    <w:next w:val="814"/>
    <w:link w:val="1063"/>
    <w:uiPriority w:val="10"/>
    <w:qFormat/>
    <w:pPr>
      <w:pBdr/>
      <w:spacing w:after="80" w:line="240" w:lineRule="auto"/>
      <w:ind/>
      <w:contextualSpacing w:val="true"/>
    </w:pPr>
    <w:rPr>
      <w:rFonts w:ascii="Arial" w:hAnsi="Arial" w:eastAsia="Arial" w:cs="Arial"/>
      <w:spacing w:val="-10"/>
      <w:sz w:val="56"/>
      <w:szCs w:val="56"/>
    </w:rPr>
  </w:style>
  <w:style w:type="character" w:styleId="1063" w:customStyle="1">
    <w:name w:val="Title Char1"/>
    <w:basedOn w:val="824"/>
    <w:link w:val="1062"/>
    <w:uiPriority w:val="10"/>
    <w:pPr>
      <w:pBdr/>
      <w:spacing/>
      <w:ind/>
    </w:pPr>
    <w:rPr>
      <w:rFonts w:ascii="Arial" w:hAnsi="Arial" w:eastAsia="Arial" w:cs="Arial"/>
      <w:spacing w:val="-10"/>
      <w:sz w:val="56"/>
      <w:szCs w:val="56"/>
    </w:rPr>
  </w:style>
  <w:style w:type="paragraph" w:styleId="1064">
    <w:name w:val="Subtitle"/>
    <w:basedOn w:val="814"/>
    <w:next w:val="814"/>
    <w:link w:val="1065"/>
    <w:uiPriority w:val="11"/>
    <w:qFormat/>
    <w:pPr>
      <w:numPr>
        <w:ilvl w:val="1"/>
      </w:numPr>
      <w:pBdr/>
      <w:spacing/>
      <w:ind/>
    </w:pPr>
    <w:rPr>
      <w:color w:val="595959" w:themeColor="text1" w:themeTint="A6"/>
      <w:spacing w:val="15"/>
      <w:sz w:val="28"/>
      <w:szCs w:val="28"/>
    </w:rPr>
  </w:style>
  <w:style w:type="character" w:styleId="1065" w:customStyle="1">
    <w:name w:val="Subtitle Char1"/>
    <w:basedOn w:val="824"/>
    <w:link w:val="1064"/>
    <w:uiPriority w:val="11"/>
    <w:pPr>
      <w:pBdr/>
      <w:spacing/>
      <w:ind/>
    </w:pPr>
    <w:rPr>
      <w:color w:val="595959" w:themeColor="text1" w:themeTint="A6"/>
      <w:spacing w:val="15"/>
      <w:sz w:val="28"/>
      <w:szCs w:val="28"/>
    </w:rPr>
  </w:style>
  <w:style w:type="paragraph" w:styleId="1066">
    <w:name w:val="Quote"/>
    <w:basedOn w:val="814"/>
    <w:next w:val="814"/>
    <w:link w:val="1067"/>
    <w:uiPriority w:val="29"/>
    <w:qFormat/>
    <w:pPr>
      <w:pBdr/>
      <w:spacing w:before="160"/>
      <w:ind/>
      <w:jc w:val="center"/>
    </w:pPr>
    <w:rPr>
      <w:i/>
      <w:iCs/>
      <w:color w:val="404040" w:themeColor="text1" w:themeTint="BF"/>
    </w:rPr>
  </w:style>
  <w:style w:type="character" w:styleId="1067" w:customStyle="1">
    <w:name w:val="Quote Char1"/>
    <w:basedOn w:val="824"/>
    <w:link w:val="1066"/>
    <w:uiPriority w:val="29"/>
    <w:pPr>
      <w:pBdr/>
      <w:spacing/>
      <w:ind/>
    </w:pPr>
    <w:rPr>
      <w:i/>
      <w:iCs/>
      <w:color w:val="404040" w:themeColor="text1" w:themeTint="BF"/>
    </w:rPr>
  </w:style>
  <w:style w:type="character" w:styleId="1068">
    <w:name w:val="Intense Emphasis"/>
    <w:basedOn w:val="824"/>
    <w:uiPriority w:val="21"/>
    <w:qFormat/>
    <w:pPr>
      <w:pBdr/>
      <w:spacing/>
      <w:ind/>
    </w:pPr>
    <w:rPr>
      <w:i/>
      <w:iCs/>
      <w:color w:val="2e74b5" w:themeColor="accent1" w:themeShade="BF"/>
    </w:rPr>
  </w:style>
  <w:style w:type="paragraph" w:styleId="1069">
    <w:name w:val="Intense Quote"/>
    <w:basedOn w:val="814"/>
    <w:next w:val="814"/>
    <w:link w:val="1070"/>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1070" w:customStyle="1">
    <w:name w:val="Intense Quote Char1"/>
    <w:basedOn w:val="824"/>
    <w:link w:val="1069"/>
    <w:uiPriority w:val="30"/>
    <w:pPr>
      <w:pBdr/>
      <w:spacing/>
      <w:ind/>
    </w:pPr>
    <w:rPr>
      <w:i/>
      <w:iCs/>
      <w:color w:val="2e74b5" w:themeColor="accent1" w:themeShade="BF"/>
    </w:rPr>
  </w:style>
  <w:style w:type="character" w:styleId="1071">
    <w:name w:val="Intense Reference"/>
    <w:basedOn w:val="824"/>
    <w:uiPriority w:val="32"/>
    <w:qFormat/>
    <w:pPr>
      <w:pBdr/>
      <w:spacing/>
      <w:ind/>
    </w:pPr>
    <w:rPr>
      <w:b/>
      <w:bCs/>
      <w:smallCaps/>
      <w:color w:val="2e74b5" w:themeColor="accent1" w:themeShade="BF"/>
      <w:spacing w:val="5"/>
    </w:rPr>
  </w:style>
  <w:style w:type="character" w:styleId="1072">
    <w:name w:val="Subtle Emphasis"/>
    <w:basedOn w:val="824"/>
    <w:uiPriority w:val="19"/>
    <w:qFormat/>
    <w:pPr>
      <w:pBdr/>
      <w:spacing/>
      <w:ind/>
    </w:pPr>
    <w:rPr>
      <w:i/>
      <w:iCs/>
      <w:color w:val="404040" w:themeColor="text1" w:themeTint="BF"/>
    </w:rPr>
  </w:style>
  <w:style w:type="character" w:styleId="1073">
    <w:name w:val="Emphasis"/>
    <w:basedOn w:val="824"/>
    <w:uiPriority w:val="20"/>
    <w:qFormat/>
    <w:pPr>
      <w:pBdr/>
      <w:spacing/>
      <w:ind/>
    </w:pPr>
    <w:rPr>
      <w:i/>
      <w:iCs/>
    </w:rPr>
  </w:style>
  <w:style w:type="character" w:styleId="1074">
    <w:name w:val="Strong"/>
    <w:basedOn w:val="824"/>
    <w:uiPriority w:val="22"/>
    <w:qFormat/>
    <w:pPr>
      <w:pBdr/>
      <w:spacing/>
      <w:ind/>
    </w:pPr>
    <w:rPr>
      <w:b/>
      <w:bCs/>
    </w:rPr>
  </w:style>
  <w:style w:type="character" w:styleId="1075">
    <w:name w:val="Subtle Reference"/>
    <w:basedOn w:val="824"/>
    <w:uiPriority w:val="31"/>
    <w:qFormat/>
    <w:pPr>
      <w:pBdr/>
      <w:spacing/>
      <w:ind/>
    </w:pPr>
    <w:rPr>
      <w:smallCaps/>
      <w:color w:val="5a5a5a" w:themeColor="text1" w:themeTint="A5"/>
    </w:rPr>
  </w:style>
  <w:style w:type="character" w:styleId="1076">
    <w:name w:val="Book Title"/>
    <w:basedOn w:val="824"/>
    <w:uiPriority w:val="33"/>
    <w:qFormat/>
    <w:pPr>
      <w:pBdr/>
      <w:spacing/>
      <w:ind/>
    </w:pPr>
    <w:rPr>
      <w:b/>
      <w:bCs/>
      <w:i/>
      <w:iCs/>
      <w:spacing w:val="5"/>
    </w:rPr>
  </w:style>
  <w:style w:type="paragraph" w:styleId="1077">
    <w:name w:val="Header"/>
    <w:basedOn w:val="814"/>
    <w:link w:val="1078"/>
    <w:uiPriority w:val="99"/>
    <w:unhideWhenUsed/>
    <w:pPr>
      <w:pBdr/>
      <w:tabs>
        <w:tab w:val="center" w:leader="none" w:pos="4844"/>
        <w:tab w:val="right" w:leader="none" w:pos="9689"/>
      </w:tabs>
      <w:spacing w:after="0" w:line="240" w:lineRule="auto"/>
      <w:ind/>
    </w:pPr>
  </w:style>
  <w:style w:type="character" w:styleId="1078" w:customStyle="1">
    <w:name w:val="Header Char1"/>
    <w:basedOn w:val="824"/>
    <w:link w:val="1077"/>
    <w:uiPriority w:val="99"/>
    <w:pPr>
      <w:pBdr/>
      <w:spacing/>
      <w:ind/>
    </w:pPr>
  </w:style>
  <w:style w:type="paragraph" w:styleId="1079">
    <w:name w:val="Footer"/>
    <w:basedOn w:val="814"/>
    <w:link w:val="1080"/>
    <w:uiPriority w:val="99"/>
    <w:unhideWhenUsed/>
    <w:pPr>
      <w:pBdr/>
      <w:tabs>
        <w:tab w:val="center" w:leader="none" w:pos="4844"/>
        <w:tab w:val="right" w:leader="none" w:pos="9689"/>
      </w:tabs>
      <w:spacing w:after="0" w:line="240" w:lineRule="auto"/>
      <w:ind/>
    </w:pPr>
  </w:style>
  <w:style w:type="character" w:styleId="1080" w:customStyle="1">
    <w:name w:val="Footer Char1"/>
    <w:basedOn w:val="824"/>
    <w:link w:val="1079"/>
    <w:uiPriority w:val="99"/>
    <w:pPr>
      <w:pBdr/>
      <w:spacing/>
      <w:ind/>
    </w:pPr>
  </w:style>
  <w:style w:type="paragraph" w:styleId="1081">
    <w:name w:val="Caption"/>
    <w:basedOn w:val="814"/>
    <w:next w:val="814"/>
    <w:uiPriority w:val="35"/>
    <w:unhideWhenUsed/>
    <w:qFormat/>
    <w:pPr>
      <w:pBdr/>
      <w:spacing w:line="240" w:lineRule="auto"/>
      <w:ind/>
    </w:pPr>
    <w:rPr>
      <w:i/>
      <w:iCs/>
      <w:color w:val="44546a" w:themeColor="text2"/>
      <w:sz w:val="18"/>
      <w:szCs w:val="18"/>
    </w:rPr>
  </w:style>
  <w:style w:type="paragraph" w:styleId="1082">
    <w:name w:val="footnote text"/>
    <w:basedOn w:val="814"/>
    <w:link w:val="1083"/>
    <w:uiPriority w:val="99"/>
    <w:semiHidden/>
    <w:unhideWhenUsed/>
    <w:pPr>
      <w:pBdr/>
      <w:spacing w:after="0" w:line="240" w:lineRule="auto"/>
      <w:ind/>
    </w:pPr>
    <w:rPr>
      <w:sz w:val="20"/>
      <w:szCs w:val="20"/>
    </w:rPr>
  </w:style>
  <w:style w:type="character" w:styleId="1083" w:customStyle="1">
    <w:name w:val="Footnote Text Char1"/>
    <w:basedOn w:val="824"/>
    <w:link w:val="1082"/>
    <w:uiPriority w:val="99"/>
    <w:semiHidden/>
    <w:pPr>
      <w:pBdr/>
      <w:spacing/>
      <w:ind/>
    </w:pPr>
    <w:rPr>
      <w:sz w:val="20"/>
      <w:szCs w:val="20"/>
    </w:rPr>
  </w:style>
  <w:style w:type="character" w:styleId="1084">
    <w:name w:val="footnote reference"/>
    <w:basedOn w:val="824"/>
    <w:uiPriority w:val="99"/>
    <w:semiHidden/>
    <w:unhideWhenUsed/>
    <w:pPr>
      <w:pBdr/>
      <w:spacing/>
      <w:ind/>
    </w:pPr>
    <w:rPr>
      <w:vertAlign w:val="superscript"/>
    </w:rPr>
  </w:style>
  <w:style w:type="paragraph" w:styleId="1085">
    <w:name w:val="endnote text"/>
    <w:basedOn w:val="814"/>
    <w:link w:val="1086"/>
    <w:uiPriority w:val="99"/>
    <w:semiHidden/>
    <w:unhideWhenUsed/>
    <w:pPr>
      <w:pBdr/>
      <w:spacing w:after="0" w:line="240" w:lineRule="auto"/>
      <w:ind/>
    </w:pPr>
    <w:rPr>
      <w:sz w:val="20"/>
      <w:szCs w:val="20"/>
    </w:rPr>
  </w:style>
  <w:style w:type="character" w:styleId="1086" w:customStyle="1">
    <w:name w:val="Endnote Text Char1"/>
    <w:basedOn w:val="824"/>
    <w:link w:val="1085"/>
    <w:uiPriority w:val="99"/>
    <w:semiHidden/>
    <w:pPr>
      <w:pBdr/>
      <w:spacing/>
      <w:ind/>
    </w:pPr>
    <w:rPr>
      <w:sz w:val="20"/>
      <w:szCs w:val="20"/>
    </w:rPr>
  </w:style>
  <w:style w:type="character" w:styleId="1087">
    <w:name w:val="endnote reference"/>
    <w:basedOn w:val="824"/>
    <w:uiPriority w:val="99"/>
    <w:semiHidden/>
    <w:unhideWhenUsed/>
    <w:pPr>
      <w:pBdr/>
      <w:spacing/>
      <w:ind/>
    </w:pPr>
    <w:rPr>
      <w:vertAlign w:val="superscript"/>
    </w:rPr>
  </w:style>
  <w:style w:type="character" w:styleId="1088">
    <w:name w:val="Hyperlink"/>
    <w:basedOn w:val="824"/>
    <w:uiPriority w:val="99"/>
    <w:unhideWhenUsed/>
    <w:pPr>
      <w:pBdr/>
      <w:spacing/>
      <w:ind/>
    </w:pPr>
    <w:rPr>
      <w:color w:val="0563c1" w:themeColor="hyperlink"/>
      <w:u w:val="single"/>
    </w:rPr>
  </w:style>
  <w:style w:type="character" w:styleId="1089">
    <w:name w:val="FollowedHyperlink"/>
    <w:basedOn w:val="824"/>
    <w:uiPriority w:val="99"/>
    <w:semiHidden/>
    <w:unhideWhenUsed/>
    <w:pPr>
      <w:pBdr/>
      <w:spacing/>
      <w:ind/>
    </w:pPr>
    <w:rPr>
      <w:color w:val="954f72" w:themeColor="followedHyperlink"/>
      <w:u w:val="single"/>
    </w:rPr>
  </w:style>
  <w:style w:type="paragraph" w:styleId="1090">
    <w:name w:val="toc 1"/>
    <w:basedOn w:val="814"/>
    <w:next w:val="814"/>
    <w:uiPriority w:val="39"/>
    <w:unhideWhenUsed/>
    <w:pPr>
      <w:pBdr/>
      <w:spacing w:after="100"/>
      <w:ind/>
    </w:pPr>
  </w:style>
  <w:style w:type="paragraph" w:styleId="1091">
    <w:name w:val="toc 2"/>
    <w:basedOn w:val="814"/>
    <w:next w:val="814"/>
    <w:uiPriority w:val="39"/>
    <w:unhideWhenUsed/>
    <w:pPr>
      <w:pBdr/>
      <w:spacing w:after="100"/>
      <w:ind w:left="220"/>
    </w:pPr>
  </w:style>
  <w:style w:type="paragraph" w:styleId="1092">
    <w:name w:val="toc 3"/>
    <w:basedOn w:val="814"/>
    <w:next w:val="814"/>
    <w:uiPriority w:val="39"/>
    <w:unhideWhenUsed/>
    <w:pPr>
      <w:pBdr/>
      <w:spacing w:after="100"/>
      <w:ind w:left="440"/>
    </w:pPr>
  </w:style>
  <w:style w:type="paragraph" w:styleId="1093">
    <w:name w:val="toc 4"/>
    <w:basedOn w:val="814"/>
    <w:next w:val="814"/>
    <w:uiPriority w:val="39"/>
    <w:unhideWhenUsed/>
    <w:pPr>
      <w:pBdr/>
      <w:spacing w:after="100"/>
      <w:ind w:left="660"/>
    </w:pPr>
  </w:style>
  <w:style w:type="paragraph" w:styleId="1094">
    <w:name w:val="toc 5"/>
    <w:basedOn w:val="814"/>
    <w:next w:val="814"/>
    <w:uiPriority w:val="39"/>
    <w:unhideWhenUsed/>
    <w:pPr>
      <w:pBdr/>
      <w:spacing w:after="100"/>
      <w:ind w:left="880"/>
    </w:pPr>
  </w:style>
  <w:style w:type="paragraph" w:styleId="1095">
    <w:name w:val="toc 6"/>
    <w:basedOn w:val="814"/>
    <w:next w:val="814"/>
    <w:uiPriority w:val="39"/>
    <w:unhideWhenUsed/>
    <w:pPr>
      <w:pBdr/>
      <w:spacing w:after="100"/>
      <w:ind w:left="1100"/>
    </w:pPr>
  </w:style>
  <w:style w:type="paragraph" w:styleId="1096">
    <w:name w:val="toc 7"/>
    <w:basedOn w:val="814"/>
    <w:next w:val="814"/>
    <w:uiPriority w:val="39"/>
    <w:unhideWhenUsed/>
    <w:pPr>
      <w:pBdr/>
      <w:spacing w:after="100"/>
      <w:ind w:left="1320"/>
    </w:pPr>
  </w:style>
  <w:style w:type="paragraph" w:styleId="1097">
    <w:name w:val="toc 8"/>
    <w:basedOn w:val="814"/>
    <w:next w:val="814"/>
    <w:uiPriority w:val="39"/>
    <w:unhideWhenUsed/>
    <w:pPr>
      <w:pBdr/>
      <w:spacing w:after="100"/>
      <w:ind w:left="1540"/>
    </w:pPr>
  </w:style>
  <w:style w:type="paragraph" w:styleId="1098">
    <w:name w:val="toc 9"/>
    <w:basedOn w:val="814"/>
    <w:next w:val="814"/>
    <w:uiPriority w:val="39"/>
    <w:unhideWhenUsed/>
    <w:pPr>
      <w:pBdr/>
      <w:spacing w:after="100"/>
      <w:ind w:left="1760"/>
    </w:pPr>
  </w:style>
  <w:style w:type="character" w:styleId="1099">
    <w:name w:val="Placeholder Text"/>
    <w:basedOn w:val="824"/>
    <w:uiPriority w:val="99"/>
    <w:semiHidden/>
    <w:pPr>
      <w:pBdr/>
      <w:spacing/>
      <w:ind/>
    </w:pPr>
    <w:rPr>
      <w:color w:val="666666"/>
    </w:rPr>
  </w:style>
  <w:style w:type="paragraph" w:styleId="1100">
    <w:name w:val="TOC Heading"/>
    <w:uiPriority w:val="39"/>
    <w:unhideWhenUsed/>
    <w:pPr>
      <w:pBdr/>
      <w:spacing/>
      <w:ind/>
    </w:pPr>
  </w:style>
  <w:style w:type="paragraph" w:styleId="1101">
    <w:name w:val="table of figures"/>
    <w:basedOn w:val="814"/>
    <w:next w:val="814"/>
    <w:uiPriority w:val="99"/>
    <w:unhideWhenUsed/>
    <w:pPr>
      <w:pBdr/>
      <w:spacing w:after="0"/>
      <w:ind/>
    </w:pPr>
  </w:style>
  <w:style w:type="paragraph" w:styleId="1102">
    <w:name w:val="No Spacing"/>
    <w:basedOn w:val="814"/>
    <w:uiPriority w:val="1"/>
    <w:qFormat/>
    <w:pPr>
      <w:pBdr/>
      <w:spacing w:after="0" w:line="240" w:lineRule="auto"/>
      <w:ind/>
    </w:pPr>
  </w:style>
  <w:style w:type="paragraph" w:styleId="1103">
    <w:name w:val="List Paragraph"/>
    <w:basedOn w:val="814"/>
    <w:uiPriority w:val="34"/>
    <w:qFormat/>
    <w:pPr>
      <w:pBdr/>
      <w:spacing/>
      <w:ind w:left="720"/>
      <w:contextualSpacing w:val="true"/>
    </w:pPr>
  </w:style>
  <w:style w:type="character" w:styleId="1104">
    <w:name w:val="line number"/>
    <w:basedOn w:val="824"/>
    <w:uiPriority w:val="99"/>
    <w:semiHidden/>
    <w:unhideWhenUsed/>
    <w:pPr>
      <w:pBdr/>
      <w:spacing/>
      <w:ind/>
    </w:pPr>
  </w:style>
  <w:style w:type="paragraph" w:styleId="1105" w:customStyle="1">
    <w:name w:val="EndNote Bibliography Title"/>
    <w:basedOn w:val="814"/>
    <w:link w:val="1106"/>
    <w:pPr>
      <w:pBdr/>
      <w:spacing w:after="0"/>
      <w:ind/>
      <w:jc w:val="center"/>
    </w:pPr>
    <w:rPr>
      <w:rFonts w:ascii="Arial" w:hAnsi="Arial" w:cs="Arial"/>
    </w:rPr>
  </w:style>
  <w:style w:type="character" w:styleId="1106" w:customStyle="1">
    <w:name w:val="EndNote Bibliography Title Char"/>
    <w:basedOn w:val="824"/>
    <w:link w:val="1105"/>
    <w:pPr>
      <w:pBdr/>
      <w:spacing/>
      <w:ind/>
    </w:pPr>
    <w:rPr>
      <w:rFonts w:ascii="Arial" w:hAnsi="Arial" w:cs="Arial"/>
    </w:rPr>
  </w:style>
  <w:style w:type="paragraph" w:styleId="1107" w:customStyle="1">
    <w:name w:val="EndNote Bibliography"/>
    <w:basedOn w:val="814"/>
    <w:link w:val="1108"/>
    <w:pPr>
      <w:pBdr/>
      <w:spacing w:line="240" w:lineRule="auto"/>
      <w:ind/>
      <w:jc w:val="both"/>
    </w:pPr>
    <w:rPr>
      <w:rFonts w:ascii="Arial" w:hAnsi="Arial" w:cs="Arial"/>
    </w:rPr>
  </w:style>
  <w:style w:type="character" w:styleId="1108" w:customStyle="1">
    <w:name w:val="EndNote Bibliography Char"/>
    <w:basedOn w:val="824"/>
    <w:link w:val="1107"/>
    <w:pPr>
      <w:pBdr/>
      <w:spacing/>
      <w:ind/>
    </w:pPr>
    <w:rPr>
      <w:rFonts w:ascii="Arial" w:hAnsi="Arial" w:cs="Arial"/>
    </w:rPr>
  </w:style>
  <w:style w:type="paragraph" w:styleId="1109">
    <w:name w:val="Revision"/>
    <w:hidden/>
    <w:uiPriority w:val="99"/>
    <w:semiHidden/>
    <w:pPr>
      <w:pBdr/>
      <w:spacing w:after="0" w:line="240" w:lineRule="auto"/>
      <w:ind/>
    </w:pPr>
  </w:style>
  <w:style w:type="character" w:styleId="1110">
    <w:name w:val="annotation reference"/>
    <w:basedOn w:val="824"/>
    <w:uiPriority w:val="99"/>
    <w:semiHidden/>
    <w:unhideWhenUsed/>
    <w:pPr>
      <w:pBdr/>
      <w:spacing/>
      <w:ind/>
    </w:pPr>
    <w:rPr>
      <w:sz w:val="16"/>
      <w:szCs w:val="16"/>
    </w:rPr>
  </w:style>
  <w:style w:type="paragraph" w:styleId="1111">
    <w:name w:val="annotation text"/>
    <w:basedOn w:val="814"/>
    <w:link w:val="1112"/>
    <w:uiPriority w:val="99"/>
    <w:unhideWhenUsed/>
    <w:pPr>
      <w:pBdr/>
      <w:spacing w:line="240" w:lineRule="auto"/>
      <w:ind/>
    </w:pPr>
    <w:rPr>
      <w:sz w:val="20"/>
      <w:szCs w:val="20"/>
    </w:rPr>
  </w:style>
  <w:style w:type="character" w:styleId="1112" w:customStyle="1">
    <w:name w:val="Comment Text Char"/>
    <w:basedOn w:val="824"/>
    <w:link w:val="1111"/>
    <w:uiPriority w:val="99"/>
    <w:pPr>
      <w:pBdr/>
      <w:spacing/>
      <w:ind/>
    </w:pPr>
    <w:rPr>
      <w:sz w:val="20"/>
      <w:szCs w:val="20"/>
    </w:rPr>
  </w:style>
  <w:style w:type="paragraph" w:styleId="1113">
    <w:name w:val="annotation subject"/>
    <w:basedOn w:val="1111"/>
    <w:next w:val="1111"/>
    <w:link w:val="1114"/>
    <w:uiPriority w:val="99"/>
    <w:semiHidden/>
    <w:unhideWhenUsed/>
    <w:pPr>
      <w:pBdr/>
      <w:spacing/>
      <w:ind/>
    </w:pPr>
    <w:rPr>
      <w:b/>
      <w:bCs/>
    </w:rPr>
  </w:style>
  <w:style w:type="character" w:styleId="1114" w:customStyle="1">
    <w:name w:val="Comment Subject Char"/>
    <w:basedOn w:val="1112"/>
    <w:link w:val="1113"/>
    <w:uiPriority w:val="99"/>
    <w:semiHidden/>
    <w:pPr>
      <w:pBdr/>
      <w:spacing/>
      <w:ind/>
    </w:pPr>
    <w:rPr>
      <w:b/>
      <w:bCs/>
      <w:sz w:val="20"/>
      <w:szCs w:val="20"/>
    </w:rPr>
  </w:style>
  <w:style w:type="paragraph" w:styleId="1115">
    <w:name w:val="Balloon Text"/>
    <w:basedOn w:val="814"/>
    <w:link w:val="1116"/>
    <w:uiPriority w:val="99"/>
    <w:semiHidden/>
    <w:unhideWhenUsed/>
    <w:pPr>
      <w:pBdr/>
      <w:spacing w:after="0" w:line="240" w:lineRule="auto"/>
      <w:ind/>
    </w:pPr>
    <w:rPr>
      <w:rFonts w:ascii="Segoe UI" w:hAnsi="Segoe UI" w:cs="Segoe UI"/>
      <w:sz w:val="18"/>
      <w:szCs w:val="18"/>
    </w:rPr>
  </w:style>
  <w:style w:type="character" w:styleId="1116" w:customStyle="1">
    <w:name w:val="Balloon Text Char"/>
    <w:basedOn w:val="824"/>
    <w:link w:val="1115"/>
    <w:uiPriority w:val="99"/>
    <w:semiHidden/>
    <w:pPr>
      <w:pBdr/>
      <w:spacing/>
      <w:ind/>
    </w:pPr>
    <w:rPr>
      <w:rFonts w:ascii="Segoe UI" w:hAnsi="Segoe UI" w:cs="Segoe UI"/>
      <w:sz w:val="18"/>
      <w:szCs w:val="18"/>
    </w:rPr>
  </w:style>
  <w:style w:type="paragraph" w:styleId="1117" w:customStyle="1">
    <w:name w:val="pdq2pg_selectionanchorcontainer"/>
    <w:basedOn w:val="814"/>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1118">
    <w:name w:val="Normal (Web)"/>
    <w:basedOn w:val="814"/>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github.com/sajadshahbaz/NM2_instability_signal"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Grizli777</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sajad shahbazi</dc:creator>
  <cp:keywords/>
  <dc:description/>
  <cp:revision>10</cp:revision>
  <dcterms:created xsi:type="dcterms:W3CDTF">2026-06-30T19:26:00Z</dcterms:created>
  <dcterms:modified xsi:type="dcterms:W3CDTF">2026-07-01T02:42:59Z</dcterms:modified>
</cp:coreProperties>
</file>