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49C3E" w14:textId="6B0BCD06" w:rsidR="009B3DE9" w:rsidRPr="009B3DE9" w:rsidRDefault="009B3DE9" w:rsidP="009B3DE9">
      <w:pPr>
        <w:tabs>
          <w:tab w:val="num" w:pos="720"/>
        </w:tabs>
        <w:ind w:left="720" w:hanging="360"/>
        <w:rPr>
          <w:b/>
          <w:bCs/>
        </w:rPr>
      </w:pPr>
      <w:r w:rsidRPr="009B3DE9">
        <w:rPr>
          <w:b/>
          <w:bCs/>
        </w:rPr>
        <w:t>Date- 3/3/26</w:t>
      </w:r>
    </w:p>
    <w:p w14:paraId="09D28C44" w14:textId="77777777" w:rsidR="009B3DE9" w:rsidRPr="009B3DE9" w:rsidRDefault="009B3DE9" w:rsidP="009B3DE9">
      <w:pPr>
        <w:numPr>
          <w:ilvl w:val="0"/>
          <w:numId w:val="2"/>
        </w:numPr>
      </w:pPr>
      <w:r w:rsidRPr="009B3DE9">
        <w:t xml:space="preserve">We should start with ref. vintage wherever possible in trend charts, </w:t>
      </w:r>
      <w:proofErr w:type="spellStart"/>
      <w:r w:rsidRPr="009B3DE9">
        <w:t>eg</w:t>
      </w:r>
      <w:proofErr w:type="spellEnd"/>
      <w:r w:rsidRPr="009B3DE9">
        <w:t>, KS chart should have ref. period as well.</w:t>
      </w:r>
    </w:p>
    <w:p w14:paraId="6D5BC0C7" w14:textId="77777777" w:rsidR="009B3DE9" w:rsidRPr="009B3DE9" w:rsidRDefault="009B3DE9" w:rsidP="009B3DE9">
      <w:pPr>
        <w:numPr>
          <w:ilvl w:val="0"/>
          <w:numId w:val="2"/>
        </w:numPr>
      </w:pPr>
      <w:r w:rsidRPr="009B3DE9">
        <w:t>We should show KS, metrics per confusion matrix in % and not absolute values. So, if KS = 0.5, then should show it as 50% in the dashboard everywhere.</w:t>
      </w:r>
    </w:p>
    <w:p w14:paraId="73FF7558" w14:textId="77777777" w:rsidR="009B3DE9" w:rsidRPr="009B3DE9" w:rsidRDefault="009B3DE9" w:rsidP="009B3DE9">
      <w:pPr>
        <w:numPr>
          <w:ilvl w:val="0"/>
          <w:numId w:val="2"/>
        </w:numPr>
      </w:pPr>
      <w:r w:rsidRPr="009B3DE9">
        <w:t>There are “Accuracy” metrics now in trend charts. 2</w:t>
      </w:r>
      <w:r w:rsidRPr="009B3DE9">
        <w:rPr>
          <w:i/>
          <w:iCs/>
        </w:rPr>
        <w:t>nd</w:t>
      </w:r>
      <w:r w:rsidRPr="009B3DE9">
        <w:t xml:space="preserve"> chart for “Accuracy” should have confusion matrix mentioned may be. Similarly, for precision, recall, F1, etc. too.</w:t>
      </w:r>
    </w:p>
    <w:p w14:paraId="2A45B645" w14:textId="77777777" w:rsidR="009B3DE9" w:rsidRPr="009B3DE9" w:rsidRDefault="009B3DE9" w:rsidP="009B3DE9">
      <w:pPr>
        <w:numPr>
          <w:ilvl w:val="0"/>
          <w:numId w:val="2"/>
        </w:numPr>
      </w:pPr>
      <w:r w:rsidRPr="009B3DE9">
        <w:t>Add Fraud metric in parenthesis for HRL metric.</w:t>
      </w:r>
    </w:p>
    <w:p w14:paraId="4F6E2DF0" w14:textId="77777777" w:rsidR="009B3DE9" w:rsidRPr="009B3DE9" w:rsidRDefault="009B3DE9" w:rsidP="009B3DE9">
      <w:pPr>
        <w:numPr>
          <w:ilvl w:val="0"/>
          <w:numId w:val="2"/>
        </w:numPr>
      </w:pPr>
      <w:r w:rsidRPr="009B3DE9">
        <w:t>Volume chart is missing.</w:t>
      </w:r>
    </w:p>
    <w:p w14:paraId="50E524DB" w14:textId="77777777" w:rsidR="009B3DE9" w:rsidRPr="009B3DE9" w:rsidRDefault="009B3DE9" w:rsidP="009B3DE9">
      <w:pPr>
        <w:numPr>
          <w:ilvl w:val="0"/>
          <w:numId w:val="2"/>
        </w:numPr>
      </w:pPr>
      <w:r w:rsidRPr="009B3DE9">
        <w:t xml:space="preserve">Ideally, we should rank metrics per importance/relevance. Volume and bad </w:t>
      </w:r>
      <w:proofErr w:type="gramStart"/>
      <w:r w:rsidRPr="009B3DE9">
        <w:t>rate</w:t>
      </w:r>
      <w:proofErr w:type="gramEnd"/>
      <w:r w:rsidRPr="009B3DE9">
        <w:t xml:space="preserve"> should be shown very first in my opinion.</w:t>
      </w:r>
    </w:p>
    <w:p w14:paraId="01C3C924" w14:textId="77777777" w:rsidR="009B3DE9" w:rsidRDefault="009B3DE9" w:rsidP="009B3DE9">
      <w:pPr>
        <w:numPr>
          <w:ilvl w:val="0"/>
          <w:numId w:val="2"/>
        </w:numPr>
      </w:pPr>
      <w:r w:rsidRPr="009B3DE9">
        <w:t>ROB chart to be added based on calculation discussed. Can meet again to explain in detail.</w:t>
      </w:r>
    </w:p>
    <w:p w14:paraId="65F7E350" w14:textId="49B208B7" w:rsidR="009B3DE9" w:rsidRPr="009B3DE9" w:rsidRDefault="009B3DE9" w:rsidP="009B3DE9">
      <w:pPr>
        <w:numPr>
          <w:ilvl w:val="0"/>
          <w:numId w:val="2"/>
        </w:numPr>
      </w:pPr>
      <w:r w:rsidRPr="009B3DE9">
        <w:t>include chart for change in KS% as well</w:t>
      </w:r>
    </w:p>
    <w:p w14:paraId="7F64658F" w14:textId="77777777" w:rsidR="00906DAB" w:rsidRDefault="00906DAB" w:rsidP="009B3DE9"/>
    <w:p w14:paraId="3367D5AE" w14:textId="77777777" w:rsidR="009B3DE9" w:rsidRDefault="009B3DE9" w:rsidP="009B3DE9"/>
    <w:p w14:paraId="2CA7173C" w14:textId="77777777" w:rsidR="009B3DE9" w:rsidRDefault="009B3DE9" w:rsidP="009B3DE9"/>
    <w:p w14:paraId="484DECFD" w14:textId="3FCE4F0D" w:rsidR="00906DAB" w:rsidRPr="00906DAB" w:rsidRDefault="00906DAB" w:rsidP="00906DAB">
      <w:pPr>
        <w:rPr>
          <w:b/>
          <w:bCs/>
        </w:rPr>
      </w:pPr>
      <w:r w:rsidRPr="00906DAB">
        <w:rPr>
          <w:b/>
          <w:bCs/>
        </w:rPr>
        <w:t>Date- 4/3/26</w:t>
      </w:r>
    </w:p>
    <w:p w14:paraId="5B0E9B81" w14:textId="48148A60" w:rsidR="003879BF" w:rsidRPr="00906DAB" w:rsidRDefault="0062066D" w:rsidP="0062066D">
      <w:pPr>
        <w:pStyle w:val="ListParagraph"/>
        <w:numPr>
          <w:ilvl w:val="0"/>
          <w:numId w:val="1"/>
        </w:numPr>
        <w:rPr>
          <w:highlight w:val="yellow"/>
        </w:rPr>
      </w:pPr>
      <w:r w:rsidRPr="00906DAB">
        <w:rPr>
          <w:highlight w:val="yellow"/>
        </w:rPr>
        <w:t xml:space="preserve">Should we add model usage? Example- </w:t>
      </w:r>
    </w:p>
    <w:p w14:paraId="0C70BBAD" w14:textId="39E4EBF5" w:rsidR="003C0534" w:rsidRPr="00906DAB" w:rsidRDefault="00676CDF" w:rsidP="003C0534">
      <w:pPr>
        <w:pStyle w:val="ListParagraph"/>
        <w:numPr>
          <w:ilvl w:val="0"/>
          <w:numId w:val="1"/>
        </w:numPr>
        <w:rPr>
          <w:highlight w:val="yellow"/>
        </w:rPr>
      </w:pPr>
      <w:r w:rsidRPr="00906DAB">
        <w:rPr>
          <w:highlight w:val="yellow"/>
        </w:rPr>
        <w:t>Any self-identified limitations/drawbacks</w:t>
      </w:r>
    </w:p>
    <w:p w14:paraId="37117939" w14:textId="4AB659FB" w:rsidR="003C0534" w:rsidRDefault="003C0534" w:rsidP="003C0534">
      <w:pPr>
        <w:pStyle w:val="ListParagraph"/>
        <w:numPr>
          <w:ilvl w:val="0"/>
          <w:numId w:val="1"/>
        </w:numPr>
      </w:pPr>
      <w:r>
        <w:t>Sequence of metric values of recent vintage should be same as the order of trend charts shown.</w:t>
      </w:r>
    </w:p>
    <w:p w14:paraId="27CE8C4C" w14:textId="2C0B7EA5" w:rsidR="003C0534" w:rsidRDefault="003C0534" w:rsidP="003C0534">
      <w:pPr>
        <w:pStyle w:val="ListParagraph"/>
        <w:numPr>
          <w:ilvl w:val="0"/>
          <w:numId w:val="1"/>
        </w:numPr>
      </w:pPr>
      <w:r>
        <w:t>Align color for “change in KS” chart with others. Also, chart name should be “Change in KS% vs Reference”. Chart description also to be aligned with the rest.</w:t>
      </w:r>
    </w:p>
    <w:p w14:paraId="3DF1F150" w14:textId="72748361" w:rsidR="003C0534" w:rsidRDefault="003C0534" w:rsidP="003C0534">
      <w:pPr>
        <w:pStyle w:val="ListParagraph"/>
        <w:numPr>
          <w:ilvl w:val="0"/>
          <w:numId w:val="1"/>
        </w:numPr>
      </w:pPr>
      <w:r>
        <w:t>ROB prompt:</w:t>
      </w:r>
    </w:p>
    <w:p w14:paraId="09245547" w14:textId="77777777" w:rsidR="003C0534" w:rsidRDefault="003C0534" w:rsidP="003C0534">
      <w:r>
        <w:t>Using KS table, identify band rank as per bad rates for that score band bin. This is to be done for reference and all OOT vintages individually. ROB metric will be calculated for an OOT vintage by comparing band rank of every bin vs band rank of every bin in reference.</w:t>
      </w:r>
    </w:p>
    <w:p w14:paraId="574ED6C1" w14:textId="77777777" w:rsidR="003C0534" w:rsidRDefault="003C0534" w:rsidP="003C0534">
      <w:r>
        <w:t>Example shown below-</w:t>
      </w:r>
    </w:p>
    <w:p w14:paraId="46A054F9" w14:textId="77777777" w:rsidR="0002078B" w:rsidRDefault="0002078B" w:rsidP="003C0534"/>
    <w:tbl>
      <w:tblPr>
        <w:tblW w:w="10235" w:type="dxa"/>
        <w:tblLook w:val="04A0" w:firstRow="1" w:lastRow="0" w:firstColumn="1" w:lastColumn="0" w:noHBand="0" w:noVBand="1"/>
      </w:tblPr>
      <w:tblGrid>
        <w:gridCol w:w="1201"/>
        <w:gridCol w:w="1020"/>
        <w:gridCol w:w="776"/>
        <w:gridCol w:w="700"/>
        <w:gridCol w:w="1020"/>
        <w:gridCol w:w="980"/>
        <w:gridCol w:w="700"/>
        <w:gridCol w:w="775"/>
        <w:gridCol w:w="1020"/>
        <w:gridCol w:w="980"/>
        <w:gridCol w:w="700"/>
        <w:gridCol w:w="775"/>
      </w:tblGrid>
      <w:tr w:rsidR="0002078B" w:rsidRPr="0002078B" w14:paraId="2AFD70F8" w14:textId="77777777" w:rsidTr="0002078B">
        <w:trPr>
          <w:trHeight w:val="290"/>
        </w:trPr>
        <w:tc>
          <w:tcPr>
            <w:tcW w:w="1015" w:type="dxa"/>
            <w:tcBorders>
              <w:top w:val="single" w:sz="4" w:space="0" w:color="auto"/>
              <w:left w:val="single" w:sz="4" w:space="0" w:color="auto"/>
              <w:bottom w:val="single" w:sz="4" w:space="0" w:color="auto"/>
              <w:right w:val="single" w:sz="4" w:space="0" w:color="auto"/>
            </w:tcBorders>
            <w:noWrap/>
            <w:vAlign w:val="bottom"/>
            <w:hideMark/>
          </w:tcPr>
          <w:p w14:paraId="6E731A49"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w:t>
            </w:r>
          </w:p>
        </w:tc>
        <w:tc>
          <w:tcPr>
            <w:tcW w:w="2420" w:type="dxa"/>
            <w:gridSpan w:val="3"/>
            <w:tcBorders>
              <w:top w:val="single" w:sz="4" w:space="0" w:color="auto"/>
              <w:left w:val="nil"/>
              <w:bottom w:val="single" w:sz="4" w:space="0" w:color="auto"/>
              <w:right w:val="single" w:sz="4" w:space="0" w:color="000000"/>
            </w:tcBorders>
            <w:shd w:val="clear" w:color="000000" w:fill="FFFF99"/>
            <w:noWrap/>
            <w:vAlign w:val="bottom"/>
            <w:hideMark/>
          </w:tcPr>
          <w:p w14:paraId="50C45EFA" w14:textId="77777777" w:rsidR="0002078B" w:rsidRPr="0002078B" w:rsidRDefault="0002078B" w:rsidP="0002078B">
            <w:pPr>
              <w:spacing w:after="0" w:line="240" w:lineRule="auto"/>
              <w:jc w:val="center"/>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Reference Vintage (Apr'20)</w:t>
            </w:r>
          </w:p>
        </w:tc>
        <w:tc>
          <w:tcPr>
            <w:tcW w:w="3400" w:type="dxa"/>
            <w:gridSpan w:val="4"/>
            <w:tcBorders>
              <w:top w:val="single" w:sz="4" w:space="0" w:color="auto"/>
              <w:left w:val="nil"/>
              <w:bottom w:val="single" w:sz="4" w:space="0" w:color="auto"/>
              <w:right w:val="single" w:sz="4" w:space="0" w:color="000000"/>
            </w:tcBorders>
            <w:shd w:val="clear" w:color="000000" w:fill="F2F2F2"/>
            <w:noWrap/>
            <w:vAlign w:val="bottom"/>
            <w:hideMark/>
          </w:tcPr>
          <w:p w14:paraId="187C6B6C" w14:textId="77777777" w:rsidR="0002078B" w:rsidRPr="0002078B" w:rsidRDefault="0002078B" w:rsidP="0002078B">
            <w:pPr>
              <w:spacing w:after="0" w:line="240" w:lineRule="auto"/>
              <w:jc w:val="center"/>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Jan'24</w:t>
            </w:r>
          </w:p>
        </w:tc>
        <w:tc>
          <w:tcPr>
            <w:tcW w:w="3400" w:type="dxa"/>
            <w:gridSpan w:val="4"/>
            <w:tcBorders>
              <w:top w:val="single" w:sz="4" w:space="0" w:color="auto"/>
              <w:left w:val="nil"/>
              <w:bottom w:val="single" w:sz="4" w:space="0" w:color="auto"/>
              <w:right w:val="single" w:sz="4" w:space="0" w:color="000000"/>
            </w:tcBorders>
            <w:shd w:val="clear" w:color="000000" w:fill="F2F2F2"/>
            <w:noWrap/>
            <w:vAlign w:val="bottom"/>
            <w:hideMark/>
          </w:tcPr>
          <w:p w14:paraId="7831D676" w14:textId="77777777" w:rsidR="0002078B" w:rsidRPr="0002078B" w:rsidRDefault="0002078B" w:rsidP="0002078B">
            <w:pPr>
              <w:spacing w:after="0" w:line="240" w:lineRule="auto"/>
              <w:jc w:val="center"/>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Jan'25</w:t>
            </w:r>
          </w:p>
        </w:tc>
      </w:tr>
      <w:tr w:rsidR="0002078B" w:rsidRPr="0002078B" w14:paraId="5DF74AB1" w14:textId="77777777" w:rsidTr="0002078B">
        <w:trPr>
          <w:trHeight w:val="290"/>
        </w:trPr>
        <w:tc>
          <w:tcPr>
            <w:tcW w:w="1015" w:type="dxa"/>
            <w:tcBorders>
              <w:top w:val="nil"/>
              <w:left w:val="single" w:sz="4" w:space="0" w:color="auto"/>
              <w:bottom w:val="single" w:sz="4" w:space="0" w:color="auto"/>
              <w:right w:val="single" w:sz="4" w:space="0" w:color="auto"/>
            </w:tcBorders>
            <w:vAlign w:val="center"/>
            <w:hideMark/>
          </w:tcPr>
          <w:p w14:paraId="57E3968F" w14:textId="77777777" w:rsidR="0002078B" w:rsidRPr="0002078B" w:rsidRDefault="0002078B" w:rsidP="0002078B">
            <w:pPr>
              <w:spacing w:after="0" w:line="240" w:lineRule="auto"/>
              <w:jc w:val="center"/>
              <w:rPr>
                <w:rFonts w:ascii="Aptos Narrow" w:eastAsia="Times New Roman" w:hAnsi="Aptos Narrow" w:cs="Times New Roman"/>
                <w:b/>
                <w:bCs/>
                <w:color w:val="000000"/>
                <w:kern w:val="0"/>
                <w:sz w:val="22"/>
                <w:szCs w:val="22"/>
                <w14:ligatures w14:val="none"/>
              </w:rPr>
            </w:pPr>
            <w:proofErr w:type="spellStart"/>
            <w:r w:rsidRPr="0002078B">
              <w:rPr>
                <w:rFonts w:ascii="Aptos Narrow" w:eastAsia="Times New Roman" w:hAnsi="Aptos Narrow" w:cs="Times New Roman"/>
                <w:b/>
                <w:bCs/>
                <w:color w:val="000000"/>
                <w:kern w:val="0"/>
                <w:sz w:val="22"/>
                <w:szCs w:val="22"/>
                <w14:ligatures w14:val="none"/>
              </w:rPr>
              <w:t>Scoreband</w:t>
            </w:r>
            <w:proofErr w:type="spellEnd"/>
          </w:p>
        </w:tc>
        <w:tc>
          <w:tcPr>
            <w:tcW w:w="1020" w:type="dxa"/>
            <w:tcBorders>
              <w:top w:val="nil"/>
              <w:left w:val="nil"/>
              <w:bottom w:val="single" w:sz="4" w:space="0" w:color="auto"/>
              <w:right w:val="single" w:sz="4" w:space="0" w:color="auto"/>
            </w:tcBorders>
            <w:shd w:val="clear" w:color="000000" w:fill="FFFF99"/>
            <w:vAlign w:val="bottom"/>
            <w:hideMark/>
          </w:tcPr>
          <w:p w14:paraId="5113DC31" w14:textId="77777777" w:rsidR="0002078B" w:rsidRPr="0002078B" w:rsidRDefault="0002078B" w:rsidP="0002078B">
            <w:pPr>
              <w:spacing w:after="0" w:line="240" w:lineRule="auto"/>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Account #</w:t>
            </w:r>
          </w:p>
        </w:tc>
        <w:tc>
          <w:tcPr>
            <w:tcW w:w="700" w:type="dxa"/>
            <w:tcBorders>
              <w:top w:val="nil"/>
              <w:left w:val="nil"/>
              <w:bottom w:val="single" w:sz="4" w:space="0" w:color="auto"/>
              <w:right w:val="single" w:sz="4" w:space="0" w:color="auto"/>
            </w:tcBorders>
            <w:shd w:val="clear" w:color="000000" w:fill="FFFF99"/>
            <w:vAlign w:val="bottom"/>
            <w:hideMark/>
          </w:tcPr>
          <w:p w14:paraId="01F32164" w14:textId="77777777" w:rsidR="0002078B" w:rsidRPr="0002078B" w:rsidRDefault="0002078B" w:rsidP="0002078B">
            <w:pPr>
              <w:spacing w:after="0" w:line="240" w:lineRule="auto"/>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Bad-Rate</w:t>
            </w:r>
          </w:p>
        </w:tc>
        <w:tc>
          <w:tcPr>
            <w:tcW w:w="700" w:type="dxa"/>
            <w:tcBorders>
              <w:top w:val="nil"/>
              <w:left w:val="nil"/>
              <w:bottom w:val="single" w:sz="4" w:space="0" w:color="auto"/>
              <w:right w:val="single" w:sz="4" w:space="0" w:color="auto"/>
            </w:tcBorders>
            <w:shd w:val="clear" w:color="000000" w:fill="FFFF99"/>
            <w:vAlign w:val="bottom"/>
            <w:hideMark/>
          </w:tcPr>
          <w:p w14:paraId="6754A7C8" w14:textId="77777777" w:rsidR="0002078B" w:rsidRPr="0002078B" w:rsidRDefault="0002078B" w:rsidP="0002078B">
            <w:pPr>
              <w:spacing w:after="0" w:line="240" w:lineRule="auto"/>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Node Rank</w:t>
            </w:r>
          </w:p>
        </w:tc>
        <w:tc>
          <w:tcPr>
            <w:tcW w:w="1020" w:type="dxa"/>
            <w:tcBorders>
              <w:top w:val="nil"/>
              <w:left w:val="nil"/>
              <w:bottom w:val="single" w:sz="4" w:space="0" w:color="auto"/>
              <w:right w:val="single" w:sz="4" w:space="0" w:color="auto"/>
            </w:tcBorders>
            <w:shd w:val="clear" w:color="000000" w:fill="F2F2F2"/>
            <w:vAlign w:val="bottom"/>
            <w:hideMark/>
          </w:tcPr>
          <w:p w14:paraId="35B5952D" w14:textId="77777777" w:rsidR="0002078B" w:rsidRPr="0002078B" w:rsidRDefault="0002078B" w:rsidP="0002078B">
            <w:pPr>
              <w:spacing w:after="0" w:line="240" w:lineRule="auto"/>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Account #</w:t>
            </w:r>
          </w:p>
        </w:tc>
        <w:tc>
          <w:tcPr>
            <w:tcW w:w="980" w:type="dxa"/>
            <w:tcBorders>
              <w:top w:val="nil"/>
              <w:left w:val="nil"/>
              <w:bottom w:val="single" w:sz="4" w:space="0" w:color="auto"/>
              <w:right w:val="single" w:sz="4" w:space="0" w:color="auto"/>
            </w:tcBorders>
            <w:shd w:val="clear" w:color="000000" w:fill="F2F2F2"/>
            <w:vAlign w:val="bottom"/>
            <w:hideMark/>
          </w:tcPr>
          <w:p w14:paraId="1228B0F3" w14:textId="77777777" w:rsidR="0002078B" w:rsidRPr="0002078B" w:rsidRDefault="0002078B" w:rsidP="0002078B">
            <w:pPr>
              <w:spacing w:after="0" w:line="240" w:lineRule="auto"/>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Bad-Rate</w:t>
            </w:r>
          </w:p>
        </w:tc>
        <w:tc>
          <w:tcPr>
            <w:tcW w:w="700" w:type="dxa"/>
            <w:tcBorders>
              <w:top w:val="nil"/>
              <w:left w:val="nil"/>
              <w:bottom w:val="single" w:sz="4" w:space="0" w:color="auto"/>
              <w:right w:val="single" w:sz="4" w:space="0" w:color="auto"/>
            </w:tcBorders>
            <w:shd w:val="clear" w:color="000000" w:fill="F2F2F2"/>
            <w:vAlign w:val="bottom"/>
            <w:hideMark/>
          </w:tcPr>
          <w:p w14:paraId="3E190656" w14:textId="77777777" w:rsidR="0002078B" w:rsidRPr="0002078B" w:rsidRDefault="0002078B" w:rsidP="0002078B">
            <w:pPr>
              <w:spacing w:after="0" w:line="240" w:lineRule="auto"/>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Node Rank</w:t>
            </w:r>
          </w:p>
        </w:tc>
        <w:tc>
          <w:tcPr>
            <w:tcW w:w="700" w:type="dxa"/>
            <w:tcBorders>
              <w:top w:val="nil"/>
              <w:left w:val="nil"/>
              <w:bottom w:val="single" w:sz="4" w:space="0" w:color="auto"/>
              <w:right w:val="single" w:sz="4" w:space="0" w:color="auto"/>
            </w:tcBorders>
            <w:shd w:val="clear" w:color="000000" w:fill="F2F2F2"/>
            <w:vAlign w:val="bottom"/>
            <w:hideMark/>
          </w:tcPr>
          <w:p w14:paraId="6114E396" w14:textId="77777777" w:rsidR="0002078B" w:rsidRPr="0002078B" w:rsidRDefault="0002078B" w:rsidP="0002078B">
            <w:pPr>
              <w:spacing w:after="0" w:line="240" w:lineRule="auto"/>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ROB</w:t>
            </w:r>
          </w:p>
        </w:tc>
        <w:tc>
          <w:tcPr>
            <w:tcW w:w="1020" w:type="dxa"/>
            <w:tcBorders>
              <w:top w:val="nil"/>
              <w:left w:val="nil"/>
              <w:bottom w:val="single" w:sz="4" w:space="0" w:color="auto"/>
              <w:right w:val="single" w:sz="4" w:space="0" w:color="auto"/>
            </w:tcBorders>
            <w:shd w:val="clear" w:color="000000" w:fill="F2F2F2"/>
            <w:vAlign w:val="bottom"/>
            <w:hideMark/>
          </w:tcPr>
          <w:p w14:paraId="796BE33B" w14:textId="77777777" w:rsidR="0002078B" w:rsidRPr="0002078B" w:rsidRDefault="0002078B" w:rsidP="0002078B">
            <w:pPr>
              <w:spacing w:after="0" w:line="240" w:lineRule="auto"/>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Account #</w:t>
            </w:r>
          </w:p>
        </w:tc>
        <w:tc>
          <w:tcPr>
            <w:tcW w:w="980" w:type="dxa"/>
            <w:tcBorders>
              <w:top w:val="nil"/>
              <w:left w:val="nil"/>
              <w:bottom w:val="single" w:sz="4" w:space="0" w:color="auto"/>
              <w:right w:val="single" w:sz="4" w:space="0" w:color="auto"/>
            </w:tcBorders>
            <w:shd w:val="clear" w:color="000000" w:fill="F2F2F2"/>
            <w:vAlign w:val="bottom"/>
            <w:hideMark/>
          </w:tcPr>
          <w:p w14:paraId="3AF9444C" w14:textId="77777777" w:rsidR="0002078B" w:rsidRPr="0002078B" w:rsidRDefault="0002078B" w:rsidP="0002078B">
            <w:pPr>
              <w:spacing w:after="0" w:line="240" w:lineRule="auto"/>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Bad-Rate</w:t>
            </w:r>
          </w:p>
        </w:tc>
        <w:tc>
          <w:tcPr>
            <w:tcW w:w="700" w:type="dxa"/>
            <w:tcBorders>
              <w:top w:val="nil"/>
              <w:left w:val="nil"/>
              <w:bottom w:val="single" w:sz="4" w:space="0" w:color="auto"/>
              <w:right w:val="single" w:sz="4" w:space="0" w:color="auto"/>
            </w:tcBorders>
            <w:shd w:val="clear" w:color="000000" w:fill="F2F2F2"/>
            <w:vAlign w:val="bottom"/>
            <w:hideMark/>
          </w:tcPr>
          <w:p w14:paraId="07BDE6D0" w14:textId="77777777" w:rsidR="0002078B" w:rsidRPr="0002078B" w:rsidRDefault="0002078B" w:rsidP="0002078B">
            <w:pPr>
              <w:spacing w:after="0" w:line="240" w:lineRule="auto"/>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Node Rank</w:t>
            </w:r>
          </w:p>
        </w:tc>
        <w:tc>
          <w:tcPr>
            <w:tcW w:w="700" w:type="dxa"/>
            <w:tcBorders>
              <w:top w:val="nil"/>
              <w:left w:val="nil"/>
              <w:bottom w:val="single" w:sz="4" w:space="0" w:color="auto"/>
              <w:right w:val="single" w:sz="4" w:space="0" w:color="auto"/>
            </w:tcBorders>
            <w:shd w:val="clear" w:color="000000" w:fill="F2F2F2"/>
            <w:vAlign w:val="bottom"/>
            <w:hideMark/>
          </w:tcPr>
          <w:p w14:paraId="1B4C6CD1" w14:textId="77777777" w:rsidR="0002078B" w:rsidRPr="0002078B" w:rsidRDefault="0002078B" w:rsidP="0002078B">
            <w:pPr>
              <w:spacing w:after="0" w:line="240" w:lineRule="auto"/>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ROB</w:t>
            </w:r>
          </w:p>
        </w:tc>
      </w:tr>
      <w:tr w:rsidR="0002078B" w:rsidRPr="0002078B" w14:paraId="1A126829" w14:textId="77777777" w:rsidTr="0002078B">
        <w:trPr>
          <w:trHeight w:val="290"/>
        </w:trPr>
        <w:tc>
          <w:tcPr>
            <w:tcW w:w="1015" w:type="dxa"/>
            <w:tcBorders>
              <w:top w:val="nil"/>
              <w:left w:val="single" w:sz="4" w:space="0" w:color="auto"/>
              <w:bottom w:val="single" w:sz="4" w:space="0" w:color="auto"/>
              <w:right w:val="single" w:sz="4" w:space="0" w:color="auto"/>
            </w:tcBorders>
            <w:noWrap/>
            <w:vAlign w:val="bottom"/>
            <w:hideMark/>
          </w:tcPr>
          <w:p w14:paraId="72F94E0D"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100-200</w:t>
            </w:r>
          </w:p>
        </w:tc>
        <w:tc>
          <w:tcPr>
            <w:tcW w:w="1020" w:type="dxa"/>
            <w:tcBorders>
              <w:top w:val="nil"/>
              <w:left w:val="nil"/>
              <w:bottom w:val="single" w:sz="4" w:space="0" w:color="auto"/>
              <w:right w:val="single" w:sz="4" w:space="0" w:color="auto"/>
            </w:tcBorders>
            <w:shd w:val="clear" w:color="000000" w:fill="FFFF99"/>
            <w:noWrap/>
            <w:vAlign w:val="bottom"/>
            <w:hideMark/>
          </w:tcPr>
          <w:p w14:paraId="61343C2F"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31,255 </w:t>
            </w:r>
          </w:p>
        </w:tc>
        <w:tc>
          <w:tcPr>
            <w:tcW w:w="700" w:type="dxa"/>
            <w:tcBorders>
              <w:top w:val="nil"/>
              <w:left w:val="nil"/>
              <w:bottom w:val="single" w:sz="4" w:space="0" w:color="auto"/>
              <w:right w:val="single" w:sz="4" w:space="0" w:color="auto"/>
            </w:tcBorders>
            <w:shd w:val="clear" w:color="000000" w:fill="FFFF99"/>
            <w:noWrap/>
            <w:vAlign w:val="bottom"/>
            <w:hideMark/>
          </w:tcPr>
          <w:p w14:paraId="2BF5D3D5"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8.00%</w:t>
            </w:r>
          </w:p>
        </w:tc>
        <w:tc>
          <w:tcPr>
            <w:tcW w:w="700" w:type="dxa"/>
            <w:tcBorders>
              <w:top w:val="nil"/>
              <w:left w:val="nil"/>
              <w:bottom w:val="single" w:sz="4" w:space="0" w:color="auto"/>
              <w:right w:val="single" w:sz="4" w:space="0" w:color="auto"/>
            </w:tcBorders>
            <w:shd w:val="clear" w:color="000000" w:fill="FFFF99"/>
            <w:noWrap/>
            <w:vAlign w:val="bottom"/>
            <w:hideMark/>
          </w:tcPr>
          <w:p w14:paraId="10CC566B"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1</w:t>
            </w:r>
          </w:p>
        </w:tc>
        <w:tc>
          <w:tcPr>
            <w:tcW w:w="1020" w:type="dxa"/>
            <w:tcBorders>
              <w:top w:val="nil"/>
              <w:left w:val="nil"/>
              <w:bottom w:val="single" w:sz="4" w:space="0" w:color="auto"/>
              <w:right w:val="single" w:sz="4" w:space="0" w:color="auto"/>
            </w:tcBorders>
            <w:shd w:val="clear" w:color="000000" w:fill="F2F2F2"/>
            <w:noWrap/>
            <w:vAlign w:val="bottom"/>
            <w:hideMark/>
          </w:tcPr>
          <w:p w14:paraId="0A1BF7A7"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36,372 </w:t>
            </w:r>
          </w:p>
        </w:tc>
        <w:tc>
          <w:tcPr>
            <w:tcW w:w="980" w:type="dxa"/>
            <w:tcBorders>
              <w:top w:val="nil"/>
              <w:left w:val="nil"/>
              <w:bottom w:val="single" w:sz="4" w:space="0" w:color="auto"/>
              <w:right w:val="single" w:sz="4" w:space="0" w:color="auto"/>
            </w:tcBorders>
            <w:shd w:val="clear" w:color="000000" w:fill="F2F2F2"/>
            <w:noWrap/>
            <w:vAlign w:val="bottom"/>
            <w:hideMark/>
          </w:tcPr>
          <w:p w14:paraId="6DF87EA8"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11.00%</w:t>
            </w:r>
          </w:p>
        </w:tc>
        <w:tc>
          <w:tcPr>
            <w:tcW w:w="700" w:type="dxa"/>
            <w:tcBorders>
              <w:top w:val="nil"/>
              <w:left w:val="nil"/>
              <w:bottom w:val="single" w:sz="4" w:space="0" w:color="auto"/>
              <w:right w:val="single" w:sz="4" w:space="0" w:color="auto"/>
            </w:tcBorders>
            <w:shd w:val="clear" w:color="000000" w:fill="F2F2F2"/>
            <w:noWrap/>
            <w:vAlign w:val="bottom"/>
            <w:hideMark/>
          </w:tcPr>
          <w:p w14:paraId="711FEDB0"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1 </w:t>
            </w:r>
          </w:p>
        </w:tc>
        <w:tc>
          <w:tcPr>
            <w:tcW w:w="700" w:type="dxa"/>
            <w:tcBorders>
              <w:top w:val="nil"/>
              <w:left w:val="nil"/>
              <w:bottom w:val="single" w:sz="4" w:space="0" w:color="auto"/>
              <w:right w:val="single" w:sz="4" w:space="0" w:color="auto"/>
            </w:tcBorders>
            <w:shd w:val="clear" w:color="000000" w:fill="F2F2F2"/>
            <w:noWrap/>
            <w:vAlign w:val="bottom"/>
            <w:hideMark/>
          </w:tcPr>
          <w:p w14:paraId="70EE601C"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   </w:t>
            </w:r>
          </w:p>
        </w:tc>
        <w:tc>
          <w:tcPr>
            <w:tcW w:w="1020" w:type="dxa"/>
            <w:tcBorders>
              <w:top w:val="nil"/>
              <w:left w:val="nil"/>
              <w:bottom w:val="single" w:sz="4" w:space="0" w:color="auto"/>
              <w:right w:val="single" w:sz="4" w:space="0" w:color="auto"/>
            </w:tcBorders>
            <w:shd w:val="clear" w:color="000000" w:fill="F2F2F2"/>
            <w:noWrap/>
            <w:vAlign w:val="bottom"/>
            <w:hideMark/>
          </w:tcPr>
          <w:p w14:paraId="03EA1706"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36,372 </w:t>
            </w:r>
          </w:p>
        </w:tc>
        <w:tc>
          <w:tcPr>
            <w:tcW w:w="980" w:type="dxa"/>
            <w:tcBorders>
              <w:top w:val="nil"/>
              <w:left w:val="nil"/>
              <w:bottom w:val="single" w:sz="4" w:space="0" w:color="auto"/>
              <w:right w:val="single" w:sz="4" w:space="0" w:color="auto"/>
            </w:tcBorders>
            <w:shd w:val="clear" w:color="000000" w:fill="F2F2F2"/>
            <w:noWrap/>
            <w:vAlign w:val="bottom"/>
            <w:hideMark/>
          </w:tcPr>
          <w:p w14:paraId="4681F69A"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11.00%</w:t>
            </w:r>
          </w:p>
        </w:tc>
        <w:tc>
          <w:tcPr>
            <w:tcW w:w="700" w:type="dxa"/>
            <w:tcBorders>
              <w:top w:val="nil"/>
              <w:left w:val="nil"/>
              <w:bottom w:val="single" w:sz="4" w:space="0" w:color="auto"/>
              <w:right w:val="single" w:sz="4" w:space="0" w:color="auto"/>
            </w:tcBorders>
            <w:shd w:val="clear" w:color="000000" w:fill="F2F2F2"/>
            <w:noWrap/>
            <w:vAlign w:val="bottom"/>
            <w:hideMark/>
          </w:tcPr>
          <w:p w14:paraId="02DE5F58"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1 </w:t>
            </w:r>
          </w:p>
        </w:tc>
        <w:tc>
          <w:tcPr>
            <w:tcW w:w="700" w:type="dxa"/>
            <w:tcBorders>
              <w:top w:val="nil"/>
              <w:left w:val="nil"/>
              <w:bottom w:val="single" w:sz="4" w:space="0" w:color="auto"/>
              <w:right w:val="single" w:sz="4" w:space="0" w:color="auto"/>
            </w:tcBorders>
            <w:shd w:val="clear" w:color="000000" w:fill="F2F2F2"/>
            <w:noWrap/>
            <w:vAlign w:val="bottom"/>
            <w:hideMark/>
          </w:tcPr>
          <w:p w14:paraId="27FC6DF0"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   </w:t>
            </w:r>
          </w:p>
        </w:tc>
      </w:tr>
      <w:tr w:rsidR="0002078B" w:rsidRPr="0002078B" w14:paraId="7199EE54" w14:textId="77777777" w:rsidTr="0002078B">
        <w:trPr>
          <w:trHeight w:val="290"/>
        </w:trPr>
        <w:tc>
          <w:tcPr>
            <w:tcW w:w="1015" w:type="dxa"/>
            <w:tcBorders>
              <w:top w:val="nil"/>
              <w:left w:val="single" w:sz="4" w:space="0" w:color="auto"/>
              <w:bottom w:val="single" w:sz="4" w:space="0" w:color="auto"/>
              <w:right w:val="single" w:sz="4" w:space="0" w:color="auto"/>
            </w:tcBorders>
            <w:noWrap/>
            <w:vAlign w:val="bottom"/>
            <w:hideMark/>
          </w:tcPr>
          <w:p w14:paraId="4F329A73"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201-300</w:t>
            </w:r>
          </w:p>
        </w:tc>
        <w:tc>
          <w:tcPr>
            <w:tcW w:w="1020" w:type="dxa"/>
            <w:tcBorders>
              <w:top w:val="nil"/>
              <w:left w:val="nil"/>
              <w:bottom w:val="single" w:sz="4" w:space="0" w:color="auto"/>
              <w:right w:val="single" w:sz="4" w:space="0" w:color="auto"/>
            </w:tcBorders>
            <w:shd w:val="clear" w:color="000000" w:fill="FFFF99"/>
            <w:noWrap/>
            <w:vAlign w:val="bottom"/>
            <w:hideMark/>
          </w:tcPr>
          <w:p w14:paraId="635C1866"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4,891 </w:t>
            </w:r>
          </w:p>
        </w:tc>
        <w:tc>
          <w:tcPr>
            <w:tcW w:w="700" w:type="dxa"/>
            <w:tcBorders>
              <w:top w:val="nil"/>
              <w:left w:val="nil"/>
              <w:bottom w:val="single" w:sz="4" w:space="0" w:color="auto"/>
              <w:right w:val="single" w:sz="4" w:space="0" w:color="auto"/>
            </w:tcBorders>
            <w:shd w:val="clear" w:color="000000" w:fill="FFFF99"/>
            <w:noWrap/>
            <w:vAlign w:val="bottom"/>
            <w:hideMark/>
          </w:tcPr>
          <w:p w14:paraId="5F20ED1A"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6.50%</w:t>
            </w:r>
          </w:p>
        </w:tc>
        <w:tc>
          <w:tcPr>
            <w:tcW w:w="700" w:type="dxa"/>
            <w:tcBorders>
              <w:top w:val="nil"/>
              <w:left w:val="nil"/>
              <w:bottom w:val="single" w:sz="4" w:space="0" w:color="auto"/>
              <w:right w:val="single" w:sz="4" w:space="0" w:color="auto"/>
            </w:tcBorders>
            <w:shd w:val="clear" w:color="000000" w:fill="FFFF99"/>
            <w:noWrap/>
            <w:vAlign w:val="bottom"/>
            <w:hideMark/>
          </w:tcPr>
          <w:p w14:paraId="0D34D571"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2</w:t>
            </w:r>
          </w:p>
        </w:tc>
        <w:tc>
          <w:tcPr>
            <w:tcW w:w="1020" w:type="dxa"/>
            <w:tcBorders>
              <w:top w:val="nil"/>
              <w:left w:val="nil"/>
              <w:bottom w:val="single" w:sz="4" w:space="0" w:color="auto"/>
              <w:right w:val="single" w:sz="4" w:space="0" w:color="auto"/>
            </w:tcBorders>
            <w:shd w:val="clear" w:color="000000" w:fill="F2F2F2"/>
            <w:noWrap/>
            <w:vAlign w:val="bottom"/>
            <w:hideMark/>
          </w:tcPr>
          <w:p w14:paraId="3EECFF1B"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7,130 </w:t>
            </w:r>
          </w:p>
        </w:tc>
        <w:tc>
          <w:tcPr>
            <w:tcW w:w="980" w:type="dxa"/>
            <w:tcBorders>
              <w:top w:val="nil"/>
              <w:left w:val="nil"/>
              <w:bottom w:val="single" w:sz="4" w:space="0" w:color="auto"/>
              <w:right w:val="single" w:sz="4" w:space="0" w:color="auto"/>
            </w:tcBorders>
            <w:shd w:val="clear" w:color="000000" w:fill="F2F2F2"/>
            <w:noWrap/>
            <w:vAlign w:val="bottom"/>
            <w:hideMark/>
          </w:tcPr>
          <w:p w14:paraId="25038B59"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4.39%</w:t>
            </w:r>
          </w:p>
        </w:tc>
        <w:tc>
          <w:tcPr>
            <w:tcW w:w="700" w:type="dxa"/>
            <w:tcBorders>
              <w:top w:val="nil"/>
              <w:left w:val="nil"/>
              <w:bottom w:val="single" w:sz="4" w:space="0" w:color="auto"/>
              <w:right w:val="single" w:sz="4" w:space="0" w:color="auto"/>
            </w:tcBorders>
            <w:shd w:val="clear" w:color="000000" w:fill="F2F2F2"/>
            <w:noWrap/>
            <w:vAlign w:val="bottom"/>
            <w:hideMark/>
          </w:tcPr>
          <w:p w14:paraId="14059553"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3 </w:t>
            </w:r>
          </w:p>
        </w:tc>
        <w:tc>
          <w:tcPr>
            <w:tcW w:w="700" w:type="dxa"/>
            <w:tcBorders>
              <w:top w:val="nil"/>
              <w:left w:val="nil"/>
              <w:bottom w:val="single" w:sz="4" w:space="0" w:color="auto"/>
              <w:right w:val="single" w:sz="4" w:space="0" w:color="auto"/>
            </w:tcBorders>
            <w:shd w:val="clear" w:color="000000" w:fill="F2F2F2"/>
            <w:noWrap/>
            <w:vAlign w:val="bottom"/>
            <w:hideMark/>
          </w:tcPr>
          <w:p w14:paraId="353E4946"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1 </w:t>
            </w:r>
          </w:p>
        </w:tc>
        <w:tc>
          <w:tcPr>
            <w:tcW w:w="1020" w:type="dxa"/>
            <w:tcBorders>
              <w:top w:val="nil"/>
              <w:left w:val="nil"/>
              <w:bottom w:val="single" w:sz="4" w:space="0" w:color="auto"/>
              <w:right w:val="single" w:sz="4" w:space="0" w:color="auto"/>
            </w:tcBorders>
            <w:shd w:val="clear" w:color="000000" w:fill="F2F2F2"/>
            <w:noWrap/>
            <w:vAlign w:val="bottom"/>
            <w:hideMark/>
          </w:tcPr>
          <w:p w14:paraId="318DDE25"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7,130 </w:t>
            </w:r>
          </w:p>
        </w:tc>
        <w:tc>
          <w:tcPr>
            <w:tcW w:w="980" w:type="dxa"/>
            <w:tcBorders>
              <w:top w:val="nil"/>
              <w:left w:val="nil"/>
              <w:bottom w:val="single" w:sz="4" w:space="0" w:color="auto"/>
              <w:right w:val="single" w:sz="4" w:space="0" w:color="auto"/>
            </w:tcBorders>
            <w:shd w:val="clear" w:color="000000" w:fill="F2F2F2"/>
            <w:noWrap/>
            <w:vAlign w:val="bottom"/>
            <w:hideMark/>
          </w:tcPr>
          <w:p w14:paraId="2A8FF182"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4.99%</w:t>
            </w:r>
          </w:p>
        </w:tc>
        <w:tc>
          <w:tcPr>
            <w:tcW w:w="700" w:type="dxa"/>
            <w:tcBorders>
              <w:top w:val="nil"/>
              <w:left w:val="nil"/>
              <w:bottom w:val="single" w:sz="4" w:space="0" w:color="auto"/>
              <w:right w:val="single" w:sz="4" w:space="0" w:color="auto"/>
            </w:tcBorders>
            <w:shd w:val="clear" w:color="000000" w:fill="F2F2F2"/>
            <w:noWrap/>
            <w:vAlign w:val="bottom"/>
            <w:hideMark/>
          </w:tcPr>
          <w:p w14:paraId="6F30C750"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2 </w:t>
            </w:r>
          </w:p>
        </w:tc>
        <w:tc>
          <w:tcPr>
            <w:tcW w:w="700" w:type="dxa"/>
            <w:tcBorders>
              <w:top w:val="nil"/>
              <w:left w:val="nil"/>
              <w:bottom w:val="single" w:sz="4" w:space="0" w:color="auto"/>
              <w:right w:val="single" w:sz="4" w:space="0" w:color="auto"/>
            </w:tcBorders>
            <w:shd w:val="clear" w:color="000000" w:fill="F2F2F2"/>
            <w:noWrap/>
            <w:vAlign w:val="bottom"/>
            <w:hideMark/>
          </w:tcPr>
          <w:p w14:paraId="3D5B4604"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   </w:t>
            </w:r>
          </w:p>
        </w:tc>
      </w:tr>
      <w:tr w:rsidR="0002078B" w:rsidRPr="0002078B" w14:paraId="70AA4497" w14:textId="77777777" w:rsidTr="0002078B">
        <w:trPr>
          <w:trHeight w:val="290"/>
        </w:trPr>
        <w:tc>
          <w:tcPr>
            <w:tcW w:w="1015" w:type="dxa"/>
            <w:tcBorders>
              <w:top w:val="nil"/>
              <w:left w:val="single" w:sz="4" w:space="0" w:color="auto"/>
              <w:bottom w:val="single" w:sz="4" w:space="0" w:color="auto"/>
              <w:right w:val="single" w:sz="4" w:space="0" w:color="auto"/>
            </w:tcBorders>
            <w:noWrap/>
            <w:vAlign w:val="bottom"/>
            <w:hideMark/>
          </w:tcPr>
          <w:p w14:paraId="3958F56A"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301-400</w:t>
            </w:r>
          </w:p>
        </w:tc>
        <w:tc>
          <w:tcPr>
            <w:tcW w:w="1020" w:type="dxa"/>
            <w:tcBorders>
              <w:top w:val="nil"/>
              <w:left w:val="nil"/>
              <w:bottom w:val="single" w:sz="4" w:space="0" w:color="auto"/>
              <w:right w:val="single" w:sz="4" w:space="0" w:color="auto"/>
            </w:tcBorders>
            <w:shd w:val="clear" w:color="000000" w:fill="FFFF99"/>
            <w:noWrap/>
            <w:vAlign w:val="bottom"/>
            <w:hideMark/>
          </w:tcPr>
          <w:p w14:paraId="24CBC8BD"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19,283 </w:t>
            </w:r>
          </w:p>
        </w:tc>
        <w:tc>
          <w:tcPr>
            <w:tcW w:w="700" w:type="dxa"/>
            <w:tcBorders>
              <w:top w:val="nil"/>
              <w:left w:val="nil"/>
              <w:bottom w:val="single" w:sz="4" w:space="0" w:color="auto"/>
              <w:right w:val="single" w:sz="4" w:space="0" w:color="auto"/>
            </w:tcBorders>
            <w:shd w:val="clear" w:color="000000" w:fill="FFFF99"/>
            <w:noWrap/>
            <w:vAlign w:val="bottom"/>
            <w:hideMark/>
          </w:tcPr>
          <w:p w14:paraId="38E0BD59"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5.00%</w:t>
            </w:r>
          </w:p>
        </w:tc>
        <w:tc>
          <w:tcPr>
            <w:tcW w:w="700" w:type="dxa"/>
            <w:tcBorders>
              <w:top w:val="nil"/>
              <w:left w:val="nil"/>
              <w:bottom w:val="single" w:sz="4" w:space="0" w:color="auto"/>
              <w:right w:val="single" w:sz="4" w:space="0" w:color="auto"/>
            </w:tcBorders>
            <w:shd w:val="clear" w:color="000000" w:fill="FFFF99"/>
            <w:noWrap/>
            <w:vAlign w:val="bottom"/>
            <w:hideMark/>
          </w:tcPr>
          <w:p w14:paraId="20CCCC23"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3</w:t>
            </w:r>
          </w:p>
        </w:tc>
        <w:tc>
          <w:tcPr>
            <w:tcW w:w="1020" w:type="dxa"/>
            <w:tcBorders>
              <w:top w:val="nil"/>
              <w:left w:val="nil"/>
              <w:bottom w:val="single" w:sz="4" w:space="0" w:color="auto"/>
              <w:right w:val="single" w:sz="4" w:space="0" w:color="auto"/>
            </w:tcBorders>
            <w:shd w:val="clear" w:color="000000" w:fill="F2F2F2"/>
            <w:noWrap/>
            <w:vAlign w:val="bottom"/>
            <w:hideMark/>
          </w:tcPr>
          <w:p w14:paraId="6BC01528"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21,353 </w:t>
            </w:r>
          </w:p>
        </w:tc>
        <w:tc>
          <w:tcPr>
            <w:tcW w:w="980" w:type="dxa"/>
            <w:tcBorders>
              <w:top w:val="nil"/>
              <w:left w:val="nil"/>
              <w:bottom w:val="single" w:sz="4" w:space="0" w:color="auto"/>
              <w:right w:val="single" w:sz="4" w:space="0" w:color="auto"/>
            </w:tcBorders>
            <w:shd w:val="clear" w:color="000000" w:fill="F2F2F2"/>
            <w:noWrap/>
            <w:vAlign w:val="bottom"/>
            <w:hideMark/>
          </w:tcPr>
          <w:p w14:paraId="42F89372"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4.36%</w:t>
            </w:r>
          </w:p>
        </w:tc>
        <w:tc>
          <w:tcPr>
            <w:tcW w:w="700" w:type="dxa"/>
            <w:tcBorders>
              <w:top w:val="nil"/>
              <w:left w:val="nil"/>
              <w:bottom w:val="single" w:sz="4" w:space="0" w:color="auto"/>
              <w:right w:val="single" w:sz="4" w:space="0" w:color="auto"/>
            </w:tcBorders>
            <w:shd w:val="clear" w:color="000000" w:fill="F2F2F2"/>
            <w:noWrap/>
            <w:vAlign w:val="bottom"/>
            <w:hideMark/>
          </w:tcPr>
          <w:p w14:paraId="553D5641"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5 </w:t>
            </w:r>
          </w:p>
        </w:tc>
        <w:tc>
          <w:tcPr>
            <w:tcW w:w="700" w:type="dxa"/>
            <w:tcBorders>
              <w:top w:val="nil"/>
              <w:left w:val="nil"/>
              <w:bottom w:val="single" w:sz="4" w:space="0" w:color="auto"/>
              <w:right w:val="single" w:sz="4" w:space="0" w:color="auto"/>
            </w:tcBorders>
            <w:shd w:val="clear" w:color="000000" w:fill="F2F2F2"/>
            <w:noWrap/>
            <w:vAlign w:val="bottom"/>
            <w:hideMark/>
          </w:tcPr>
          <w:p w14:paraId="2D22CD49"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2 </w:t>
            </w:r>
          </w:p>
        </w:tc>
        <w:tc>
          <w:tcPr>
            <w:tcW w:w="1020" w:type="dxa"/>
            <w:tcBorders>
              <w:top w:val="nil"/>
              <w:left w:val="nil"/>
              <w:bottom w:val="single" w:sz="4" w:space="0" w:color="auto"/>
              <w:right w:val="single" w:sz="4" w:space="0" w:color="auto"/>
            </w:tcBorders>
            <w:shd w:val="clear" w:color="000000" w:fill="F2F2F2"/>
            <w:noWrap/>
            <w:vAlign w:val="bottom"/>
            <w:hideMark/>
          </w:tcPr>
          <w:p w14:paraId="2B2A42E9"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21,353 </w:t>
            </w:r>
          </w:p>
        </w:tc>
        <w:tc>
          <w:tcPr>
            <w:tcW w:w="980" w:type="dxa"/>
            <w:tcBorders>
              <w:top w:val="nil"/>
              <w:left w:val="nil"/>
              <w:bottom w:val="single" w:sz="4" w:space="0" w:color="auto"/>
              <w:right w:val="single" w:sz="4" w:space="0" w:color="auto"/>
            </w:tcBorders>
            <w:shd w:val="clear" w:color="000000" w:fill="F2F2F2"/>
            <w:noWrap/>
            <w:vAlign w:val="bottom"/>
            <w:hideMark/>
          </w:tcPr>
          <w:p w14:paraId="0F55B2DF"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3.51%</w:t>
            </w:r>
          </w:p>
        </w:tc>
        <w:tc>
          <w:tcPr>
            <w:tcW w:w="700" w:type="dxa"/>
            <w:tcBorders>
              <w:top w:val="nil"/>
              <w:left w:val="nil"/>
              <w:bottom w:val="single" w:sz="4" w:space="0" w:color="auto"/>
              <w:right w:val="single" w:sz="4" w:space="0" w:color="auto"/>
            </w:tcBorders>
            <w:shd w:val="clear" w:color="000000" w:fill="F2F2F2"/>
            <w:noWrap/>
            <w:vAlign w:val="bottom"/>
            <w:hideMark/>
          </w:tcPr>
          <w:p w14:paraId="65BBE0C3"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6 </w:t>
            </w:r>
          </w:p>
        </w:tc>
        <w:tc>
          <w:tcPr>
            <w:tcW w:w="700" w:type="dxa"/>
            <w:tcBorders>
              <w:top w:val="nil"/>
              <w:left w:val="nil"/>
              <w:bottom w:val="single" w:sz="4" w:space="0" w:color="auto"/>
              <w:right w:val="single" w:sz="4" w:space="0" w:color="auto"/>
            </w:tcBorders>
            <w:shd w:val="clear" w:color="000000" w:fill="F2F2F2"/>
            <w:noWrap/>
            <w:vAlign w:val="bottom"/>
            <w:hideMark/>
          </w:tcPr>
          <w:p w14:paraId="73AA8B2D"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3 </w:t>
            </w:r>
          </w:p>
        </w:tc>
      </w:tr>
      <w:tr w:rsidR="0002078B" w:rsidRPr="0002078B" w14:paraId="61E1D53A" w14:textId="77777777" w:rsidTr="0002078B">
        <w:trPr>
          <w:trHeight w:val="290"/>
        </w:trPr>
        <w:tc>
          <w:tcPr>
            <w:tcW w:w="1015" w:type="dxa"/>
            <w:tcBorders>
              <w:top w:val="nil"/>
              <w:left w:val="single" w:sz="4" w:space="0" w:color="auto"/>
              <w:bottom w:val="single" w:sz="4" w:space="0" w:color="auto"/>
              <w:right w:val="single" w:sz="4" w:space="0" w:color="auto"/>
            </w:tcBorders>
            <w:noWrap/>
            <w:vAlign w:val="bottom"/>
            <w:hideMark/>
          </w:tcPr>
          <w:p w14:paraId="4F164FD0"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401-500</w:t>
            </w:r>
          </w:p>
        </w:tc>
        <w:tc>
          <w:tcPr>
            <w:tcW w:w="1020" w:type="dxa"/>
            <w:tcBorders>
              <w:top w:val="nil"/>
              <w:left w:val="nil"/>
              <w:bottom w:val="single" w:sz="4" w:space="0" w:color="auto"/>
              <w:right w:val="single" w:sz="4" w:space="0" w:color="auto"/>
            </w:tcBorders>
            <w:shd w:val="clear" w:color="000000" w:fill="FFFF99"/>
            <w:noWrap/>
            <w:vAlign w:val="bottom"/>
            <w:hideMark/>
          </w:tcPr>
          <w:p w14:paraId="2600BB40"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63,198 </w:t>
            </w:r>
          </w:p>
        </w:tc>
        <w:tc>
          <w:tcPr>
            <w:tcW w:w="700" w:type="dxa"/>
            <w:tcBorders>
              <w:top w:val="nil"/>
              <w:left w:val="nil"/>
              <w:bottom w:val="single" w:sz="4" w:space="0" w:color="auto"/>
              <w:right w:val="single" w:sz="4" w:space="0" w:color="auto"/>
            </w:tcBorders>
            <w:shd w:val="clear" w:color="000000" w:fill="FFFF99"/>
            <w:noWrap/>
            <w:vAlign w:val="bottom"/>
            <w:hideMark/>
          </w:tcPr>
          <w:p w14:paraId="051C542E"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3.99%</w:t>
            </w:r>
          </w:p>
        </w:tc>
        <w:tc>
          <w:tcPr>
            <w:tcW w:w="700" w:type="dxa"/>
            <w:tcBorders>
              <w:top w:val="nil"/>
              <w:left w:val="nil"/>
              <w:bottom w:val="single" w:sz="4" w:space="0" w:color="auto"/>
              <w:right w:val="single" w:sz="4" w:space="0" w:color="auto"/>
            </w:tcBorders>
            <w:shd w:val="clear" w:color="000000" w:fill="FFFF99"/>
            <w:noWrap/>
            <w:vAlign w:val="bottom"/>
            <w:hideMark/>
          </w:tcPr>
          <w:p w14:paraId="2AD61897"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4</w:t>
            </w:r>
          </w:p>
        </w:tc>
        <w:tc>
          <w:tcPr>
            <w:tcW w:w="1020" w:type="dxa"/>
            <w:tcBorders>
              <w:top w:val="nil"/>
              <w:left w:val="nil"/>
              <w:bottom w:val="single" w:sz="4" w:space="0" w:color="auto"/>
              <w:right w:val="single" w:sz="4" w:space="0" w:color="auto"/>
            </w:tcBorders>
            <w:shd w:val="clear" w:color="000000" w:fill="F2F2F2"/>
            <w:noWrap/>
            <w:vAlign w:val="bottom"/>
            <w:hideMark/>
          </w:tcPr>
          <w:p w14:paraId="727A3550"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77,146 </w:t>
            </w:r>
          </w:p>
        </w:tc>
        <w:tc>
          <w:tcPr>
            <w:tcW w:w="980" w:type="dxa"/>
            <w:tcBorders>
              <w:top w:val="nil"/>
              <w:left w:val="nil"/>
              <w:bottom w:val="single" w:sz="4" w:space="0" w:color="auto"/>
              <w:right w:val="single" w:sz="4" w:space="0" w:color="auto"/>
            </w:tcBorders>
            <w:shd w:val="clear" w:color="000000" w:fill="F2F2F2"/>
            <w:noWrap/>
            <w:vAlign w:val="bottom"/>
            <w:hideMark/>
          </w:tcPr>
          <w:p w14:paraId="555C43CF"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4.36%</w:t>
            </w:r>
          </w:p>
        </w:tc>
        <w:tc>
          <w:tcPr>
            <w:tcW w:w="700" w:type="dxa"/>
            <w:tcBorders>
              <w:top w:val="nil"/>
              <w:left w:val="nil"/>
              <w:bottom w:val="single" w:sz="4" w:space="0" w:color="auto"/>
              <w:right w:val="single" w:sz="4" w:space="0" w:color="auto"/>
            </w:tcBorders>
            <w:shd w:val="clear" w:color="000000" w:fill="F2F2F2"/>
            <w:noWrap/>
            <w:vAlign w:val="bottom"/>
            <w:hideMark/>
          </w:tcPr>
          <w:p w14:paraId="4FA23EE1"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5 </w:t>
            </w:r>
          </w:p>
        </w:tc>
        <w:tc>
          <w:tcPr>
            <w:tcW w:w="700" w:type="dxa"/>
            <w:tcBorders>
              <w:top w:val="nil"/>
              <w:left w:val="nil"/>
              <w:bottom w:val="single" w:sz="4" w:space="0" w:color="auto"/>
              <w:right w:val="single" w:sz="4" w:space="0" w:color="auto"/>
            </w:tcBorders>
            <w:shd w:val="clear" w:color="000000" w:fill="F2F2F2"/>
            <w:noWrap/>
            <w:vAlign w:val="bottom"/>
            <w:hideMark/>
          </w:tcPr>
          <w:p w14:paraId="1E53200C"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1 </w:t>
            </w:r>
          </w:p>
        </w:tc>
        <w:tc>
          <w:tcPr>
            <w:tcW w:w="1020" w:type="dxa"/>
            <w:tcBorders>
              <w:top w:val="nil"/>
              <w:left w:val="nil"/>
              <w:bottom w:val="single" w:sz="4" w:space="0" w:color="auto"/>
              <w:right w:val="single" w:sz="4" w:space="0" w:color="auto"/>
            </w:tcBorders>
            <w:shd w:val="clear" w:color="000000" w:fill="F2F2F2"/>
            <w:noWrap/>
            <w:vAlign w:val="bottom"/>
            <w:hideMark/>
          </w:tcPr>
          <w:p w14:paraId="76012BD2"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77,146 </w:t>
            </w:r>
          </w:p>
        </w:tc>
        <w:tc>
          <w:tcPr>
            <w:tcW w:w="980" w:type="dxa"/>
            <w:tcBorders>
              <w:top w:val="nil"/>
              <w:left w:val="nil"/>
              <w:bottom w:val="single" w:sz="4" w:space="0" w:color="auto"/>
              <w:right w:val="single" w:sz="4" w:space="0" w:color="auto"/>
            </w:tcBorders>
            <w:shd w:val="clear" w:color="000000" w:fill="F2F2F2"/>
            <w:noWrap/>
            <w:vAlign w:val="bottom"/>
            <w:hideMark/>
          </w:tcPr>
          <w:p w14:paraId="25FB11B9"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4.36%</w:t>
            </w:r>
          </w:p>
        </w:tc>
        <w:tc>
          <w:tcPr>
            <w:tcW w:w="700" w:type="dxa"/>
            <w:tcBorders>
              <w:top w:val="nil"/>
              <w:left w:val="nil"/>
              <w:bottom w:val="single" w:sz="4" w:space="0" w:color="auto"/>
              <w:right w:val="single" w:sz="4" w:space="0" w:color="auto"/>
            </w:tcBorders>
            <w:shd w:val="clear" w:color="000000" w:fill="F2F2F2"/>
            <w:noWrap/>
            <w:vAlign w:val="bottom"/>
            <w:hideMark/>
          </w:tcPr>
          <w:p w14:paraId="2BE3B88E"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5 </w:t>
            </w:r>
          </w:p>
        </w:tc>
        <w:tc>
          <w:tcPr>
            <w:tcW w:w="700" w:type="dxa"/>
            <w:tcBorders>
              <w:top w:val="nil"/>
              <w:left w:val="nil"/>
              <w:bottom w:val="single" w:sz="4" w:space="0" w:color="auto"/>
              <w:right w:val="single" w:sz="4" w:space="0" w:color="auto"/>
            </w:tcBorders>
            <w:shd w:val="clear" w:color="000000" w:fill="F2F2F2"/>
            <w:noWrap/>
            <w:vAlign w:val="bottom"/>
            <w:hideMark/>
          </w:tcPr>
          <w:p w14:paraId="5A2BEAF6"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1 </w:t>
            </w:r>
          </w:p>
        </w:tc>
      </w:tr>
      <w:tr w:rsidR="0002078B" w:rsidRPr="0002078B" w14:paraId="26F32A17" w14:textId="77777777" w:rsidTr="0002078B">
        <w:trPr>
          <w:trHeight w:val="290"/>
        </w:trPr>
        <w:tc>
          <w:tcPr>
            <w:tcW w:w="1015" w:type="dxa"/>
            <w:tcBorders>
              <w:top w:val="nil"/>
              <w:left w:val="single" w:sz="4" w:space="0" w:color="auto"/>
              <w:bottom w:val="single" w:sz="4" w:space="0" w:color="auto"/>
              <w:right w:val="single" w:sz="4" w:space="0" w:color="auto"/>
            </w:tcBorders>
            <w:noWrap/>
            <w:vAlign w:val="bottom"/>
            <w:hideMark/>
          </w:tcPr>
          <w:p w14:paraId="2FBE078F"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501-500</w:t>
            </w:r>
          </w:p>
        </w:tc>
        <w:tc>
          <w:tcPr>
            <w:tcW w:w="1020" w:type="dxa"/>
            <w:tcBorders>
              <w:top w:val="nil"/>
              <w:left w:val="nil"/>
              <w:bottom w:val="single" w:sz="4" w:space="0" w:color="auto"/>
              <w:right w:val="single" w:sz="4" w:space="0" w:color="auto"/>
            </w:tcBorders>
            <w:shd w:val="clear" w:color="000000" w:fill="FFFF99"/>
            <w:noWrap/>
            <w:vAlign w:val="bottom"/>
            <w:hideMark/>
          </w:tcPr>
          <w:p w14:paraId="2834CB99"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92,208 </w:t>
            </w:r>
          </w:p>
        </w:tc>
        <w:tc>
          <w:tcPr>
            <w:tcW w:w="700" w:type="dxa"/>
            <w:tcBorders>
              <w:top w:val="nil"/>
              <w:left w:val="nil"/>
              <w:bottom w:val="single" w:sz="4" w:space="0" w:color="auto"/>
              <w:right w:val="single" w:sz="4" w:space="0" w:color="auto"/>
            </w:tcBorders>
            <w:shd w:val="clear" w:color="000000" w:fill="FFFF99"/>
            <w:noWrap/>
            <w:vAlign w:val="bottom"/>
            <w:hideMark/>
          </w:tcPr>
          <w:p w14:paraId="0C736D79"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3.80%</w:t>
            </w:r>
          </w:p>
        </w:tc>
        <w:tc>
          <w:tcPr>
            <w:tcW w:w="700" w:type="dxa"/>
            <w:tcBorders>
              <w:top w:val="nil"/>
              <w:left w:val="nil"/>
              <w:bottom w:val="single" w:sz="4" w:space="0" w:color="auto"/>
              <w:right w:val="single" w:sz="4" w:space="0" w:color="auto"/>
            </w:tcBorders>
            <w:shd w:val="clear" w:color="000000" w:fill="FFFF99"/>
            <w:noWrap/>
            <w:vAlign w:val="bottom"/>
            <w:hideMark/>
          </w:tcPr>
          <w:p w14:paraId="433B79F9"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5</w:t>
            </w:r>
          </w:p>
        </w:tc>
        <w:tc>
          <w:tcPr>
            <w:tcW w:w="1020" w:type="dxa"/>
            <w:tcBorders>
              <w:top w:val="nil"/>
              <w:left w:val="nil"/>
              <w:bottom w:val="single" w:sz="4" w:space="0" w:color="auto"/>
              <w:right w:val="single" w:sz="4" w:space="0" w:color="auto"/>
            </w:tcBorders>
            <w:shd w:val="clear" w:color="000000" w:fill="F2F2F2"/>
            <w:noWrap/>
            <w:vAlign w:val="bottom"/>
            <w:hideMark/>
          </w:tcPr>
          <w:p w14:paraId="5BC31614"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45,364 </w:t>
            </w:r>
          </w:p>
        </w:tc>
        <w:tc>
          <w:tcPr>
            <w:tcW w:w="980" w:type="dxa"/>
            <w:tcBorders>
              <w:top w:val="nil"/>
              <w:left w:val="nil"/>
              <w:bottom w:val="single" w:sz="4" w:space="0" w:color="auto"/>
              <w:right w:val="single" w:sz="4" w:space="0" w:color="auto"/>
            </w:tcBorders>
            <w:shd w:val="clear" w:color="000000" w:fill="F2F2F2"/>
            <w:noWrap/>
            <w:vAlign w:val="bottom"/>
            <w:hideMark/>
          </w:tcPr>
          <w:p w14:paraId="6632E830"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4.50%</w:t>
            </w:r>
          </w:p>
        </w:tc>
        <w:tc>
          <w:tcPr>
            <w:tcW w:w="700" w:type="dxa"/>
            <w:tcBorders>
              <w:top w:val="nil"/>
              <w:left w:val="nil"/>
              <w:bottom w:val="single" w:sz="4" w:space="0" w:color="auto"/>
              <w:right w:val="single" w:sz="4" w:space="0" w:color="auto"/>
            </w:tcBorders>
            <w:shd w:val="clear" w:color="000000" w:fill="F2F2F2"/>
            <w:noWrap/>
            <w:vAlign w:val="bottom"/>
            <w:hideMark/>
          </w:tcPr>
          <w:p w14:paraId="4A025AFE"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2 </w:t>
            </w:r>
          </w:p>
        </w:tc>
        <w:tc>
          <w:tcPr>
            <w:tcW w:w="700" w:type="dxa"/>
            <w:tcBorders>
              <w:top w:val="nil"/>
              <w:left w:val="nil"/>
              <w:bottom w:val="single" w:sz="4" w:space="0" w:color="auto"/>
              <w:right w:val="single" w:sz="4" w:space="0" w:color="auto"/>
            </w:tcBorders>
            <w:shd w:val="clear" w:color="000000" w:fill="F2F2F2"/>
            <w:noWrap/>
            <w:vAlign w:val="bottom"/>
            <w:hideMark/>
          </w:tcPr>
          <w:p w14:paraId="5769AF25"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   </w:t>
            </w:r>
          </w:p>
        </w:tc>
        <w:tc>
          <w:tcPr>
            <w:tcW w:w="1020" w:type="dxa"/>
            <w:tcBorders>
              <w:top w:val="nil"/>
              <w:left w:val="nil"/>
              <w:bottom w:val="single" w:sz="4" w:space="0" w:color="auto"/>
              <w:right w:val="single" w:sz="4" w:space="0" w:color="auto"/>
            </w:tcBorders>
            <w:shd w:val="clear" w:color="000000" w:fill="F2F2F2"/>
            <w:noWrap/>
            <w:vAlign w:val="bottom"/>
            <w:hideMark/>
          </w:tcPr>
          <w:p w14:paraId="0C70F55D"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45,364 </w:t>
            </w:r>
          </w:p>
        </w:tc>
        <w:tc>
          <w:tcPr>
            <w:tcW w:w="980" w:type="dxa"/>
            <w:tcBorders>
              <w:top w:val="nil"/>
              <w:left w:val="nil"/>
              <w:bottom w:val="single" w:sz="4" w:space="0" w:color="auto"/>
              <w:right w:val="single" w:sz="4" w:space="0" w:color="auto"/>
            </w:tcBorders>
            <w:shd w:val="clear" w:color="000000" w:fill="F2F2F2"/>
            <w:noWrap/>
            <w:vAlign w:val="bottom"/>
            <w:hideMark/>
          </w:tcPr>
          <w:p w14:paraId="648198DF"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4.50%</w:t>
            </w:r>
          </w:p>
        </w:tc>
        <w:tc>
          <w:tcPr>
            <w:tcW w:w="700" w:type="dxa"/>
            <w:tcBorders>
              <w:top w:val="nil"/>
              <w:left w:val="nil"/>
              <w:bottom w:val="single" w:sz="4" w:space="0" w:color="auto"/>
              <w:right w:val="single" w:sz="4" w:space="0" w:color="auto"/>
            </w:tcBorders>
            <w:shd w:val="clear" w:color="000000" w:fill="F2F2F2"/>
            <w:noWrap/>
            <w:vAlign w:val="bottom"/>
            <w:hideMark/>
          </w:tcPr>
          <w:p w14:paraId="5AD283AB"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3 </w:t>
            </w:r>
          </w:p>
        </w:tc>
        <w:tc>
          <w:tcPr>
            <w:tcW w:w="700" w:type="dxa"/>
            <w:tcBorders>
              <w:top w:val="nil"/>
              <w:left w:val="nil"/>
              <w:bottom w:val="single" w:sz="4" w:space="0" w:color="auto"/>
              <w:right w:val="single" w:sz="4" w:space="0" w:color="auto"/>
            </w:tcBorders>
            <w:shd w:val="clear" w:color="000000" w:fill="F2F2F2"/>
            <w:noWrap/>
            <w:vAlign w:val="bottom"/>
            <w:hideMark/>
          </w:tcPr>
          <w:p w14:paraId="59121D19"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   </w:t>
            </w:r>
          </w:p>
        </w:tc>
      </w:tr>
      <w:tr w:rsidR="0002078B" w:rsidRPr="0002078B" w14:paraId="704BBFAA" w14:textId="77777777" w:rsidTr="0002078B">
        <w:trPr>
          <w:trHeight w:val="290"/>
        </w:trPr>
        <w:tc>
          <w:tcPr>
            <w:tcW w:w="1015" w:type="dxa"/>
            <w:tcBorders>
              <w:top w:val="nil"/>
              <w:left w:val="single" w:sz="4" w:space="0" w:color="auto"/>
              <w:bottom w:val="single" w:sz="4" w:space="0" w:color="auto"/>
              <w:right w:val="single" w:sz="4" w:space="0" w:color="auto"/>
            </w:tcBorders>
            <w:noWrap/>
            <w:vAlign w:val="bottom"/>
            <w:hideMark/>
          </w:tcPr>
          <w:p w14:paraId="59A27E4F"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601-700</w:t>
            </w:r>
          </w:p>
        </w:tc>
        <w:tc>
          <w:tcPr>
            <w:tcW w:w="1020" w:type="dxa"/>
            <w:tcBorders>
              <w:top w:val="nil"/>
              <w:left w:val="nil"/>
              <w:bottom w:val="single" w:sz="4" w:space="0" w:color="auto"/>
              <w:right w:val="single" w:sz="4" w:space="0" w:color="auto"/>
            </w:tcBorders>
            <w:shd w:val="clear" w:color="000000" w:fill="FFFF99"/>
            <w:noWrap/>
            <w:vAlign w:val="bottom"/>
            <w:hideMark/>
          </w:tcPr>
          <w:p w14:paraId="49D48141"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5,129 </w:t>
            </w:r>
          </w:p>
        </w:tc>
        <w:tc>
          <w:tcPr>
            <w:tcW w:w="700" w:type="dxa"/>
            <w:tcBorders>
              <w:top w:val="nil"/>
              <w:left w:val="nil"/>
              <w:bottom w:val="single" w:sz="4" w:space="0" w:color="auto"/>
              <w:right w:val="single" w:sz="4" w:space="0" w:color="auto"/>
            </w:tcBorders>
            <w:shd w:val="clear" w:color="000000" w:fill="FFFF99"/>
            <w:noWrap/>
            <w:vAlign w:val="bottom"/>
            <w:hideMark/>
          </w:tcPr>
          <w:p w14:paraId="786F6B4F"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3.70%</w:t>
            </w:r>
          </w:p>
        </w:tc>
        <w:tc>
          <w:tcPr>
            <w:tcW w:w="700" w:type="dxa"/>
            <w:tcBorders>
              <w:top w:val="nil"/>
              <w:left w:val="nil"/>
              <w:bottom w:val="single" w:sz="4" w:space="0" w:color="auto"/>
              <w:right w:val="single" w:sz="4" w:space="0" w:color="auto"/>
            </w:tcBorders>
            <w:shd w:val="clear" w:color="000000" w:fill="FFFF99"/>
            <w:noWrap/>
            <w:vAlign w:val="bottom"/>
            <w:hideMark/>
          </w:tcPr>
          <w:p w14:paraId="6574A797"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6</w:t>
            </w:r>
          </w:p>
        </w:tc>
        <w:tc>
          <w:tcPr>
            <w:tcW w:w="1020" w:type="dxa"/>
            <w:tcBorders>
              <w:top w:val="nil"/>
              <w:left w:val="nil"/>
              <w:bottom w:val="single" w:sz="4" w:space="0" w:color="auto"/>
              <w:right w:val="single" w:sz="4" w:space="0" w:color="auto"/>
            </w:tcBorders>
            <w:shd w:val="clear" w:color="000000" w:fill="F2F2F2"/>
            <w:noWrap/>
            <w:vAlign w:val="bottom"/>
            <w:hideMark/>
          </w:tcPr>
          <w:p w14:paraId="474E294A"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40,972 </w:t>
            </w:r>
          </w:p>
        </w:tc>
        <w:tc>
          <w:tcPr>
            <w:tcW w:w="980" w:type="dxa"/>
            <w:tcBorders>
              <w:top w:val="nil"/>
              <w:left w:val="nil"/>
              <w:bottom w:val="single" w:sz="4" w:space="0" w:color="auto"/>
              <w:right w:val="single" w:sz="4" w:space="0" w:color="auto"/>
            </w:tcBorders>
            <w:shd w:val="clear" w:color="000000" w:fill="F2F2F2"/>
            <w:noWrap/>
            <w:vAlign w:val="bottom"/>
            <w:hideMark/>
          </w:tcPr>
          <w:p w14:paraId="1C92E921"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4.39%</w:t>
            </w:r>
          </w:p>
        </w:tc>
        <w:tc>
          <w:tcPr>
            <w:tcW w:w="700" w:type="dxa"/>
            <w:tcBorders>
              <w:top w:val="nil"/>
              <w:left w:val="nil"/>
              <w:bottom w:val="single" w:sz="4" w:space="0" w:color="auto"/>
              <w:right w:val="single" w:sz="4" w:space="0" w:color="auto"/>
            </w:tcBorders>
            <w:shd w:val="clear" w:color="000000" w:fill="F2F2F2"/>
            <w:noWrap/>
            <w:vAlign w:val="bottom"/>
            <w:hideMark/>
          </w:tcPr>
          <w:p w14:paraId="4B066A62"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3 </w:t>
            </w:r>
          </w:p>
        </w:tc>
        <w:tc>
          <w:tcPr>
            <w:tcW w:w="700" w:type="dxa"/>
            <w:tcBorders>
              <w:top w:val="nil"/>
              <w:left w:val="nil"/>
              <w:bottom w:val="single" w:sz="4" w:space="0" w:color="auto"/>
              <w:right w:val="single" w:sz="4" w:space="0" w:color="auto"/>
            </w:tcBorders>
            <w:shd w:val="clear" w:color="000000" w:fill="F2F2F2"/>
            <w:noWrap/>
            <w:vAlign w:val="bottom"/>
            <w:hideMark/>
          </w:tcPr>
          <w:p w14:paraId="502C11CF"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   </w:t>
            </w:r>
          </w:p>
        </w:tc>
        <w:tc>
          <w:tcPr>
            <w:tcW w:w="1020" w:type="dxa"/>
            <w:tcBorders>
              <w:top w:val="nil"/>
              <w:left w:val="nil"/>
              <w:bottom w:val="single" w:sz="4" w:space="0" w:color="auto"/>
              <w:right w:val="single" w:sz="4" w:space="0" w:color="auto"/>
            </w:tcBorders>
            <w:shd w:val="clear" w:color="000000" w:fill="F2F2F2"/>
            <w:noWrap/>
            <w:vAlign w:val="bottom"/>
            <w:hideMark/>
          </w:tcPr>
          <w:p w14:paraId="45B414BB"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40,972 </w:t>
            </w:r>
          </w:p>
        </w:tc>
        <w:tc>
          <w:tcPr>
            <w:tcW w:w="980" w:type="dxa"/>
            <w:tcBorders>
              <w:top w:val="nil"/>
              <w:left w:val="nil"/>
              <w:bottom w:val="single" w:sz="4" w:space="0" w:color="auto"/>
              <w:right w:val="single" w:sz="4" w:space="0" w:color="auto"/>
            </w:tcBorders>
            <w:shd w:val="clear" w:color="000000" w:fill="F2F2F2"/>
            <w:noWrap/>
            <w:vAlign w:val="bottom"/>
            <w:hideMark/>
          </w:tcPr>
          <w:p w14:paraId="288C1E4E"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4.39%</w:t>
            </w:r>
          </w:p>
        </w:tc>
        <w:tc>
          <w:tcPr>
            <w:tcW w:w="700" w:type="dxa"/>
            <w:tcBorders>
              <w:top w:val="nil"/>
              <w:left w:val="nil"/>
              <w:bottom w:val="single" w:sz="4" w:space="0" w:color="auto"/>
              <w:right w:val="single" w:sz="4" w:space="0" w:color="auto"/>
            </w:tcBorders>
            <w:shd w:val="clear" w:color="000000" w:fill="F2F2F2"/>
            <w:noWrap/>
            <w:vAlign w:val="bottom"/>
            <w:hideMark/>
          </w:tcPr>
          <w:p w14:paraId="22735E0B"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4 </w:t>
            </w:r>
          </w:p>
        </w:tc>
        <w:tc>
          <w:tcPr>
            <w:tcW w:w="700" w:type="dxa"/>
            <w:tcBorders>
              <w:top w:val="nil"/>
              <w:left w:val="nil"/>
              <w:bottom w:val="single" w:sz="4" w:space="0" w:color="auto"/>
              <w:right w:val="single" w:sz="4" w:space="0" w:color="auto"/>
            </w:tcBorders>
            <w:shd w:val="clear" w:color="000000" w:fill="F2F2F2"/>
            <w:noWrap/>
            <w:vAlign w:val="bottom"/>
            <w:hideMark/>
          </w:tcPr>
          <w:p w14:paraId="3EEB9F51"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   </w:t>
            </w:r>
          </w:p>
        </w:tc>
      </w:tr>
      <w:tr w:rsidR="0002078B" w:rsidRPr="0002078B" w14:paraId="311BE979" w14:textId="77777777" w:rsidTr="0002078B">
        <w:trPr>
          <w:trHeight w:val="290"/>
        </w:trPr>
        <w:tc>
          <w:tcPr>
            <w:tcW w:w="1015" w:type="dxa"/>
            <w:tcBorders>
              <w:top w:val="nil"/>
              <w:left w:val="single" w:sz="4" w:space="0" w:color="auto"/>
              <w:bottom w:val="single" w:sz="4" w:space="0" w:color="auto"/>
              <w:right w:val="single" w:sz="4" w:space="0" w:color="auto"/>
            </w:tcBorders>
            <w:noWrap/>
            <w:vAlign w:val="bottom"/>
            <w:hideMark/>
          </w:tcPr>
          <w:p w14:paraId="2504C369"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701-800</w:t>
            </w:r>
          </w:p>
        </w:tc>
        <w:tc>
          <w:tcPr>
            <w:tcW w:w="1020" w:type="dxa"/>
            <w:tcBorders>
              <w:top w:val="nil"/>
              <w:left w:val="nil"/>
              <w:bottom w:val="single" w:sz="4" w:space="0" w:color="auto"/>
              <w:right w:val="single" w:sz="4" w:space="0" w:color="auto"/>
            </w:tcBorders>
            <w:shd w:val="clear" w:color="000000" w:fill="FFFF99"/>
            <w:noWrap/>
            <w:vAlign w:val="bottom"/>
            <w:hideMark/>
          </w:tcPr>
          <w:p w14:paraId="42C9674A"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86,730 </w:t>
            </w:r>
          </w:p>
        </w:tc>
        <w:tc>
          <w:tcPr>
            <w:tcW w:w="700" w:type="dxa"/>
            <w:tcBorders>
              <w:top w:val="nil"/>
              <w:left w:val="nil"/>
              <w:bottom w:val="single" w:sz="4" w:space="0" w:color="auto"/>
              <w:right w:val="single" w:sz="4" w:space="0" w:color="auto"/>
            </w:tcBorders>
            <w:shd w:val="clear" w:color="000000" w:fill="FFFF99"/>
            <w:noWrap/>
            <w:vAlign w:val="bottom"/>
            <w:hideMark/>
          </w:tcPr>
          <w:p w14:paraId="438C5B0C"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2.00%</w:t>
            </w:r>
          </w:p>
        </w:tc>
        <w:tc>
          <w:tcPr>
            <w:tcW w:w="700" w:type="dxa"/>
            <w:tcBorders>
              <w:top w:val="nil"/>
              <w:left w:val="nil"/>
              <w:bottom w:val="single" w:sz="4" w:space="0" w:color="auto"/>
              <w:right w:val="single" w:sz="4" w:space="0" w:color="auto"/>
            </w:tcBorders>
            <w:shd w:val="clear" w:color="000000" w:fill="FFFF99"/>
            <w:noWrap/>
            <w:vAlign w:val="bottom"/>
            <w:hideMark/>
          </w:tcPr>
          <w:p w14:paraId="7A8DBB0A"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7</w:t>
            </w:r>
          </w:p>
        </w:tc>
        <w:tc>
          <w:tcPr>
            <w:tcW w:w="1020" w:type="dxa"/>
            <w:tcBorders>
              <w:top w:val="nil"/>
              <w:left w:val="nil"/>
              <w:bottom w:val="single" w:sz="4" w:space="0" w:color="auto"/>
              <w:right w:val="single" w:sz="4" w:space="0" w:color="auto"/>
            </w:tcBorders>
            <w:shd w:val="clear" w:color="000000" w:fill="F2F2F2"/>
            <w:noWrap/>
            <w:vAlign w:val="bottom"/>
            <w:hideMark/>
          </w:tcPr>
          <w:p w14:paraId="2A4D6D1D"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72,118 </w:t>
            </w:r>
          </w:p>
        </w:tc>
        <w:tc>
          <w:tcPr>
            <w:tcW w:w="980" w:type="dxa"/>
            <w:tcBorders>
              <w:top w:val="nil"/>
              <w:left w:val="nil"/>
              <w:bottom w:val="single" w:sz="4" w:space="0" w:color="auto"/>
              <w:right w:val="single" w:sz="4" w:space="0" w:color="auto"/>
            </w:tcBorders>
            <w:shd w:val="clear" w:color="000000" w:fill="F2F2F2"/>
            <w:noWrap/>
            <w:vAlign w:val="bottom"/>
            <w:hideMark/>
          </w:tcPr>
          <w:p w14:paraId="775FBC63"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4.36%</w:t>
            </w:r>
          </w:p>
        </w:tc>
        <w:tc>
          <w:tcPr>
            <w:tcW w:w="700" w:type="dxa"/>
            <w:tcBorders>
              <w:top w:val="nil"/>
              <w:left w:val="nil"/>
              <w:bottom w:val="single" w:sz="4" w:space="0" w:color="auto"/>
              <w:right w:val="single" w:sz="4" w:space="0" w:color="auto"/>
            </w:tcBorders>
            <w:shd w:val="clear" w:color="000000" w:fill="F2F2F2"/>
            <w:noWrap/>
            <w:vAlign w:val="bottom"/>
            <w:hideMark/>
          </w:tcPr>
          <w:p w14:paraId="2ECB0D6A"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5 </w:t>
            </w:r>
          </w:p>
        </w:tc>
        <w:tc>
          <w:tcPr>
            <w:tcW w:w="700" w:type="dxa"/>
            <w:tcBorders>
              <w:top w:val="nil"/>
              <w:left w:val="nil"/>
              <w:bottom w:val="single" w:sz="4" w:space="0" w:color="auto"/>
              <w:right w:val="single" w:sz="4" w:space="0" w:color="auto"/>
            </w:tcBorders>
            <w:shd w:val="clear" w:color="000000" w:fill="F2F2F2"/>
            <w:noWrap/>
            <w:vAlign w:val="bottom"/>
            <w:hideMark/>
          </w:tcPr>
          <w:p w14:paraId="3ECE6144"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   </w:t>
            </w:r>
          </w:p>
        </w:tc>
        <w:tc>
          <w:tcPr>
            <w:tcW w:w="1020" w:type="dxa"/>
            <w:tcBorders>
              <w:top w:val="nil"/>
              <w:left w:val="nil"/>
              <w:bottom w:val="single" w:sz="4" w:space="0" w:color="auto"/>
              <w:right w:val="single" w:sz="4" w:space="0" w:color="auto"/>
            </w:tcBorders>
            <w:shd w:val="clear" w:color="000000" w:fill="F2F2F2"/>
            <w:noWrap/>
            <w:vAlign w:val="bottom"/>
            <w:hideMark/>
          </w:tcPr>
          <w:p w14:paraId="0E764BAB"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72,118 </w:t>
            </w:r>
          </w:p>
        </w:tc>
        <w:tc>
          <w:tcPr>
            <w:tcW w:w="980" w:type="dxa"/>
            <w:tcBorders>
              <w:top w:val="nil"/>
              <w:left w:val="nil"/>
              <w:bottom w:val="single" w:sz="4" w:space="0" w:color="auto"/>
              <w:right w:val="single" w:sz="4" w:space="0" w:color="auto"/>
            </w:tcBorders>
            <w:shd w:val="clear" w:color="000000" w:fill="F2F2F2"/>
            <w:noWrap/>
            <w:vAlign w:val="bottom"/>
            <w:hideMark/>
          </w:tcPr>
          <w:p w14:paraId="6B418A0D"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1.25%</w:t>
            </w:r>
          </w:p>
        </w:tc>
        <w:tc>
          <w:tcPr>
            <w:tcW w:w="700" w:type="dxa"/>
            <w:tcBorders>
              <w:top w:val="nil"/>
              <w:left w:val="nil"/>
              <w:bottom w:val="single" w:sz="4" w:space="0" w:color="auto"/>
              <w:right w:val="single" w:sz="4" w:space="0" w:color="auto"/>
            </w:tcBorders>
            <w:shd w:val="clear" w:color="000000" w:fill="F2F2F2"/>
            <w:noWrap/>
            <w:vAlign w:val="bottom"/>
            <w:hideMark/>
          </w:tcPr>
          <w:p w14:paraId="4C5A17FF"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8 </w:t>
            </w:r>
          </w:p>
        </w:tc>
        <w:tc>
          <w:tcPr>
            <w:tcW w:w="700" w:type="dxa"/>
            <w:tcBorders>
              <w:top w:val="nil"/>
              <w:left w:val="nil"/>
              <w:bottom w:val="single" w:sz="4" w:space="0" w:color="auto"/>
              <w:right w:val="single" w:sz="4" w:space="0" w:color="auto"/>
            </w:tcBorders>
            <w:shd w:val="clear" w:color="000000" w:fill="F2F2F2"/>
            <w:noWrap/>
            <w:vAlign w:val="bottom"/>
            <w:hideMark/>
          </w:tcPr>
          <w:p w14:paraId="37577478"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1 </w:t>
            </w:r>
          </w:p>
        </w:tc>
      </w:tr>
      <w:tr w:rsidR="0002078B" w:rsidRPr="0002078B" w14:paraId="739B6385" w14:textId="77777777" w:rsidTr="0002078B">
        <w:trPr>
          <w:trHeight w:val="290"/>
        </w:trPr>
        <w:tc>
          <w:tcPr>
            <w:tcW w:w="1015" w:type="dxa"/>
            <w:tcBorders>
              <w:top w:val="nil"/>
              <w:left w:val="single" w:sz="4" w:space="0" w:color="auto"/>
              <w:bottom w:val="single" w:sz="4" w:space="0" w:color="auto"/>
              <w:right w:val="single" w:sz="4" w:space="0" w:color="auto"/>
            </w:tcBorders>
            <w:noWrap/>
            <w:vAlign w:val="bottom"/>
            <w:hideMark/>
          </w:tcPr>
          <w:p w14:paraId="16D8A48C"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801-900</w:t>
            </w:r>
          </w:p>
        </w:tc>
        <w:tc>
          <w:tcPr>
            <w:tcW w:w="1020" w:type="dxa"/>
            <w:tcBorders>
              <w:top w:val="nil"/>
              <w:left w:val="nil"/>
              <w:bottom w:val="single" w:sz="4" w:space="0" w:color="auto"/>
              <w:right w:val="single" w:sz="4" w:space="0" w:color="auto"/>
            </w:tcBorders>
            <w:shd w:val="clear" w:color="000000" w:fill="FFFF99"/>
            <w:noWrap/>
            <w:vAlign w:val="bottom"/>
            <w:hideMark/>
          </w:tcPr>
          <w:p w14:paraId="102D3D51"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70,689 </w:t>
            </w:r>
          </w:p>
        </w:tc>
        <w:tc>
          <w:tcPr>
            <w:tcW w:w="700" w:type="dxa"/>
            <w:tcBorders>
              <w:top w:val="nil"/>
              <w:left w:val="nil"/>
              <w:bottom w:val="single" w:sz="4" w:space="0" w:color="auto"/>
              <w:right w:val="single" w:sz="4" w:space="0" w:color="auto"/>
            </w:tcBorders>
            <w:shd w:val="clear" w:color="000000" w:fill="FFFF99"/>
            <w:noWrap/>
            <w:vAlign w:val="bottom"/>
            <w:hideMark/>
          </w:tcPr>
          <w:p w14:paraId="32961794"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0.11%</w:t>
            </w:r>
          </w:p>
        </w:tc>
        <w:tc>
          <w:tcPr>
            <w:tcW w:w="700" w:type="dxa"/>
            <w:tcBorders>
              <w:top w:val="nil"/>
              <w:left w:val="nil"/>
              <w:bottom w:val="single" w:sz="4" w:space="0" w:color="auto"/>
              <w:right w:val="single" w:sz="4" w:space="0" w:color="auto"/>
            </w:tcBorders>
            <w:shd w:val="clear" w:color="000000" w:fill="FFFF99"/>
            <w:noWrap/>
            <w:vAlign w:val="bottom"/>
            <w:hideMark/>
          </w:tcPr>
          <w:p w14:paraId="431369B9"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8</w:t>
            </w:r>
          </w:p>
        </w:tc>
        <w:tc>
          <w:tcPr>
            <w:tcW w:w="1020" w:type="dxa"/>
            <w:tcBorders>
              <w:top w:val="nil"/>
              <w:left w:val="nil"/>
              <w:bottom w:val="single" w:sz="4" w:space="0" w:color="auto"/>
              <w:right w:val="single" w:sz="4" w:space="0" w:color="auto"/>
            </w:tcBorders>
            <w:shd w:val="clear" w:color="000000" w:fill="F2F2F2"/>
            <w:noWrap/>
            <w:vAlign w:val="bottom"/>
            <w:hideMark/>
          </w:tcPr>
          <w:p w14:paraId="5ACBB9B1"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68,020 </w:t>
            </w:r>
          </w:p>
        </w:tc>
        <w:tc>
          <w:tcPr>
            <w:tcW w:w="980" w:type="dxa"/>
            <w:tcBorders>
              <w:top w:val="nil"/>
              <w:left w:val="nil"/>
              <w:bottom w:val="single" w:sz="4" w:space="0" w:color="auto"/>
              <w:right w:val="single" w:sz="4" w:space="0" w:color="auto"/>
            </w:tcBorders>
            <w:shd w:val="clear" w:color="000000" w:fill="F2F2F2"/>
            <w:noWrap/>
            <w:vAlign w:val="bottom"/>
            <w:hideMark/>
          </w:tcPr>
          <w:p w14:paraId="549FB32F"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1.50%</w:t>
            </w:r>
          </w:p>
        </w:tc>
        <w:tc>
          <w:tcPr>
            <w:tcW w:w="700" w:type="dxa"/>
            <w:tcBorders>
              <w:top w:val="nil"/>
              <w:left w:val="nil"/>
              <w:bottom w:val="single" w:sz="4" w:space="0" w:color="auto"/>
              <w:right w:val="single" w:sz="4" w:space="0" w:color="auto"/>
            </w:tcBorders>
            <w:shd w:val="clear" w:color="000000" w:fill="F2F2F2"/>
            <w:noWrap/>
            <w:vAlign w:val="bottom"/>
            <w:hideMark/>
          </w:tcPr>
          <w:p w14:paraId="0DAA03E5"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8 </w:t>
            </w:r>
          </w:p>
        </w:tc>
        <w:tc>
          <w:tcPr>
            <w:tcW w:w="700" w:type="dxa"/>
            <w:tcBorders>
              <w:top w:val="nil"/>
              <w:left w:val="nil"/>
              <w:bottom w:val="single" w:sz="4" w:space="0" w:color="auto"/>
              <w:right w:val="single" w:sz="4" w:space="0" w:color="auto"/>
            </w:tcBorders>
            <w:shd w:val="clear" w:color="000000" w:fill="F2F2F2"/>
            <w:noWrap/>
            <w:vAlign w:val="bottom"/>
            <w:hideMark/>
          </w:tcPr>
          <w:p w14:paraId="4E64184B"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   </w:t>
            </w:r>
          </w:p>
        </w:tc>
        <w:tc>
          <w:tcPr>
            <w:tcW w:w="1020" w:type="dxa"/>
            <w:tcBorders>
              <w:top w:val="nil"/>
              <w:left w:val="nil"/>
              <w:bottom w:val="single" w:sz="4" w:space="0" w:color="auto"/>
              <w:right w:val="single" w:sz="4" w:space="0" w:color="auto"/>
            </w:tcBorders>
            <w:shd w:val="clear" w:color="000000" w:fill="F2F2F2"/>
            <w:noWrap/>
            <w:vAlign w:val="bottom"/>
            <w:hideMark/>
          </w:tcPr>
          <w:p w14:paraId="7104E69C"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68,020 </w:t>
            </w:r>
          </w:p>
        </w:tc>
        <w:tc>
          <w:tcPr>
            <w:tcW w:w="980" w:type="dxa"/>
            <w:tcBorders>
              <w:top w:val="nil"/>
              <w:left w:val="nil"/>
              <w:bottom w:val="single" w:sz="4" w:space="0" w:color="auto"/>
              <w:right w:val="single" w:sz="4" w:space="0" w:color="auto"/>
            </w:tcBorders>
            <w:shd w:val="clear" w:color="000000" w:fill="F2F2F2"/>
            <w:noWrap/>
            <w:vAlign w:val="bottom"/>
            <w:hideMark/>
          </w:tcPr>
          <w:p w14:paraId="640FE80E" w14:textId="77777777" w:rsidR="0002078B" w:rsidRPr="0002078B" w:rsidRDefault="0002078B" w:rsidP="0002078B">
            <w:pPr>
              <w:spacing w:after="0" w:line="240" w:lineRule="auto"/>
              <w:jc w:val="right"/>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1.50%</w:t>
            </w:r>
          </w:p>
        </w:tc>
        <w:tc>
          <w:tcPr>
            <w:tcW w:w="700" w:type="dxa"/>
            <w:tcBorders>
              <w:top w:val="nil"/>
              <w:left w:val="nil"/>
              <w:bottom w:val="single" w:sz="4" w:space="0" w:color="auto"/>
              <w:right w:val="single" w:sz="4" w:space="0" w:color="auto"/>
            </w:tcBorders>
            <w:shd w:val="clear" w:color="000000" w:fill="F2F2F2"/>
            <w:noWrap/>
            <w:vAlign w:val="bottom"/>
            <w:hideMark/>
          </w:tcPr>
          <w:p w14:paraId="514644D1"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7 </w:t>
            </w:r>
          </w:p>
        </w:tc>
        <w:tc>
          <w:tcPr>
            <w:tcW w:w="700" w:type="dxa"/>
            <w:tcBorders>
              <w:top w:val="nil"/>
              <w:left w:val="nil"/>
              <w:bottom w:val="single" w:sz="4" w:space="0" w:color="auto"/>
              <w:right w:val="single" w:sz="4" w:space="0" w:color="auto"/>
            </w:tcBorders>
            <w:shd w:val="clear" w:color="000000" w:fill="F2F2F2"/>
            <w:noWrap/>
            <w:vAlign w:val="bottom"/>
            <w:hideMark/>
          </w:tcPr>
          <w:p w14:paraId="0FCAD6B4" w14:textId="77777777" w:rsidR="0002078B" w:rsidRPr="0002078B" w:rsidRDefault="0002078B" w:rsidP="0002078B">
            <w:pPr>
              <w:spacing w:after="0" w:line="240" w:lineRule="auto"/>
              <w:rPr>
                <w:rFonts w:ascii="Aptos Narrow" w:eastAsia="Times New Roman" w:hAnsi="Aptos Narrow" w:cs="Times New Roman"/>
                <w:color w:val="000000"/>
                <w:kern w:val="0"/>
                <w:sz w:val="22"/>
                <w:szCs w:val="22"/>
                <w14:ligatures w14:val="none"/>
              </w:rPr>
            </w:pPr>
            <w:r w:rsidRPr="0002078B">
              <w:rPr>
                <w:rFonts w:ascii="Aptos Narrow" w:eastAsia="Times New Roman" w:hAnsi="Aptos Narrow" w:cs="Times New Roman"/>
                <w:color w:val="000000"/>
                <w:kern w:val="0"/>
                <w:sz w:val="22"/>
                <w:szCs w:val="22"/>
                <w14:ligatures w14:val="none"/>
              </w:rPr>
              <w:t xml:space="preserve">          -   </w:t>
            </w:r>
          </w:p>
        </w:tc>
      </w:tr>
      <w:tr w:rsidR="0002078B" w:rsidRPr="0002078B" w14:paraId="3D64400B" w14:textId="77777777" w:rsidTr="0002078B">
        <w:trPr>
          <w:trHeight w:val="290"/>
        </w:trPr>
        <w:tc>
          <w:tcPr>
            <w:tcW w:w="1015" w:type="dxa"/>
            <w:tcBorders>
              <w:top w:val="nil"/>
              <w:left w:val="single" w:sz="4" w:space="0" w:color="auto"/>
              <w:bottom w:val="single" w:sz="4" w:space="0" w:color="auto"/>
              <w:right w:val="nil"/>
            </w:tcBorders>
            <w:noWrap/>
            <w:vAlign w:val="bottom"/>
            <w:hideMark/>
          </w:tcPr>
          <w:p w14:paraId="2B45E4FF" w14:textId="77777777" w:rsidR="0002078B" w:rsidRPr="0002078B" w:rsidRDefault="0002078B" w:rsidP="0002078B">
            <w:pPr>
              <w:spacing w:after="0" w:line="240" w:lineRule="auto"/>
              <w:jc w:val="center"/>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Total</w:t>
            </w:r>
          </w:p>
        </w:tc>
        <w:tc>
          <w:tcPr>
            <w:tcW w:w="1020" w:type="dxa"/>
            <w:tcBorders>
              <w:top w:val="nil"/>
              <w:left w:val="single" w:sz="4" w:space="0" w:color="auto"/>
              <w:bottom w:val="single" w:sz="4" w:space="0" w:color="auto"/>
              <w:right w:val="single" w:sz="4" w:space="0" w:color="auto"/>
            </w:tcBorders>
            <w:noWrap/>
            <w:vAlign w:val="bottom"/>
            <w:hideMark/>
          </w:tcPr>
          <w:p w14:paraId="336ED1E5" w14:textId="77777777" w:rsidR="0002078B" w:rsidRPr="0002078B" w:rsidRDefault="0002078B" w:rsidP="0002078B">
            <w:pPr>
              <w:spacing w:after="0" w:line="240" w:lineRule="auto"/>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 xml:space="preserve">    373,383 </w:t>
            </w:r>
          </w:p>
        </w:tc>
        <w:tc>
          <w:tcPr>
            <w:tcW w:w="700" w:type="dxa"/>
            <w:tcBorders>
              <w:top w:val="nil"/>
              <w:left w:val="nil"/>
              <w:bottom w:val="single" w:sz="4" w:space="0" w:color="auto"/>
              <w:right w:val="single" w:sz="4" w:space="0" w:color="auto"/>
            </w:tcBorders>
            <w:noWrap/>
            <w:vAlign w:val="bottom"/>
            <w:hideMark/>
          </w:tcPr>
          <w:p w14:paraId="3D770E11" w14:textId="77777777" w:rsidR="0002078B" w:rsidRPr="0002078B" w:rsidRDefault="0002078B" w:rsidP="0002078B">
            <w:pPr>
              <w:spacing w:after="0" w:line="240" w:lineRule="auto"/>
              <w:jc w:val="right"/>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3.16%</w:t>
            </w:r>
          </w:p>
        </w:tc>
        <w:tc>
          <w:tcPr>
            <w:tcW w:w="700" w:type="dxa"/>
            <w:tcBorders>
              <w:top w:val="nil"/>
              <w:left w:val="nil"/>
              <w:bottom w:val="single" w:sz="4" w:space="0" w:color="auto"/>
              <w:right w:val="single" w:sz="4" w:space="0" w:color="auto"/>
            </w:tcBorders>
            <w:noWrap/>
            <w:vAlign w:val="bottom"/>
            <w:hideMark/>
          </w:tcPr>
          <w:p w14:paraId="1B636DC8" w14:textId="77777777" w:rsidR="0002078B" w:rsidRPr="0002078B" w:rsidRDefault="0002078B" w:rsidP="0002078B">
            <w:pPr>
              <w:spacing w:after="0" w:line="240" w:lineRule="auto"/>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 </w:t>
            </w:r>
          </w:p>
        </w:tc>
        <w:tc>
          <w:tcPr>
            <w:tcW w:w="1020" w:type="dxa"/>
            <w:tcBorders>
              <w:top w:val="nil"/>
              <w:left w:val="nil"/>
              <w:bottom w:val="single" w:sz="4" w:space="0" w:color="auto"/>
              <w:right w:val="single" w:sz="4" w:space="0" w:color="auto"/>
            </w:tcBorders>
            <w:noWrap/>
            <w:vAlign w:val="bottom"/>
            <w:hideMark/>
          </w:tcPr>
          <w:p w14:paraId="50774FB2" w14:textId="77777777" w:rsidR="0002078B" w:rsidRPr="0002078B" w:rsidRDefault="0002078B" w:rsidP="0002078B">
            <w:pPr>
              <w:spacing w:after="0" w:line="240" w:lineRule="auto"/>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 xml:space="preserve">    368,475 </w:t>
            </w:r>
          </w:p>
        </w:tc>
        <w:tc>
          <w:tcPr>
            <w:tcW w:w="980" w:type="dxa"/>
            <w:tcBorders>
              <w:top w:val="nil"/>
              <w:left w:val="nil"/>
              <w:bottom w:val="single" w:sz="4" w:space="0" w:color="auto"/>
              <w:right w:val="single" w:sz="4" w:space="0" w:color="auto"/>
            </w:tcBorders>
            <w:noWrap/>
            <w:vAlign w:val="bottom"/>
            <w:hideMark/>
          </w:tcPr>
          <w:p w14:paraId="0C3948CB" w14:textId="77777777" w:rsidR="0002078B" w:rsidRPr="0002078B" w:rsidRDefault="0002078B" w:rsidP="0002078B">
            <w:pPr>
              <w:spacing w:after="0" w:line="240" w:lineRule="auto"/>
              <w:jc w:val="right"/>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3.86%</w:t>
            </w:r>
          </w:p>
        </w:tc>
        <w:tc>
          <w:tcPr>
            <w:tcW w:w="700" w:type="dxa"/>
            <w:tcBorders>
              <w:top w:val="nil"/>
              <w:left w:val="nil"/>
              <w:bottom w:val="single" w:sz="4" w:space="0" w:color="auto"/>
              <w:right w:val="single" w:sz="4" w:space="0" w:color="auto"/>
            </w:tcBorders>
            <w:noWrap/>
            <w:vAlign w:val="bottom"/>
            <w:hideMark/>
          </w:tcPr>
          <w:p w14:paraId="0CAA4128" w14:textId="77777777" w:rsidR="0002078B" w:rsidRPr="0002078B" w:rsidRDefault="0002078B" w:rsidP="0002078B">
            <w:pPr>
              <w:spacing w:after="0" w:line="240" w:lineRule="auto"/>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 </w:t>
            </w:r>
          </w:p>
        </w:tc>
        <w:tc>
          <w:tcPr>
            <w:tcW w:w="700" w:type="dxa"/>
            <w:tcBorders>
              <w:top w:val="nil"/>
              <w:left w:val="nil"/>
              <w:bottom w:val="single" w:sz="4" w:space="0" w:color="auto"/>
              <w:right w:val="single" w:sz="4" w:space="0" w:color="auto"/>
            </w:tcBorders>
            <w:noWrap/>
            <w:vAlign w:val="bottom"/>
            <w:hideMark/>
          </w:tcPr>
          <w:p w14:paraId="7A9251DA" w14:textId="77777777" w:rsidR="0002078B" w:rsidRPr="0002078B" w:rsidRDefault="0002078B" w:rsidP="0002078B">
            <w:pPr>
              <w:spacing w:after="0" w:line="240" w:lineRule="auto"/>
              <w:jc w:val="right"/>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25.0%</w:t>
            </w:r>
          </w:p>
        </w:tc>
        <w:tc>
          <w:tcPr>
            <w:tcW w:w="1020" w:type="dxa"/>
            <w:tcBorders>
              <w:top w:val="nil"/>
              <w:left w:val="nil"/>
              <w:bottom w:val="single" w:sz="4" w:space="0" w:color="auto"/>
              <w:right w:val="single" w:sz="4" w:space="0" w:color="auto"/>
            </w:tcBorders>
            <w:noWrap/>
            <w:vAlign w:val="bottom"/>
            <w:hideMark/>
          </w:tcPr>
          <w:p w14:paraId="5A5B0C7C" w14:textId="77777777" w:rsidR="0002078B" w:rsidRPr="0002078B" w:rsidRDefault="0002078B" w:rsidP="0002078B">
            <w:pPr>
              <w:spacing w:after="0" w:line="240" w:lineRule="auto"/>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 xml:space="preserve">    368,475 </w:t>
            </w:r>
          </w:p>
        </w:tc>
        <w:tc>
          <w:tcPr>
            <w:tcW w:w="980" w:type="dxa"/>
            <w:tcBorders>
              <w:top w:val="nil"/>
              <w:left w:val="nil"/>
              <w:bottom w:val="single" w:sz="4" w:space="0" w:color="auto"/>
              <w:right w:val="single" w:sz="4" w:space="0" w:color="auto"/>
            </w:tcBorders>
            <w:noWrap/>
            <w:vAlign w:val="bottom"/>
            <w:hideMark/>
          </w:tcPr>
          <w:p w14:paraId="71FAC749" w14:textId="77777777" w:rsidR="0002078B" w:rsidRPr="0002078B" w:rsidRDefault="0002078B" w:rsidP="0002078B">
            <w:pPr>
              <w:spacing w:after="0" w:line="240" w:lineRule="auto"/>
              <w:jc w:val="right"/>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3.86%</w:t>
            </w:r>
          </w:p>
        </w:tc>
        <w:tc>
          <w:tcPr>
            <w:tcW w:w="700" w:type="dxa"/>
            <w:tcBorders>
              <w:top w:val="nil"/>
              <w:left w:val="nil"/>
              <w:bottom w:val="single" w:sz="4" w:space="0" w:color="auto"/>
              <w:right w:val="single" w:sz="4" w:space="0" w:color="auto"/>
            </w:tcBorders>
            <w:noWrap/>
            <w:vAlign w:val="bottom"/>
            <w:hideMark/>
          </w:tcPr>
          <w:p w14:paraId="3CBC3E58" w14:textId="77777777" w:rsidR="0002078B" w:rsidRPr="0002078B" w:rsidRDefault="0002078B" w:rsidP="0002078B">
            <w:pPr>
              <w:spacing w:after="0" w:line="240" w:lineRule="auto"/>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 </w:t>
            </w:r>
          </w:p>
        </w:tc>
        <w:tc>
          <w:tcPr>
            <w:tcW w:w="700" w:type="dxa"/>
            <w:tcBorders>
              <w:top w:val="nil"/>
              <w:left w:val="nil"/>
              <w:bottom w:val="single" w:sz="4" w:space="0" w:color="auto"/>
              <w:right w:val="single" w:sz="4" w:space="0" w:color="auto"/>
            </w:tcBorders>
            <w:noWrap/>
            <w:vAlign w:val="bottom"/>
            <w:hideMark/>
          </w:tcPr>
          <w:p w14:paraId="1CB09581" w14:textId="77777777" w:rsidR="0002078B" w:rsidRPr="0002078B" w:rsidRDefault="0002078B" w:rsidP="0002078B">
            <w:pPr>
              <w:spacing w:after="0" w:line="240" w:lineRule="auto"/>
              <w:jc w:val="right"/>
              <w:rPr>
                <w:rFonts w:ascii="Aptos Narrow" w:eastAsia="Times New Roman" w:hAnsi="Aptos Narrow" w:cs="Times New Roman"/>
                <w:b/>
                <w:bCs/>
                <w:color w:val="000000"/>
                <w:kern w:val="0"/>
                <w:sz w:val="22"/>
                <w:szCs w:val="22"/>
                <w14:ligatures w14:val="none"/>
              </w:rPr>
            </w:pPr>
            <w:r w:rsidRPr="0002078B">
              <w:rPr>
                <w:rFonts w:ascii="Aptos Narrow" w:eastAsia="Times New Roman" w:hAnsi="Aptos Narrow" w:cs="Times New Roman"/>
                <w:b/>
                <w:bCs/>
                <w:color w:val="000000"/>
                <w:kern w:val="0"/>
                <w:sz w:val="22"/>
                <w:szCs w:val="22"/>
                <w14:ligatures w14:val="none"/>
              </w:rPr>
              <w:t>31.3%</w:t>
            </w:r>
          </w:p>
        </w:tc>
      </w:tr>
    </w:tbl>
    <w:p w14:paraId="6BE6A89E" w14:textId="77777777" w:rsidR="0002078B" w:rsidRDefault="0002078B" w:rsidP="003C0534"/>
    <w:p w14:paraId="06AB1838" w14:textId="078BB75F" w:rsidR="00EC33BC" w:rsidRDefault="00EC33BC" w:rsidP="003C0534">
      <w:r>
        <w:t xml:space="preserve">As can be seen, band rank has been calculated based on the respective </w:t>
      </w:r>
      <w:proofErr w:type="spellStart"/>
      <w:r>
        <w:t>scoreband</w:t>
      </w:r>
      <w:proofErr w:type="spellEnd"/>
      <w:r>
        <w:t xml:space="preserve"> bad rate values for both reference and OOT vintage.</w:t>
      </w:r>
    </w:p>
    <w:p w14:paraId="422F5ECF" w14:textId="5733CEEA" w:rsidR="00EC33BC" w:rsidRDefault="00EC33BC" w:rsidP="003C0534">
      <w:r>
        <w:t xml:space="preserve">Now, ROB will be calculated at every </w:t>
      </w:r>
      <w:proofErr w:type="spellStart"/>
      <w:r>
        <w:t>scoreband</w:t>
      </w:r>
      <w:proofErr w:type="spellEnd"/>
      <w:r>
        <w:t xml:space="preserve"> level, it has formula of “</w:t>
      </w:r>
      <w:r w:rsidRPr="00EC33BC">
        <w:t>=MAX(H5-E5,0)</w:t>
      </w:r>
      <w:r>
        <w:t>” i.e. comparing OOT bin level bad rate vs reference bin level band rank.</w:t>
      </w:r>
    </w:p>
    <w:p w14:paraId="04EB2A47" w14:textId="710AC7D0" w:rsidR="00EC33BC" w:rsidRDefault="00EC33BC" w:rsidP="003C0534">
      <w:r>
        <w:t>Final ROB value will have a formula, “</w:t>
      </w:r>
      <w:r w:rsidRPr="00EC33BC">
        <w:t>=</w:t>
      </w:r>
      <w:proofErr w:type="gramStart"/>
      <w:r w:rsidRPr="00EC33BC">
        <w:t>SUM(</w:t>
      </w:r>
      <w:proofErr w:type="gramEnd"/>
      <w:r w:rsidRPr="00EC33BC">
        <w:t>I5:I12)/(TRUNC(L5/</w:t>
      </w:r>
      <w:proofErr w:type="gramStart"/>
      <w:r w:rsidRPr="00EC33BC">
        <w:t>2)*</w:t>
      </w:r>
      <w:proofErr w:type="gramEnd"/>
      <w:r w:rsidRPr="00EC33BC">
        <w:t>ROUNDUP(L5/2,0))</w:t>
      </w:r>
      <w:r>
        <w:t>”</w:t>
      </w:r>
    </w:p>
    <w:p w14:paraId="38076E3B" w14:textId="77777777" w:rsidR="00EC33BC" w:rsidRDefault="00EC33BC" w:rsidP="003C0534"/>
    <w:p w14:paraId="12104FEC" w14:textId="478C9233" w:rsidR="00B208B5" w:rsidRDefault="00B208B5" w:rsidP="003C0534">
      <w:r>
        <w:t xml:space="preserve">Below </w:t>
      </w:r>
      <w:r w:rsidR="008E70B7">
        <w:t xml:space="preserve">ROB trend </w:t>
      </w:r>
      <w:r>
        <w:t xml:space="preserve">chart can be </w:t>
      </w:r>
      <w:r w:rsidR="008E70B7">
        <w:t>generated:</w:t>
      </w:r>
    </w:p>
    <w:p w14:paraId="6D806BED" w14:textId="77777777" w:rsidR="008E70B7" w:rsidRDefault="008E70B7" w:rsidP="003C0534"/>
    <w:p w14:paraId="4A773180" w14:textId="4A81EB69" w:rsidR="008E70B7" w:rsidRDefault="000046AE" w:rsidP="003C0534">
      <w:r>
        <w:rPr>
          <w:noProof/>
        </w:rPr>
        <w:lastRenderedPageBreak/>
        <w:drawing>
          <wp:inline distT="0" distB="0" distL="0" distR="0" wp14:anchorId="7530F176" wp14:editId="71AC1F4B">
            <wp:extent cx="4655345" cy="2743200"/>
            <wp:effectExtent l="0" t="0" r="12065" b="0"/>
            <wp:docPr id="1970551543" name="Chart 1">
              <a:extLst xmlns:a="http://schemas.openxmlformats.org/drawingml/2006/main">
                <a:ext uri="{FF2B5EF4-FFF2-40B4-BE49-F238E27FC236}">
                  <a16:creationId xmlns:a16="http://schemas.microsoft.com/office/drawing/2014/main" id="{4046B755-3C54-1FA0-B27E-7FF80FAFE7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5507E7D" w14:textId="77777777" w:rsidR="000046AE" w:rsidRDefault="000046AE" w:rsidP="003C0534"/>
    <w:p w14:paraId="24F4293D" w14:textId="77777777" w:rsidR="000046AE" w:rsidRDefault="000046AE" w:rsidP="003C0534"/>
    <w:p w14:paraId="4B62788F" w14:textId="4159454B" w:rsidR="00B208B5" w:rsidRDefault="00321D78" w:rsidP="00B208B5">
      <w:pPr>
        <w:pStyle w:val="ListParagraph"/>
        <w:numPr>
          <w:ilvl w:val="0"/>
          <w:numId w:val="1"/>
        </w:numPr>
      </w:pPr>
      <w:r>
        <w:t>Under portfolio analysis section, metric trend charts should have same dimensions as done in model detail level.</w:t>
      </w:r>
      <w:r w:rsidR="00AC33BE">
        <w:t xml:space="preserve"> Eg, KS, Accuracy, etc. should be in % format.</w:t>
      </w:r>
    </w:p>
    <w:p w14:paraId="3554676B" w14:textId="77777777" w:rsidR="00AC33BE" w:rsidRDefault="00AC33BE" w:rsidP="00B208B5">
      <w:pPr>
        <w:pStyle w:val="ListParagraph"/>
        <w:numPr>
          <w:ilvl w:val="0"/>
          <w:numId w:val="1"/>
        </w:numPr>
      </w:pPr>
    </w:p>
    <w:p w14:paraId="33223E71" w14:textId="77777777" w:rsidR="00EC33BC" w:rsidRDefault="00EC33BC" w:rsidP="003C0534"/>
    <w:p w14:paraId="0D5631D4" w14:textId="77777777" w:rsidR="00EC33BC" w:rsidRDefault="00EC33BC" w:rsidP="003C0534"/>
    <w:p w14:paraId="3D3E8C77" w14:textId="77777777" w:rsidR="00EC33BC" w:rsidRDefault="00EC33BC" w:rsidP="003C0534"/>
    <w:sectPr w:rsidR="00EC33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61F5D"/>
    <w:multiLevelType w:val="hybridMultilevel"/>
    <w:tmpl w:val="133C5EE8"/>
    <w:lvl w:ilvl="0" w:tplc="2F4A6FC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6730E6"/>
    <w:multiLevelType w:val="multilevel"/>
    <w:tmpl w:val="2380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619060">
    <w:abstractNumId w:val="0"/>
  </w:num>
  <w:num w:numId="2" w16cid:durableId="933901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66D"/>
    <w:rsid w:val="000046AE"/>
    <w:rsid w:val="0002078B"/>
    <w:rsid w:val="002C1CA8"/>
    <w:rsid w:val="00321D78"/>
    <w:rsid w:val="003879BF"/>
    <w:rsid w:val="003C0534"/>
    <w:rsid w:val="005976D8"/>
    <w:rsid w:val="0062066D"/>
    <w:rsid w:val="00676CDF"/>
    <w:rsid w:val="008C6143"/>
    <w:rsid w:val="008E70B7"/>
    <w:rsid w:val="00906DAB"/>
    <w:rsid w:val="009B3DE9"/>
    <w:rsid w:val="00AC33BE"/>
    <w:rsid w:val="00B208B5"/>
    <w:rsid w:val="00CC0A75"/>
    <w:rsid w:val="00D20F1F"/>
    <w:rsid w:val="00EC3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ED765"/>
  <w15:chartTrackingRefBased/>
  <w15:docId w15:val="{B1063F30-3CAF-4C40-80F5-20E6E3DA5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66D"/>
    <w:rPr>
      <w:rFonts w:eastAsiaTheme="majorEastAsia" w:cstheme="majorBidi"/>
      <w:color w:val="272727" w:themeColor="text1" w:themeTint="D8"/>
    </w:rPr>
  </w:style>
  <w:style w:type="paragraph" w:styleId="Title">
    <w:name w:val="Title"/>
    <w:basedOn w:val="Normal"/>
    <w:next w:val="Normal"/>
    <w:link w:val="TitleChar"/>
    <w:uiPriority w:val="10"/>
    <w:qFormat/>
    <w:rsid w:val="00620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66D"/>
    <w:pPr>
      <w:spacing w:before="160"/>
      <w:jc w:val="center"/>
    </w:pPr>
    <w:rPr>
      <w:i/>
      <w:iCs/>
      <w:color w:val="404040" w:themeColor="text1" w:themeTint="BF"/>
    </w:rPr>
  </w:style>
  <w:style w:type="character" w:customStyle="1" w:styleId="QuoteChar">
    <w:name w:val="Quote Char"/>
    <w:basedOn w:val="DefaultParagraphFont"/>
    <w:link w:val="Quote"/>
    <w:uiPriority w:val="29"/>
    <w:rsid w:val="0062066D"/>
    <w:rPr>
      <w:i/>
      <w:iCs/>
      <w:color w:val="404040" w:themeColor="text1" w:themeTint="BF"/>
    </w:rPr>
  </w:style>
  <w:style w:type="paragraph" w:styleId="ListParagraph">
    <w:name w:val="List Paragraph"/>
    <w:basedOn w:val="Normal"/>
    <w:uiPriority w:val="34"/>
    <w:qFormat/>
    <w:rsid w:val="0062066D"/>
    <w:pPr>
      <w:ind w:left="720"/>
      <w:contextualSpacing/>
    </w:pPr>
  </w:style>
  <w:style w:type="character" w:styleId="IntenseEmphasis">
    <w:name w:val="Intense Emphasis"/>
    <w:basedOn w:val="DefaultParagraphFont"/>
    <w:uiPriority w:val="21"/>
    <w:qFormat/>
    <w:rsid w:val="0062066D"/>
    <w:rPr>
      <w:i/>
      <w:iCs/>
      <w:color w:val="0F4761" w:themeColor="accent1" w:themeShade="BF"/>
    </w:rPr>
  </w:style>
  <w:style w:type="paragraph" w:styleId="IntenseQuote">
    <w:name w:val="Intense Quote"/>
    <w:basedOn w:val="Normal"/>
    <w:next w:val="Normal"/>
    <w:link w:val="IntenseQuoteChar"/>
    <w:uiPriority w:val="30"/>
    <w:qFormat/>
    <w:rsid w:val="00620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66D"/>
    <w:rPr>
      <w:i/>
      <w:iCs/>
      <w:color w:val="0F4761" w:themeColor="accent1" w:themeShade="BF"/>
    </w:rPr>
  </w:style>
  <w:style w:type="character" w:styleId="IntenseReference">
    <w:name w:val="Intense Reference"/>
    <w:basedOn w:val="DefaultParagraphFont"/>
    <w:uiPriority w:val="32"/>
    <w:qFormat/>
    <w:rsid w:val="006206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https://exlservicenam-my.sharepoint.com/personal/ramit132062_exlservice_com/Documents/Documents/The%20HUB/MIDAS/Model%20Metadat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3"/>
          <c:order val="0"/>
          <c:tx>
            <c:strRef>
              <c:f>ROB!$B$2</c:f>
              <c:strCache>
                <c:ptCount val="1"/>
                <c:pt idx="0">
                  <c:v>ROB</c:v>
                </c:pt>
              </c:strCache>
            </c:strRef>
          </c:tx>
          <c:spPr>
            <a:ln w="28575" cap="rnd">
              <a:solidFill>
                <a:schemeClr val="accent4"/>
              </a:solidFill>
              <a:round/>
            </a:ln>
            <a:effectLst/>
          </c:spPr>
          <c:marker>
            <c:symbol val="none"/>
          </c:marker>
          <c:cat>
            <c:strRef>
              <c:f>(ROB!$F$3,ROB!$J$3)</c:f>
              <c:strCache>
                <c:ptCount val="2"/>
                <c:pt idx="0">
                  <c:v>Jan'24</c:v>
                </c:pt>
                <c:pt idx="1">
                  <c:v>Jan'25</c:v>
                </c:pt>
              </c:strCache>
            </c:strRef>
          </c:cat>
          <c:val>
            <c:numRef>
              <c:f>(ROB!$I$13,ROB!$M$13)</c:f>
              <c:numCache>
                <c:formatCode>0.0%</c:formatCode>
                <c:ptCount val="2"/>
                <c:pt idx="0">
                  <c:v>0.25</c:v>
                </c:pt>
                <c:pt idx="1">
                  <c:v>0.3125</c:v>
                </c:pt>
              </c:numCache>
            </c:numRef>
          </c:val>
          <c:smooth val="0"/>
          <c:extLst>
            <c:ext xmlns:c16="http://schemas.microsoft.com/office/drawing/2014/chart" uri="{C3380CC4-5D6E-409C-BE32-E72D297353CC}">
              <c16:uniqueId val="{00000000-D2EC-4385-8266-7A910FF36076}"/>
            </c:ext>
          </c:extLst>
        </c:ser>
        <c:dLbls>
          <c:showLegendKey val="0"/>
          <c:showVal val="0"/>
          <c:showCatName val="0"/>
          <c:showSerName val="0"/>
          <c:showPercent val="0"/>
          <c:showBubbleSize val="0"/>
        </c:dLbls>
        <c:smooth val="0"/>
        <c:axId val="117870975"/>
        <c:axId val="117868575"/>
      </c:lineChart>
      <c:catAx>
        <c:axId val="1178709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868575"/>
        <c:crosses val="autoZero"/>
        <c:auto val="1"/>
        <c:lblAlgn val="ctr"/>
        <c:lblOffset val="100"/>
        <c:noMultiLvlLbl val="0"/>
      </c:catAx>
      <c:valAx>
        <c:axId val="117868575"/>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8709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3</Pages>
  <Words>570</Words>
  <Characters>2732</Characters>
  <Application>Microsoft Office Word</Application>
  <DocSecurity>0</DocSecurity>
  <Lines>182</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Deepanshu Garg</dc:creator>
  <cp:keywords/>
  <dc:description/>
  <cp:lastModifiedBy>Deepanshu Garg</cp:lastModifiedBy>
  <cp:revision>9</cp:revision>
  <dcterms:created xsi:type="dcterms:W3CDTF">2026-03-04T08:19:00Z</dcterms:created>
  <dcterms:modified xsi:type="dcterms:W3CDTF">2026-03-04T13:46:00Z</dcterms:modified>
</cp:coreProperties>
</file>