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E3A8A"/>
          <w:sz w:val="52"/>
          <w:szCs w:val="52"/>
        </w:rPr>
        <w:t xml:space="preserve">Model Monitoring Platform</w:t>
      </w:r>
    </w:p>
    <w:p>
      <w:pPr>
        <w:spacing w:after="480" w:before="0"/>
        <w:jc w:val="center"/>
      </w:pPr>
      <w:r>
        <w:rPr>
          <w:rFonts w:ascii="Arial" w:cs="Arial" w:eastAsia="Arial" w:hAnsi="Arial"/>
          <w:i/>
          <w:iCs/>
          <w:color w:val="475569"/>
          <w:sz w:val="26"/>
          <w:szCs w:val="26"/>
        </w:rPr>
        <w:t xml:space="preserve">Enterprise-Grade Agentic Model Monitoring Solution</w:t>
      </w:r>
    </w:p>
    <w:p>
      <w:pPr>
        <w:spacing w:after="240" w:before="0"/>
        <w:jc w:val="center"/>
      </w:pPr>
      <w:r>
        <w:rPr>
          <w:rFonts w:ascii="Arial" w:cs="Arial" w:eastAsia="Arial" w:hAnsi="Arial"/>
          <w:b/>
          <w:bCs/>
          <w:color w:val="1E3A8A"/>
          <w:sz w:val="36"/>
          <w:szCs w:val="36"/>
        </w:rPr>
        <w:t xml:space="preserve">BUSINESS REQUIREMENTS DOCUMENT</w:t>
      </w:r>
    </w:p>
    <w:p>
      <w:pPr>
        <w:spacing w:after="60" w:before="0"/>
        <w:jc w:val="center"/>
      </w:pPr>
      <w:r>
        <w:rPr>
          <w:rFonts w:ascii="Arial" w:cs="Arial" w:eastAsia="Arial" w:hAnsi="Arial"/>
          <w:b/>
          <w:bCs/>
          <w:color w:val="1E293B"/>
          <w:sz w:val="30"/>
          <w:szCs w:val="30"/>
        </w:rPr>
        <w:t xml:space="preserve">Workflow 12 — User: Repository (Data Center)</w:t>
      </w:r>
    </w:p>
    <w:p>
      <w:pPr>
        <w:spacing w:after="720" w:before="0"/>
        <w:jc w:val="center"/>
      </w:pPr>
      <w:r>
        <w:rPr>
          <w:rFonts w:ascii="Arial" w:cs="Arial" w:eastAsia="Arial" w:hAnsi="Arial"/>
          <w:i/>
          <w:iCs/>
          <w:color w:val="64748B"/>
          <w:sz w:val="22"/>
          <w:szCs w:val="22"/>
        </w:rPr>
        <w:t xml:space="preserve">Folder Navigation  •  Component Management  •  Versioning  •  Soft Delete &amp; Restoration  •  Audit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475569"/>
                <w:sz w:val="18"/>
                <w:szCs w:val="18"/>
              </w:rPr>
              <w:t xml:space="preserve">Document Title</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vAlign w:val="top"/>
          </w:tcPr>
          <w:p>
            <w:pPr>
              <w:spacing w:after="0" w:before="0"/>
              <w:jc w:val="left"/>
            </w:pPr>
            <w:r>
              <w:rPr>
                <w:rFonts w:ascii="Arial" w:cs="Arial" w:eastAsia="Arial" w:hAnsi="Arial"/>
                <w:color w:val="1E293B"/>
                <w:sz w:val="20"/>
                <w:szCs w:val="20"/>
              </w:rPr>
              <w:t xml:space="preserve">BRD — Workflow 12: User — Repository (Data Center)</w:t>
            </w:r>
          </w:p>
        </w:tc>
      </w:tr>
      <w:tr>
        <w:trPr>
          <w:tblHeader w:val="false"/>
        </w:trP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475569"/>
                <w:sz w:val="18"/>
                <w:szCs w:val="18"/>
              </w:rPr>
              <w:t xml:space="preserve">Version</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vAlign w:val="top"/>
          </w:tcPr>
          <w:p>
            <w:pPr>
              <w:spacing w:after="0" w:before="0"/>
              <w:jc w:val="left"/>
            </w:pPr>
            <w:r>
              <w:rPr>
                <w:rFonts w:ascii="Arial" w:cs="Arial" w:eastAsia="Arial" w:hAnsi="Arial"/>
                <w:color w:val="1E293B"/>
                <w:sz w:val="20"/>
                <w:szCs w:val="20"/>
              </w:rPr>
              <w:t xml:space="preserve">1.0</w:t>
            </w:r>
          </w:p>
        </w:tc>
      </w:tr>
      <w:tr>
        <w:trPr>
          <w:tblHeader w:val="false"/>
        </w:trP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475569"/>
                <w:sz w:val="18"/>
                <w:szCs w:val="18"/>
              </w:rPr>
              <w:t xml:space="preserve">Status</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vAlign w:val="top"/>
          </w:tcPr>
          <w:p>
            <w:pPr>
              <w:spacing w:after="0" w:before="0"/>
              <w:jc w:val="left"/>
            </w:pPr>
            <w:r>
              <w:rPr>
                <w:rFonts w:ascii="Arial" w:cs="Arial" w:eastAsia="Arial" w:hAnsi="Arial"/>
                <w:color w:val="1E293B"/>
                <w:sz w:val="20"/>
                <w:szCs w:val="20"/>
              </w:rPr>
              <w:t xml:space="preserve">Draft for Review</w:t>
            </w:r>
          </w:p>
        </w:tc>
      </w:tr>
      <w:tr>
        <w:trPr>
          <w:tblHeader w:val="false"/>
        </w:trP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475569"/>
                <w:sz w:val="18"/>
                <w:szCs w:val="18"/>
              </w:rPr>
              <w:t xml:space="preserve">Date</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vAlign w:val="top"/>
          </w:tcPr>
          <w:p>
            <w:pPr>
              <w:spacing w:after="0" w:before="0"/>
              <w:jc w:val="left"/>
            </w:pPr>
            <w:r>
              <w:rPr>
                <w:rFonts w:ascii="Arial" w:cs="Arial" w:eastAsia="Arial" w:hAnsi="Arial"/>
                <w:color w:val="1E293B"/>
                <w:sz w:val="20"/>
                <w:szCs w:val="20"/>
              </w:rPr>
              <w:t xml:space="preserve">May 2026</w:t>
            </w:r>
          </w:p>
        </w:tc>
      </w:tr>
      <w:tr>
        <w:trPr>
          <w:tblHeader w:val="false"/>
        </w:trP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475569"/>
                <w:sz w:val="18"/>
                <w:szCs w:val="18"/>
              </w:rPr>
              <w:t xml:space="preserve">Workflow Coverage</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vAlign w:val="top"/>
          </w:tcPr>
          <w:p>
            <w:pPr>
              <w:spacing w:after="0" w:before="0"/>
              <w:jc w:val="left"/>
            </w:pPr>
            <w:r>
              <w:rPr>
                <w:rFonts w:ascii="Arial" w:cs="Arial" w:eastAsia="Arial" w:hAnsi="Arial"/>
                <w:color w:val="1E293B"/>
                <w:sz w:val="20"/>
                <w:szCs w:val="20"/>
              </w:rPr>
              <w:t xml:space="preserve">Domain/Technique/Model folder navigation; 11 component slots per model; upload &amp; versioning; soft delete &amp; Admin approval; Audit Log; Additional Documents</w:t>
            </w:r>
          </w:p>
        </w:tc>
      </w:tr>
      <w:tr>
        <w:trPr>
          <w:tblHeader w:val="false"/>
        </w:trP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475569"/>
                <w:sz w:val="18"/>
                <w:szCs w:val="18"/>
              </w:rPr>
              <w:t xml:space="preserve">Document Owner</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vAlign w:val="top"/>
          </w:tcPr>
          <w:p>
            <w:pPr>
              <w:spacing w:after="0" w:before="0"/>
              <w:jc w:val="left"/>
            </w:pPr>
            <w:r>
              <w:rPr>
                <w:rFonts w:ascii="Arial" w:cs="Arial" w:eastAsia="Arial" w:hAnsi="Arial"/>
                <w:color w:val="1E293B"/>
                <w:sz w:val="20"/>
                <w:szCs w:val="20"/>
              </w:rPr>
              <w:t xml:space="preserve">Product / Business Analyst</w:t>
            </w:r>
          </w:p>
        </w:tc>
      </w:tr>
      <w:tr>
        <w:trPr>
          <w:tblHeader w:val="false"/>
        </w:trP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475569"/>
                <w:sz w:val="18"/>
                <w:szCs w:val="18"/>
              </w:rPr>
              <w:t xml:space="preserve">Distribution</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vAlign w:val="top"/>
          </w:tcPr>
          <w:p>
            <w:pPr>
              <w:spacing w:after="0" w:before="0"/>
              <w:jc w:val="left"/>
            </w:pPr>
            <w:r>
              <w:rPr>
                <w:rFonts w:ascii="Arial" w:cs="Arial" w:eastAsia="Arial" w:hAnsi="Arial"/>
                <w:color w:val="1E293B"/>
                <w:sz w:val="20"/>
                <w:szCs w:val="20"/>
              </w:rPr>
              <w:t xml:space="preserve">Development Team, Architects, Security, QA, Governance</w:t>
            </w:r>
          </w:p>
        </w:tc>
      </w:tr>
    </w:tbl>
    <w:p>
      <w:pPr>
        <w:spacing w:after="0" w:before="0"/>
      </w:pPr>
      <w:r>
        <w:br w:type="page"/>
      </w:r>
    </w:p>
    <w:p>
      <w:pPr>
        <w:pStyle w:val="Heading1"/>
        <w:pBdr>
          <w:bottom w:val="single" w:color="1E3A8A" w:sz="6" w:space="4"/>
        </w:pBdr>
        <w:spacing w:after="160" w:before="360"/>
      </w:pPr>
      <w:r>
        <w:rPr>
          <w:rFonts w:ascii="Arial" w:cs="Arial" w:eastAsia="Arial" w:hAnsi="Arial"/>
          <w:b/>
          <w:bCs/>
          <w:color w:val="1E3A8A"/>
          <w:sz w:val="32"/>
          <w:szCs w:val="32"/>
        </w:rPr>
        <w:t xml:space="preserve">Document Control</w:t>
      </w:r>
    </w:p>
    <w:p>
      <w:pPr>
        <w:pStyle w:val="Heading2"/>
        <w:spacing w:after="120" w:before="280"/>
      </w:pPr>
      <w:r>
        <w:rPr>
          <w:rFonts w:ascii="Arial" w:cs="Arial" w:eastAsia="Arial" w:hAnsi="Arial"/>
          <w:b/>
          <w:bCs/>
          <w:color w:val="1E3A8A"/>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800"/>
        <w:gridCol w:w="5460"/>
      </w:tblGrid>
      <w:tr>
        <w:trPr>
          <w:tblHeader/>
        </w:trPr>
        <w:tc>
          <w:tcPr>
            <w:tcW w:type="dxa" w:w="9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Version</w:t>
            </w:r>
          </w:p>
        </w:tc>
        <w:tc>
          <w:tcPr>
            <w:tcW w:type="dxa" w:w="12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Date</w:t>
            </w:r>
          </w:p>
        </w:tc>
        <w:tc>
          <w:tcPr>
            <w:tcW w:type="dxa" w:w="18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Author</w:t>
            </w:r>
          </w:p>
        </w:tc>
        <w:tc>
          <w:tcPr>
            <w:tcW w:type="dxa" w:w="546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Description of Change</w:t>
            </w:r>
          </w:p>
        </w:tc>
      </w:tr>
      <w:tr>
        <w:trPr>
          <w:tblHeader w:val="false"/>
        </w:trP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0.1</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May 2026</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BA / Product</w:t>
            </w:r>
          </w:p>
        </w:tc>
        <w:tc>
          <w:tcPr>
            <w:tcW w:type="dxa" w:w="5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Initial draft — Workflow 12: User Repository (Data Center)</w:t>
            </w:r>
          </w:p>
        </w:tc>
      </w:tr>
      <w:tr>
        <w:trPr>
          <w:tblHeader w:val="false"/>
        </w:trP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1.0</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May 2026</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BA / Product</w:t>
            </w:r>
          </w:p>
        </w:tc>
        <w:tc>
          <w:tcPr>
            <w:tcW w:type="dxa" w:w="5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Wireframe-aligned; adversarial review corrections applied (S04 table layout; S09 independent drift versioning); baseline for development</w:t>
            </w:r>
          </w:p>
        </w:tc>
      </w:tr>
    </w:tbl>
    <w:p>
      <w:pPr>
        <w:spacing w:after="240" w:before="0"/>
      </w:pPr>
      <w:r>
        <w:t xml:space="preserve"/>
      </w:r>
    </w:p>
    <w:p>
      <w:pPr>
        <w:pStyle w:val="Heading2"/>
        <w:spacing w:after="120" w:before="280"/>
      </w:pPr>
      <w:r>
        <w:rPr>
          <w:rFonts w:ascii="Arial" w:cs="Arial" w:eastAsia="Arial" w:hAnsi="Arial"/>
          <w:b/>
          <w:bCs/>
          <w:color w:val="1E3A8A"/>
          <w:sz w:val="26"/>
          <w:szCs w:val="26"/>
        </w:rPr>
        <w:t xml:space="preserve">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Role</w:t>
            </w:r>
          </w:p>
        </w:tc>
        <w:tc>
          <w:tcPr>
            <w:tcW w:type="dxa" w:w="234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Name</w:t>
            </w:r>
          </w:p>
        </w:tc>
        <w:tc>
          <w:tcPr>
            <w:tcW w:type="dxa" w:w="234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Signature</w:t>
            </w:r>
          </w:p>
        </w:tc>
        <w:tc>
          <w:tcPr>
            <w:tcW w:type="dxa" w:w="234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Date</w:t>
            </w:r>
          </w:p>
        </w:tc>
      </w:tr>
      <w:tr>
        <w:trPr>
          <w:tblHeader w:val="false"/>
        </w:trP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Business Sponsor</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
            </w:r>
          </w:p>
        </w:tc>
      </w:tr>
      <w:tr>
        <w:trPr>
          <w:tblHeader w:val="false"/>
        </w:trP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Product Owner</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
            </w:r>
          </w:p>
        </w:tc>
      </w:tr>
      <w:tr>
        <w:trPr>
          <w:tblHeader w:val="false"/>
        </w:trP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Tech Lead / Architect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
            </w:r>
          </w:p>
        </w:tc>
      </w:tr>
      <w:tr>
        <w:trPr>
          <w:tblHeader w:val="false"/>
        </w:trP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Security / Governance Lead</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
            </w:r>
          </w:p>
        </w:tc>
      </w:tr>
      <w:tr>
        <w:trPr>
          <w:tblHeader w:val="false"/>
        </w:trP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QA Lead</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
            </w:r>
          </w:p>
        </w:tc>
      </w:tr>
    </w:tbl>
    <w:p>
      <w:pPr>
        <w:spacing w:after="0" w:before="0"/>
      </w:pPr>
      <w:r>
        <w:br w:type="page"/>
      </w:r>
    </w:p>
    <w:p>
      <w:pPr>
        <w:pStyle w:val="Heading1"/>
        <w:pBdr>
          <w:bottom w:val="single" w:color="1E3A8A" w:sz="6" w:space="4"/>
        </w:pBdr>
        <w:spacing w:after="160" w:before="360"/>
      </w:pPr>
      <w:r>
        <w:rPr>
          <w:rFonts w:ascii="Arial" w:cs="Arial" w:eastAsia="Arial" w:hAnsi="Arial"/>
          <w:b/>
          <w:bCs/>
          <w:color w:val="1E3A8A"/>
          <w:sz w:val="32"/>
          <w:szCs w:val="32"/>
        </w:rP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rPr>
          <w:tblHeader/>
        </w:trPr>
        <w:tc>
          <w:tcPr>
            <w:tcW w:type="dxa" w:w="8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w:t>
            </w:r>
          </w:p>
        </w:tc>
        <w:tc>
          <w:tcPr>
            <w:tcW w:type="dxa" w:w="856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Section</w:t>
            </w:r>
          </w:p>
        </w:tc>
      </w:tr>
      <w:tr>
        <w:trPr>
          <w:tblHeader w:val="false"/>
        </w:trP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1.</w:t>
            </w:r>
          </w:p>
        </w:tc>
        <w:tc>
          <w:tcPr>
            <w:tcW w:type="dxa" w:w="8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Introduction</w:t>
            </w:r>
          </w:p>
        </w:tc>
      </w:tr>
      <w:tr>
        <w:trPr>
          <w:tblHeader w:val="false"/>
        </w:trP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2.</w:t>
            </w:r>
          </w:p>
        </w:tc>
        <w:tc>
          <w:tcPr>
            <w:tcW w:type="dxa" w:w="8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Business Context</w:t>
            </w:r>
          </w:p>
        </w:tc>
      </w:tr>
      <w:tr>
        <w:trPr>
          <w:tblHeader w:val="false"/>
        </w:trP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3.</w:t>
            </w:r>
          </w:p>
        </w:tc>
        <w:tc>
          <w:tcPr>
            <w:tcW w:type="dxa" w:w="8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Workflow Overview</w:t>
            </w:r>
          </w:p>
        </w:tc>
      </w:tr>
      <w:tr>
        <w:trPr>
          <w:tblHeader w:val="false"/>
        </w:trP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4.</w:t>
            </w:r>
          </w:p>
        </w:tc>
        <w:tc>
          <w:tcPr>
            <w:tcW w:type="dxa" w:w="8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Functional Requirements</w:t>
            </w:r>
          </w:p>
        </w:tc>
      </w:tr>
      <w:tr>
        <w:trPr>
          <w:tblHeader w:val="false"/>
        </w:trP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
            </w:r>
          </w:p>
        </w:tc>
        <w:tc>
          <w:tcPr>
            <w:tcW w:type="dxa" w:w="8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4.1  Domain List View (S01)</w:t>
            </w:r>
          </w:p>
        </w:tc>
      </w:tr>
      <w:tr>
        <w:trPr>
          <w:tblHeader w:val="false"/>
        </w:trP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
            </w:r>
          </w:p>
        </w:tc>
        <w:tc>
          <w:tcPr>
            <w:tcW w:type="dxa" w:w="8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4.2  Modelling Technique List (S02)</w:t>
            </w:r>
          </w:p>
        </w:tc>
      </w:tr>
      <w:tr>
        <w:trPr>
          <w:tblHeader w:val="false"/>
        </w:trP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
            </w:r>
          </w:p>
        </w:tc>
        <w:tc>
          <w:tcPr>
            <w:tcW w:type="dxa" w:w="8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4.3  Model List (S03)</w:t>
            </w:r>
          </w:p>
        </w:tc>
      </w:tr>
      <w:tr>
        <w:trPr>
          <w:tblHeader w:val="false"/>
        </w:trP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
            </w:r>
          </w:p>
        </w:tc>
        <w:tc>
          <w:tcPr>
            <w:tcW w:type="dxa" w:w="8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4.4  Model Repository Dashboard (S04)</w:t>
            </w:r>
          </w:p>
        </w:tc>
      </w:tr>
      <w:tr>
        <w:trPr>
          <w:tblHeader w:val="false"/>
        </w:trP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
            </w:r>
          </w:p>
        </w:tc>
        <w:tc>
          <w:tcPr>
            <w:tcW w:type="dxa" w:w="8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4.5  Model Metadata (S05)</w:t>
            </w:r>
          </w:p>
        </w:tc>
      </w:tr>
      <w:tr>
        <w:trPr>
          <w:tblHeader w:val="false"/>
        </w:trP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
            </w:r>
          </w:p>
        </w:tc>
        <w:tc>
          <w:tcPr>
            <w:tcW w:type="dxa" w:w="8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4.6  KPI Configuration View (S06)</w:t>
            </w:r>
          </w:p>
        </w:tc>
      </w:tr>
      <w:tr>
        <w:trPr>
          <w:tblHeader w:val="false"/>
        </w:trP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
            </w:r>
          </w:p>
        </w:tc>
        <w:tc>
          <w:tcPr>
            <w:tcW w:type="dxa" w:w="8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4.7  Reference — Data Insights Numbers (S07)</w:t>
            </w:r>
          </w:p>
        </w:tc>
      </w:tr>
      <w:tr>
        <w:trPr>
          <w:tblHeader w:val="false"/>
        </w:trP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
            </w:r>
          </w:p>
        </w:tc>
        <w:tc>
          <w:tcPr>
            <w:tcW w:type="dxa" w:w="8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4.8  Validation — Sample Analysis (S08)</w:t>
            </w:r>
          </w:p>
        </w:tc>
      </w:tr>
      <w:tr>
        <w:trPr>
          <w:tblHeader w:val="false"/>
        </w:trP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
            </w:r>
          </w:p>
        </w:tc>
        <w:tc>
          <w:tcPr>
            <w:tcW w:type="dxa" w:w="8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4.9  Validation — Drift Reports (S09)</w:t>
            </w:r>
          </w:p>
        </w:tc>
      </w:tr>
      <w:tr>
        <w:trPr>
          <w:tblHeader w:val="false"/>
        </w:trP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
            </w:r>
          </w:p>
        </w:tc>
        <w:tc>
          <w:tcPr>
            <w:tcW w:type="dxa" w:w="8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4.10 Validation — RCA (S10)</w:t>
            </w:r>
          </w:p>
        </w:tc>
      </w:tr>
      <w:tr>
        <w:trPr>
          <w:tblHeader w:val="false"/>
        </w:trP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
            </w:r>
          </w:p>
        </w:tc>
        <w:tc>
          <w:tcPr>
            <w:tcW w:type="dxa" w:w="8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4.11 Validation — Final Report (S11)</w:t>
            </w:r>
          </w:p>
        </w:tc>
      </w:tr>
      <w:tr>
        <w:trPr>
          <w:tblHeader w:val="false"/>
        </w:trP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
            </w:r>
          </w:p>
        </w:tc>
        <w:tc>
          <w:tcPr>
            <w:tcW w:type="dxa" w:w="8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4.12 Audit Log (S12)</w:t>
            </w:r>
          </w:p>
        </w:tc>
      </w:tr>
      <w:tr>
        <w:trPr>
          <w:tblHeader w:val="false"/>
        </w:trP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
            </w:r>
          </w:p>
        </w:tc>
        <w:tc>
          <w:tcPr>
            <w:tcW w:type="dxa" w:w="8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4.13 Additional Documents (S13)</w:t>
            </w:r>
          </w:p>
        </w:tc>
      </w:tr>
      <w:tr>
        <w:trPr>
          <w:tblHeader w:val="false"/>
        </w:trP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
            </w:r>
          </w:p>
        </w:tc>
        <w:tc>
          <w:tcPr>
            <w:tcW w:type="dxa" w:w="8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4.14 Delete Request &amp; Admin Approval Flow (S14)</w:t>
            </w:r>
          </w:p>
        </w:tc>
      </w:tr>
      <w:tr>
        <w:trPr>
          <w:tblHeader w:val="false"/>
        </w:trP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
            </w:r>
          </w:p>
        </w:tc>
        <w:tc>
          <w:tcPr>
            <w:tcW w:type="dxa" w:w="8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4.15 Audit Logging</w:t>
            </w:r>
          </w:p>
        </w:tc>
      </w:tr>
      <w:tr>
        <w:trPr>
          <w:tblHeader w:val="false"/>
        </w:trP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
            </w:r>
          </w:p>
        </w:tc>
        <w:tc>
          <w:tcPr>
            <w:tcW w:type="dxa" w:w="8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4.16 Permissions &amp; Access Control</w:t>
            </w:r>
          </w:p>
        </w:tc>
      </w:tr>
      <w:tr>
        <w:trPr>
          <w:tblHeader w:val="false"/>
        </w:trP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5.</w:t>
            </w:r>
          </w:p>
        </w:tc>
        <w:tc>
          <w:tcPr>
            <w:tcW w:type="dxa" w:w="8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Non-Functional Requirements</w:t>
            </w:r>
          </w:p>
        </w:tc>
      </w:tr>
      <w:tr>
        <w:trPr>
          <w:tblHeader w:val="false"/>
        </w:trP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6.</w:t>
            </w:r>
          </w:p>
        </w:tc>
        <w:tc>
          <w:tcPr>
            <w:tcW w:type="dxa" w:w="8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UI / UX References</w:t>
            </w:r>
          </w:p>
        </w:tc>
      </w:tr>
      <w:tr>
        <w:trPr>
          <w:tblHeader w:val="false"/>
        </w:trP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7.</w:t>
            </w:r>
          </w:p>
        </w:tc>
        <w:tc>
          <w:tcPr>
            <w:tcW w:type="dxa" w:w="8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Open Items and Parked Gaps</w:t>
            </w:r>
          </w:p>
        </w:tc>
      </w:tr>
      <w:tr>
        <w:trPr>
          <w:tblHeader w:val="false"/>
        </w:trP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8.</w:t>
            </w:r>
          </w:p>
        </w:tc>
        <w:tc>
          <w:tcPr>
            <w:tcW w:type="dxa" w:w="8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Glossary</w:t>
            </w:r>
          </w:p>
        </w:tc>
      </w:tr>
    </w:tbl>
    <w:p>
      <w:pPr>
        <w:spacing w:after="0" w:before="0"/>
      </w:pPr>
      <w:r>
        <w:br w:type="page"/>
      </w:r>
    </w:p>
    <w:p>
      <w:pPr>
        <w:pStyle w:val="Heading1"/>
        <w:pBdr>
          <w:bottom w:val="single" w:color="1E3A8A" w:sz="6" w:space="4"/>
        </w:pBdr>
        <w:spacing w:after="160" w:before="360"/>
      </w:pPr>
      <w:r>
        <w:rPr>
          <w:rFonts w:ascii="Arial" w:cs="Arial" w:eastAsia="Arial" w:hAnsi="Arial"/>
          <w:b/>
          <w:bCs/>
          <w:color w:val="1E3A8A"/>
          <w:sz w:val="32"/>
          <w:szCs w:val="32"/>
        </w:rPr>
        <w:t xml:space="preserve">1. Introduction</w:t>
      </w:r>
    </w:p>
    <w:p>
      <w:pPr>
        <w:pStyle w:val="Heading2"/>
        <w:spacing w:after="120" w:before="280"/>
      </w:pPr>
      <w:r>
        <w:rPr>
          <w:rFonts w:ascii="Arial" w:cs="Arial" w:eastAsia="Arial" w:hAnsi="Arial"/>
          <w:b/>
          <w:bCs/>
          <w:color w:val="1E3A8A"/>
          <w:sz w:val="26"/>
          <w:szCs w:val="26"/>
        </w:rPr>
        <w:t xml:space="preserve">1.1 Purpose</w:t>
      </w:r>
    </w:p>
    <w:p>
      <w:pPr>
        <w:spacing w:after="120" w:before="0"/>
      </w:pPr>
      <w:r>
        <w:rPr>
          <w:rFonts w:ascii="Arial" w:cs="Arial" w:eastAsia="Arial" w:hAnsi="Arial"/>
          <w:color w:val="1E293B"/>
          <w:sz w:val="20"/>
          <w:szCs w:val="20"/>
        </w:rPr>
        <w:t>This Business Requirements Document (BRD) defines the functional and non-functional requirements for the User — Repository (Data Center) workflow of the Model Monitoring Platform. The Repository is the structured, governed document store accessible to authenticated Users from their homepage. It organises all model artefacts within a strict three-level folder hierarchy — Domain → Modelling Technique → Model ID / Model Name — and provides thirteen standardised component slots per model, plus a free-upload section. This document serves as the authoritative implementation guide for the development, security, and quality assurance teams for this workflow.</w:t>
      </w:r>
    </w:p>
    <w:p>
      <w:pPr>
        <w:pStyle w:val="Heading2"/>
        <w:spacing w:after="120" w:before="280"/>
      </w:pPr>
      <w:r>
        <w:rPr>
          <w:rFonts w:ascii="Arial" w:cs="Arial" w:eastAsia="Arial" w:hAnsi="Arial"/>
          <w:b/>
          <w:bCs/>
          <w:color w:val="1E3A8A"/>
          <w:sz w:val="26"/>
          <w:szCs w:val="26"/>
        </w:rPr>
        <w:t xml:space="preserve">1.2 Scope</w:t>
      </w:r>
    </w:p>
    <w:p>
      <w:pPr>
        <w:spacing w:after="120" w:before="0"/>
      </w:pPr>
      <w:r>
        <w:rPr>
          <w:rFonts w:ascii="Arial" w:cs="Arial" w:eastAsia="Arial" w:hAnsi="Arial"/>
          <w:color w:val="1E293B"/>
          <w:sz w:val="20"/>
          <w:szCs w:val="20"/>
        </w:rPr>
        <w:t xml:space="preserve">This BRD covers the following capabilities of Workflow 12 — User: Repository (Data Center):</w:t>
      </w:r>
    </w:p>
    <w:p>
      <w:pPr>
        <w:pStyle w:val="ListParagraph"/>
        <w:numPr>
          <w:ilvl w:val="0"/>
          <w:numId w:val="2"/>
        </w:numPr>
        <w:spacing w:after="60" w:before="0"/>
      </w:pPr>
      <w:r>
        <w:rPr>
          <w:rFonts w:ascii="Arial" w:cs="Arial" w:eastAsia="Arial" w:hAnsi="Arial"/>
          <w:color w:val="1E293B"/>
          <w:sz w:val="20"/>
          <w:szCs w:val="20"/>
        </w:rPr>
        <w:t xml:space="preserve">Three-level folder navigation: Domain list, Modelling Technique list, and Model list, each with search, filter, and sort</w:t>
      </w:r>
    </w:p>
    <w:p>
      <w:pPr>
        <w:pStyle w:val="ListParagraph"/>
        <w:numPr>
          <w:ilvl w:val="0"/>
          <w:numId w:val="2"/>
        </w:numPr>
        <w:spacing w:after="60" w:before="0"/>
      </w:pPr>
      <w:r>
        <w:rPr>
          <w:rFonts w:ascii="Arial" w:cs="Arial" w:eastAsia="Arial" w:hAnsi="Arial"/>
          <w:color w:val="1E293B"/>
          <w:sz w:val="20"/>
          <w:szCs w:val="20"/>
        </w:rPr>
        <w:t>Model Repository Dashboard — a single-screen hub showing all thirteen component slots per model in a clean table layout with grouped sections</w:t>
      </w:r>
    </w:p>
    <w:p>
      <w:pPr>
        <w:pStyle w:val="ListParagraph"/>
        <w:numPr>
          <w:ilvl w:val="0"/>
          <w:numId w:val="2"/>
        </w:numPr>
        <w:spacing w:after="60" w:before="0"/>
      </w:pPr>
      <w:r>
        <w:rPr>
          <w:rFonts w:ascii="Arial" w:cs="Arial" w:eastAsia="Arial" w:hAnsi="Arial"/>
          <w:color w:val="1E293B"/>
          <w:sz w:val="20"/>
          <w:szCs w:val="20"/>
        </w:rPr>
        <w:t>Component viewers for each of the thirteen slots (Metadata, KPI Configuration, Data Insights, Baseline Data, Reference Data, Sample Analysis, Data Drift, Concept Drift, Performance Drift, RCA, Validation Report, Audit Log, Additional Documents)</w:t>
      </w:r>
    </w:p>
    <w:p>
      <w:pPr>
        <w:pStyle w:val="ListParagraph"/>
        <w:numPr>
          <w:ilvl w:val="0"/>
          <w:numId w:val="2"/>
        </w:numPr>
        <w:spacing w:after="60" w:before="0"/>
      </w:pPr>
      <w:r>
        <w:rPr>
          <w:rFonts w:ascii="Arial" w:cs="Arial" w:eastAsia="Arial" w:hAnsi="Arial"/>
          <w:color w:val="1E293B"/>
          <w:sz w:val="20"/>
          <w:szCs w:val="20"/>
        </w:rPr>
        <w:t xml:space="preserve">Version management — every upload is auto-versioned with a timestamp, uploader identity, and file hash; a version sidebar is present on each component screen</w:t>
      </w:r>
    </w:p>
    <w:p>
      <w:pPr>
        <w:pStyle w:val="ListParagraph"/>
        <w:numPr>
          <w:ilvl w:val="0"/>
          <w:numId w:val="2"/>
        </w:numPr>
        <w:spacing w:after="60" w:before="0"/>
      </w:pPr>
      <w:r>
        <w:rPr>
          <w:rFonts w:ascii="Arial" w:cs="Arial" w:eastAsia="Arial" w:hAnsi="Arial"/>
          <w:color w:val="1E293B"/>
          <w:sz w:val="20"/>
          <w:szCs w:val="20"/>
        </w:rPr>
        <w:t xml:space="preserve">Source classification — each component is labelled as User Upload or Agent Generated, with Upload New Version available only on User Upload components</w:t>
      </w:r>
    </w:p>
    <w:p>
      <w:pPr>
        <w:pStyle w:val="ListParagraph"/>
        <w:numPr>
          <w:ilvl w:val="0"/>
          <w:numId w:val="2"/>
        </w:numPr>
        <w:spacing w:after="60" w:before="0"/>
      </w:pPr>
      <w:r>
        <w:rPr>
          <w:rFonts w:ascii="Arial" w:cs="Arial" w:eastAsia="Arial" w:hAnsi="Arial"/>
          <w:color w:val="1E293B"/>
          <w:sz w:val="20"/>
          <w:szCs w:val="20"/>
        </w:rPr>
        <w:t xml:space="preserve">Soft delete request flow — Users raise deletion requests against specific component versions; Admin approves or rejects</w:t>
      </w:r>
    </w:p>
    <w:p>
      <w:pPr>
        <w:pStyle w:val="ListParagraph"/>
        <w:numPr>
          <w:ilvl w:val="0"/>
          <w:numId w:val="2"/>
        </w:numPr>
        <w:spacing w:after="60" w:before="0"/>
      </w:pPr>
      <w:r>
        <w:rPr>
          <w:rFonts w:ascii="Arial" w:cs="Arial" w:eastAsia="Arial" w:hAnsi="Arial"/>
          <w:color w:val="1E293B"/>
          <w:sz w:val="20"/>
          <w:szCs w:val="20"/>
        </w:rPr>
        <w:t xml:space="preserve">Admin-direct soft delete — Admins may soft-delete without the request step, with mandatory reason capture</w:t>
      </w:r>
    </w:p>
    <w:p>
      <w:pPr>
        <w:pStyle w:val="ListParagraph"/>
        <w:numPr>
          <w:ilvl w:val="0"/>
          <w:numId w:val="2"/>
        </w:numPr>
        <w:spacing w:after="60" w:before="0"/>
      </w:pPr>
      <w:r>
        <w:rPr>
          <w:rFonts w:ascii="Arial" w:cs="Arial" w:eastAsia="Arial" w:hAnsi="Arial"/>
          <w:color w:val="1E293B"/>
          <w:sz w:val="20"/>
          <w:szCs w:val="20"/>
        </w:rPr>
        <w:t xml:space="preserve">Restore capability — Admin can restore soft-deleted versions</w:t>
      </w:r>
    </w:p>
    <w:p>
      <w:pPr>
        <w:pStyle w:val="ListParagraph"/>
        <w:numPr>
          <w:ilvl w:val="0"/>
          <w:numId w:val="2"/>
        </w:numPr>
        <w:spacing w:after="60" w:before="0"/>
      </w:pPr>
      <w:r>
        <w:rPr>
          <w:rFonts w:ascii="Arial" w:cs="Arial" w:eastAsia="Arial" w:hAnsi="Arial"/>
          <w:color w:val="1E293B"/>
          <w:sz w:val="20"/>
          <w:szCs w:val="20"/>
        </w:rPr>
        <w:t xml:space="preserve">Audit Log — immutable, append-only, component-level action log for every model repository</w:t>
      </w:r>
    </w:p>
    <w:p>
      <w:pPr>
        <w:pStyle w:val="ListParagraph"/>
        <w:numPr>
          <w:ilvl w:val="0"/>
          <w:numId w:val="2"/>
        </w:numPr>
        <w:spacing w:after="60" w:before="0"/>
      </w:pPr>
      <w:r>
        <w:rPr>
          <w:rFonts w:ascii="Arial" w:cs="Arial" w:eastAsia="Arial" w:hAnsi="Arial"/>
          <w:color w:val="1E293B"/>
          <w:sz w:val="20"/>
          <w:szCs w:val="20"/>
        </w:rPr>
        <w:t xml:space="preserve">Additional Documents — free-upload section for any supporting files, with a document type picklist and optional tags</w:t>
      </w:r>
    </w:p>
    <w:p>
      <w:pPr>
        <w:spacing w:after="80" w:before="0"/>
      </w:pPr>
      <w:r>
        <w:t xml:space="preserve"/>
      </w:r>
    </w:p>
    <w:p>
      <w:pPr>
        <w:spacing w:after="120" w:before="0"/>
      </w:pPr>
      <w:r>
        <w:rPr>
          <w:rFonts w:ascii="Arial" w:cs="Arial" w:eastAsia="Arial" w:hAnsi="Arial"/>
          <w:color w:val="1E293B"/>
          <w:sz w:val="20"/>
          <w:szCs w:val="20"/>
        </w:rPr>
        <w:t xml:space="preserve">Out of scope for this workflow document: the Admin-side configuration of monitoring metrics and thresholds (Workflow 3), the Data Ingestion pipeline (Workflow 4), Access Control Center (Workflow 5), Scheduler set-up (Workflow 6), Governance module (Workflow 7), and the Admin view of the Access Control queue where delete requests are actioned.</w:t>
      </w:r>
    </w:p>
    <w:p>
      <w:pPr>
        <w:pStyle w:val="Heading2"/>
        <w:spacing w:after="120" w:before="280"/>
      </w:pPr>
      <w:r>
        <w:rPr>
          <w:rFonts w:ascii="Arial" w:cs="Arial" w:eastAsia="Arial" w:hAnsi="Arial"/>
          <w:b/>
          <w:bCs/>
          <w:color w:val="1E3A8A"/>
          <w:sz w:val="26"/>
          <w:szCs w:val="26"/>
        </w:rPr>
        <w:t xml:space="preserve">1.3 Audience</w:t>
      </w:r>
    </w:p>
    <w:p>
      <w:pPr>
        <w:spacing w:after="120" w:before="0"/>
      </w:pPr>
      <w:r>
        <w:rPr>
          <w:rFonts w:ascii="Arial" w:cs="Arial" w:eastAsia="Arial" w:hAnsi="Arial"/>
          <w:color w:val="1E293B"/>
          <w:sz w:val="20"/>
          <w:szCs w:val="20"/>
        </w:rPr>
        <w:t xml:space="preserve">This document is intended for the following stakeholders:</w:t>
      </w:r>
    </w:p>
    <w:p>
      <w:pPr>
        <w:pStyle w:val="ListParagraph"/>
        <w:numPr>
          <w:ilvl w:val="0"/>
          <w:numId w:val="2"/>
        </w:numPr>
        <w:spacing w:after="60" w:before="0"/>
      </w:pPr>
      <w:r>
        <w:rPr>
          <w:rFonts w:ascii="Arial" w:cs="Arial" w:eastAsia="Arial" w:hAnsi="Arial"/>
          <w:color w:val="1E293B"/>
          <w:sz w:val="20"/>
          <w:szCs w:val="20"/>
        </w:rPr>
        <w:t xml:space="preserve">Development team (frontend and backend engineers)</w:t>
      </w:r>
    </w:p>
    <w:p>
      <w:pPr>
        <w:pStyle w:val="ListParagraph"/>
        <w:numPr>
          <w:ilvl w:val="0"/>
          <w:numId w:val="2"/>
        </w:numPr>
        <w:spacing w:after="60" w:before="0"/>
      </w:pPr>
      <w:r>
        <w:rPr>
          <w:rFonts w:ascii="Arial" w:cs="Arial" w:eastAsia="Arial" w:hAnsi="Arial"/>
          <w:color w:val="1E293B"/>
          <w:sz w:val="20"/>
          <w:szCs w:val="20"/>
        </w:rPr>
        <w:t xml:space="preserve">Solution architects and technical leads</w:t>
      </w:r>
    </w:p>
    <w:p>
      <w:pPr>
        <w:pStyle w:val="ListParagraph"/>
        <w:numPr>
          <w:ilvl w:val="0"/>
          <w:numId w:val="2"/>
        </w:numPr>
        <w:spacing w:after="60" w:before="0"/>
      </w:pPr>
      <w:r>
        <w:rPr>
          <w:rFonts w:ascii="Arial" w:cs="Arial" w:eastAsia="Arial" w:hAnsi="Arial"/>
          <w:color w:val="1E293B"/>
          <w:sz w:val="20"/>
          <w:szCs w:val="20"/>
        </w:rPr>
        <w:t xml:space="preserve">Information security and governance teams</w:t>
      </w:r>
    </w:p>
    <w:p>
      <w:pPr>
        <w:pStyle w:val="ListParagraph"/>
        <w:numPr>
          <w:ilvl w:val="0"/>
          <w:numId w:val="2"/>
        </w:numPr>
        <w:spacing w:after="60" w:before="0"/>
      </w:pPr>
      <w:r>
        <w:rPr>
          <w:rFonts w:ascii="Arial" w:cs="Arial" w:eastAsia="Arial" w:hAnsi="Arial"/>
          <w:color w:val="1E293B"/>
          <w:sz w:val="20"/>
          <w:szCs w:val="20"/>
        </w:rPr>
        <w:t xml:space="preserve">Quality assurance and test engineers</w:t>
      </w:r>
    </w:p>
    <w:p>
      <w:pPr>
        <w:pStyle w:val="ListParagraph"/>
        <w:numPr>
          <w:ilvl w:val="0"/>
          <w:numId w:val="2"/>
        </w:numPr>
        <w:spacing w:after="60" w:before="0"/>
      </w:pPr>
      <w:r>
        <w:rPr>
          <w:rFonts w:ascii="Arial" w:cs="Arial" w:eastAsia="Arial" w:hAnsi="Arial"/>
          <w:color w:val="1E293B"/>
          <w:sz w:val="20"/>
          <w:szCs w:val="20"/>
        </w:rPr>
        <w:t xml:space="preserve">Product owners and business stakeholders</w:t>
      </w:r>
    </w:p>
    <w:p>
      <w:pPr>
        <w:pStyle w:val="ListParagraph"/>
        <w:numPr>
          <w:ilvl w:val="0"/>
          <w:numId w:val="2"/>
        </w:numPr>
        <w:spacing w:after="60" w:before="0"/>
      </w:pPr>
      <w:r>
        <w:rPr>
          <w:rFonts w:ascii="Arial" w:cs="Arial" w:eastAsia="Arial" w:hAnsi="Arial"/>
          <w:color w:val="1E293B"/>
          <w:sz w:val="20"/>
          <w:szCs w:val="20"/>
        </w:rPr>
        <w:t xml:space="preserve">UX / UI designers and corporate brand custodians</w:t>
      </w:r>
    </w:p>
    <w:p>
      <w:pPr>
        <w:pStyle w:val="Heading2"/>
        <w:spacing w:after="120" w:before="280"/>
      </w:pPr>
      <w:r>
        <w:rPr>
          <w:rFonts w:ascii="Arial" w:cs="Arial" w:eastAsia="Arial" w:hAnsi="Arial"/>
          <w:b/>
          <w:bCs/>
          <w:color w:val="1E3A8A"/>
          <w:sz w:val="26"/>
          <w:szCs w:val="26"/>
        </w:rPr>
        <w:t xml:space="preserve">1.4 Document Conventions</w:t>
      </w:r>
    </w:p>
    <w:p>
      <w:pPr>
        <w:spacing w:after="120" w:before="0"/>
      </w:pPr>
      <w:r>
        <w:rPr>
          <w:rFonts w:ascii="Arial" w:cs="Arial" w:eastAsia="Arial" w:hAnsi="Arial"/>
          <w:color w:val="1E293B"/>
          <w:sz w:val="20"/>
          <w:szCs w:val="20"/>
        </w:rPr>
        <w:t xml:space="preserve">Requirement identifiers follow the pattern WF12-XXX-NNN, where XXX denotes the functional area (e.g., NAV for navigation, DASH for dashboard, COMP for component management, VER for versioning, DEL for delete/restoration, AUD for audit log, DOCS for additional documents, PRM for permissions). The keywords 'must', 'shall', and 'will' denote mandatory requirements; 'should' denotes recommended; 'may' denotes optional.</w:t>
      </w:r>
    </w:p>
    <w:p>
      <w:pPr>
        <w:spacing w:after="0" w:before="0"/>
      </w:pPr>
      <w:r>
        <w:br w:type="page"/>
      </w:r>
    </w:p>
    <w:p>
      <w:pPr>
        <w:pStyle w:val="Heading1"/>
        <w:pBdr>
          <w:bottom w:val="single" w:color="1E3A8A" w:sz="6" w:space="4"/>
        </w:pBdr>
        <w:spacing w:after="160" w:before="360"/>
      </w:pPr>
      <w:r>
        <w:rPr>
          <w:rFonts w:ascii="Arial" w:cs="Arial" w:eastAsia="Arial" w:hAnsi="Arial"/>
          <w:b/>
          <w:bCs/>
          <w:color w:val="1E3A8A"/>
          <w:sz w:val="32"/>
          <w:szCs w:val="32"/>
        </w:rPr>
        <w:t xml:space="preserve">2. Business Context</w:t>
      </w:r>
    </w:p>
    <w:p>
      <w:pPr>
        <w:pStyle w:val="Heading2"/>
        <w:spacing w:after="120" w:before="280"/>
      </w:pPr>
      <w:r>
        <w:rPr>
          <w:rFonts w:ascii="Arial" w:cs="Arial" w:eastAsia="Arial" w:hAnsi="Arial"/>
          <w:b/>
          <w:bCs/>
          <w:color w:val="1E3A8A"/>
          <w:sz w:val="26"/>
          <w:szCs w:val="26"/>
        </w:rPr>
        <w:t xml:space="preserve">2.1 Background</w:t>
      </w:r>
    </w:p>
    <w:p>
      <w:pPr>
        <w:spacing w:after="120" w:before="0"/>
      </w:pPr>
      <w:r>
        <w:rPr>
          <w:rFonts w:ascii="Arial" w:cs="Arial" w:eastAsia="Arial" w:hAnsi="Arial"/>
          <w:color w:val="1E293B"/>
          <w:sz w:val="20"/>
          <w:szCs w:val="20"/>
        </w:rPr>
        <w:t xml:space="preserve">The Model Monitoring Platform monitors a large and growing portfolio of machine learning and statistical models. Effective governance requires that all artefacts related to a model — its metadata, configuration, validation evidence, drift reports, RCA outputs, and supporting documents — are stored in a single, auditable, structured location. The Repository (Data Center) workflow provides this store, ensuring that any authorised User, Admin, or Viewer can locate and retrieve model artefacts through a consistent, navigable folder structure.</w:t>
      </w:r>
    </w:p>
    <w:p>
      <w:pPr>
        <w:spacing w:after="120" w:before="0"/>
      </w:pPr>
      <w:r>
        <w:rPr>
          <w:rFonts w:ascii="Arial" w:cs="Arial" w:eastAsia="Arial" w:hAnsi="Arial"/>
          <w:color w:val="1E293B"/>
          <w:sz w:val="20"/>
          <w:szCs w:val="20"/>
        </w:rPr>
        <w:t xml:space="preserve">Without a governed repository, model artefacts risk being scattered across shared drives, email threads, and local filesystems, making audit, regulatory review, and operational oversight impractical. The Repository centralises these artefacts and enforces version control, access scoping, and an immutable audit trail.</w:t>
      </w:r>
    </w:p>
    <w:p>
      <w:pPr>
        <w:pStyle w:val="Heading2"/>
        <w:spacing w:after="120" w:before="280"/>
      </w:pPr>
      <w:r>
        <w:rPr>
          <w:rFonts w:ascii="Arial" w:cs="Arial" w:eastAsia="Arial" w:hAnsi="Arial"/>
          <w:b/>
          <w:bCs/>
          <w:color w:val="1E3A8A"/>
          <w:sz w:val="26"/>
          <w:szCs w:val="26"/>
        </w:rPr>
        <w:t xml:space="preserve">2.2 Business Drivers</w:t>
      </w:r>
    </w:p>
    <w:p>
      <w:pPr>
        <w:pStyle w:val="ListParagraph"/>
        <w:numPr>
          <w:ilvl w:val="0"/>
          <w:numId w:val="2"/>
        </w:numPr>
        <w:spacing w:after="60" w:before="0"/>
      </w:pPr>
      <w:r>
        <w:rPr>
          <w:rFonts w:ascii="Arial" w:cs="Arial" w:eastAsia="Arial" w:hAnsi="Arial"/>
          <w:color w:val="1E293B"/>
          <w:sz w:val="20"/>
          <w:szCs w:val="20"/>
        </w:rPr>
        <w:t xml:space="preserve">Regulatory compliance — provide a single, tamper-evident store of model artefacts that satisfies internal model risk management and external regulatory review requirements</w:t>
      </w:r>
    </w:p>
    <w:p>
      <w:pPr>
        <w:pStyle w:val="ListParagraph"/>
        <w:numPr>
          <w:ilvl w:val="0"/>
          <w:numId w:val="2"/>
        </w:numPr>
        <w:spacing w:after="60" w:before="0"/>
      </w:pPr>
      <w:r>
        <w:rPr>
          <w:rFonts w:ascii="Arial" w:cs="Arial" w:eastAsia="Arial" w:hAnsi="Arial"/>
          <w:color w:val="1E293B"/>
          <w:sz w:val="20"/>
          <w:szCs w:val="20"/>
        </w:rPr>
        <w:t xml:space="preserve">Audit readiness — every upload, delete request, approval, and restore action is logged with user identity and timestamp</w:t>
      </w:r>
    </w:p>
    <w:p>
      <w:pPr>
        <w:pStyle w:val="ListParagraph"/>
        <w:numPr>
          <w:ilvl w:val="0"/>
          <w:numId w:val="2"/>
        </w:numPr>
        <w:spacing w:after="60" w:before="0"/>
      </w:pPr>
      <w:r>
        <w:rPr>
          <w:rFonts w:ascii="Arial" w:cs="Arial" w:eastAsia="Arial" w:hAnsi="Arial"/>
          <w:color w:val="1E293B"/>
          <w:sz w:val="20"/>
          <w:szCs w:val="20"/>
        </w:rPr>
        <w:t xml:space="preserve">Operational efficiency — Users navigate directly to any model's artefacts through a three-level folder structure, reducing search time</w:t>
      </w:r>
    </w:p>
    <w:p>
      <w:pPr>
        <w:pStyle w:val="ListParagraph"/>
        <w:numPr>
          <w:ilvl w:val="0"/>
          <w:numId w:val="2"/>
        </w:numPr>
        <w:spacing w:after="60" w:before="0"/>
      </w:pPr>
      <w:r>
        <w:rPr>
          <w:rFonts w:ascii="Arial" w:cs="Arial" w:eastAsia="Arial" w:hAnsi="Arial"/>
          <w:color w:val="1E293B"/>
          <w:sz w:val="20"/>
          <w:szCs w:val="20"/>
        </w:rPr>
        <w:t xml:space="preserve">Version integrity — all uploads are auto-versioned; prior versions are preserved and retrievable by Admin even after soft deletion</w:t>
      </w:r>
    </w:p>
    <w:p>
      <w:pPr>
        <w:pStyle w:val="ListParagraph"/>
        <w:numPr>
          <w:ilvl w:val="0"/>
          <w:numId w:val="2"/>
        </w:numPr>
        <w:spacing w:after="60" w:before="0"/>
      </w:pPr>
      <w:r>
        <w:rPr>
          <w:rFonts w:ascii="Arial" w:cs="Arial" w:eastAsia="Arial" w:hAnsi="Arial"/>
          <w:color w:val="1E293B"/>
          <w:sz w:val="20"/>
          <w:szCs w:val="20"/>
        </w:rPr>
        <w:t xml:space="preserve">Separation of duties — Users request deletions; Admins approve them; no unilateral destruction of governed artefacts by Users</w:t>
      </w:r>
    </w:p>
    <w:p>
      <w:pPr>
        <w:pStyle w:val="Heading2"/>
        <w:spacing w:after="120" w:before="280"/>
      </w:pPr>
      <w:r>
        <w:rPr>
          <w:rFonts w:ascii="Arial" w:cs="Arial" w:eastAsia="Arial" w:hAnsi="Arial"/>
          <w:b/>
          <w:bCs/>
          <w:color w:val="1E3A8A"/>
          <w:sz w:val="26"/>
          <w:szCs w:val="26"/>
        </w:rPr>
        <w:t xml:space="preserve">2.3 Roles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Role</w:t>
            </w:r>
          </w:p>
        </w:tc>
        <w:tc>
          <w:tcPr>
            <w:tcW w:type="dxa" w:w="24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Persona</w:t>
            </w:r>
          </w:p>
        </w:tc>
        <w:tc>
          <w:tcPr>
            <w:tcW w:type="dxa" w:w="556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Primary Capabilities in this Workflow</w:t>
            </w:r>
          </w:p>
        </w:tc>
      </w:tr>
      <w:tr>
        <w:trPr>
          <w:tblHeader w:val="false"/>
        </w:trP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Admin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Platform administrator, governance lead</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Full access to all repositories; direct soft delete; approve/reject delete requests; restore soft-deleted versions; view all audit log entries</w:t>
            </w:r>
          </w:p>
        </w:tc>
      </w:tr>
      <w:tr>
        <w:trPr>
          <w:tblHeader w:val="false"/>
        </w:trP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User</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Model owner, data scientist</w:t>
            </w:r>
          </w:p>
        </w:tc>
        <w:tc>
          <w:tcPr>
            <w:tcW w:type="dxa" w:w="5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View and upload to own-model repositories; raise delete requests; view own-model audit logs; upload additional documents</w:t>
            </w:r>
          </w:p>
        </w:tc>
      </w:tr>
      <w:tr>
        <w:trPr>
          <w:tblHeader w:val="false"/>
        </w:trP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Viewer</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Auditor, governance reviewer</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Read-only access to scoped repositories; view components and audit logs; no upload or delete actions</w:t>
            </w:r>
          </w:p>
        </w:tc>
      </w:tr>
    </w:tbl>
    <w:p>
      <w:pPr>
        <w:spacing w:after="80" w:before="0"/>
      </w:pPr>
      <w:r>
        <w:t xml:space="preserve"/>
      </w:r>
    </w:p>
    <w:p>
      <w:pPr>
        <w:pStyle w:val="Heading2"/>
        <w:spacing w:after="120" w:before="280"/>
      </w:pPr>
      <w:r>
        <w:rPr>
          <w:rFonts w:ascii="Arial" w:cs="Arial" w:eastAsia="Arial" w:hAnsi="Arial"/>
          <w:b/>
          <w:bCs/>
          <w:color w:val="1E3A8A"/>
          <w:sz w:val="26"/>
          <w:szCs w:val="26"/>
        </w:rPr>
        <w:t xml:space="preserve">2.4 Assumptions and Dependencies</w:t>
      </w:r>
    </w:p>
    <w:p>
      <w:pPr>
        <w:pStyle w:val="ListParagraph"/>
        <w:numPr>
          <w:ilvl w:val="0"/>
          <w:numId w:val="2"/>
        </w:numPr>
        <w:spacing w:after="60" w:before="0"/>
      </w:pPr>
      <w:r>
        <w:rPr>
          <w:rFonts w:ascii="Arial" w:cs="Arial" w:eastAsia="Arial" w:hAnsi="Arial"/>
          <w:color w:val="1E293B"/>
          <w:sz w:val="20"/>
          <w:szCs w:val="20"/>
        </w:rPr>
        <w:t xml:space="preserve">Model metadata fields (Domain, Modelling Technique, Model ID, Model Name, Owner) are captured at registration in Workflow 2 and drive the folder hierarchy</w:t>
      </w:r>
    </w:p>
    <w:p>
      <w:pPr>
        <w:pStyle w:val="ListParagraph"/>
        <w:numPr>
          <w:ilvl w:val="0"/>
          <w:numId w:val="2"/>
        </w:numPr>
        <w:spacing w:after="60" w:before="0"/>
      </w:pPr>
      <w:r>
        <w:rPr>
          <w:rFonts w:ascii="Arial" w:cs="Arial" w:eastAsia="Arial" w:hAnsi="Arial"/>
          <w:color w:val="1E293B"/>
          <w:sz w:val="20"/>
          <w:szCs w:val="20"/>
        </w:rPr>
        <w:t xml:space="preserve">Agent-generated components (Drift reports, RCA, Validation Report) are deposited to the Repository by the three monitoring agents on each scheduled or on-demand run</w:t>
      </w:r>
    </w:p>
    <w:p>
      <w:pPr>
        <w:pStyle w:val="ListParagraph"/>
        <w:numPr>
          <w:ilvl w:val="0"/>
          <w:numId w:val="2"/>
        </w:numPr>
        <w:spacing w:after="60" w:before="0"/>
      </w:pPr>
      <w:r>
        <w:rPr>
          <w:rFonts w:ascii="Arial" w:cs="Arial" w:eastAsia="Arial" w:hAnsi="Arial"/>
          <w:color w:val="1E293B"/>
          <w:sz w:val="20"/>
          <w:szCs w:val="20"/>
        </w:rPr>
        <w:t xml:space="preserve">The platform email service (assumed available, per Foundational BRD) is used for delete request notifications</w:t>
      </w:r>
    </w:p>
    <w:p>
      <w:pPr>
        <w:pStyle w:val="ListParagraph"/>
        <w:numPr>
          <w:ilvl w:val="0"/>
          <w:numId w:val="2"/>
        </w:numPr>
        <w:spacing w:after="60" w:before="0"/>
      </w:pPr>
      <w:r>
        <w:rPr>
          <w:rFonts w:ascii="Arial" w:cs="Arial" w:eastAsia="Arial" w:hAnsi="Arial"/>
          <w:color w:val="1E293B"/>
          <w:sz w:val="20"/>
          <w:szCs w:val="20"/>
        </w:rPr>
        <w:t xml:space="preserve">The Audit Log feeds the Governance module (Workflow 7) and satisfies the 7-year retention requirement per the Foundational BRD</w:t>
      </w:r>
    </w:p>
    <w:p>
      <w:pPr>
        <w:pStyle w:val="ListParagraph"/>
        <w:numPr>
          <w:ilvl w:val="0"/>
          <w:numId w:val="2"/>
        </w:numPr>
        <w:spacing w:after="60" w:before="0"/>
      </w:pPr>
      <w:r>
        <w:rPr>
          <w:rFonts w:ascii="Arial" w:cs="Arial" w:eastAsia="Arial" w:hAnsi="Arial"/>
          <w:color w:val="1E293B"/>
          <w:sz w:val="20"/>
          <w:szCs w:val="20"/>
        </w:rPr>
        <w:t xml:space="preserve">Access scoping (which models a User can see) is governed by the Access Control Center (Workflow 5) and is applied transparently in the Repository — Users only see repositories for models within their access scope</w:t>
      </w:r>
    </w:p>
    <w:p>
      <w:pPr>
        <w:spacing w:after="0" w:before="0"/>
      </w:pPr>
      <w:r>
        <w:br w:type="page"/>
      </w:r>
    </w:p>
    <w:p>
      <w:pPr>
        <w:pStyle w:val="Heading1"/>
        <w:pBdr>
          <w:bottom w:val="single" w:color="1E3A8A" w:sz="6" w:space="4"/>
        </w:pBdr>
        <w:spacing w:after="160" w:before="360"/>
      </w:pPr>
      <w:r>
        <w:rPr>
          <w:rFonts w:ascii="Arial" w:cs="Arial" w:eastAsia="Arial" w:hAnsi="Arial"/>
          <w:b/>
          <w:bCs/>
          <w:color w:val="1E3A8A"/>
          <w:sz w:val="32"/>
          <w:szCs w:val="32"/>
        </w:rPr>
        <w:t xml:space="preserve">3. Workflow Overview</w:t>
      </w:r>
    </w:p>
    <w:p>
      <w:pPr>
        <w:pStyle w:val="Heading2"/>
        <w:spacing w:after="120" w:before="280"/>
      </w:pPr>
      <w:r>
        <w:rPr>
          <w:rFonts w:ascii="Arial" w:cs="Arial" w:eastAsia="Arial" w:hAnsi="Arial"/>
          <w:b/>
          <w:bCs/>
          <w:color w:val="1E3A8A"/>
          <w:sz w:val="26"/>
          <w:szCs w:val="26"/>
        </w:rPr>
        <w:t xml:space="preserve">3.1 High-Level User Journey</w:t>
      </w:r>
    </w:p>
    <w:p>
      <w:pPr>
        <w:spacing w:after="120" w:before="0"/>
      </w:pPr>
      <w:r>
        <w:rPr>
          <w:rFonts w:ascii="Arial" w:cs="Arial" w:eastAsia="Arial" w:hAnsi="Arial"/>
          <w:color w:val="1E293B"/>
          <w:sz w:val="20"/>
          <w:szCs w:val="20"/>
        </w:rPr>
        <w:t xml:space="preserve">The Repository workflow follows the journey below from a User landing on the Repository tile to accessing and managing individual model artefacts.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6960"/>
      </w:tblGrid>
      <w:tr>
        <w:trPr>
          <w:tblHeader/>
        </w:trPr>
        <w:tc>
          <w:tcPr>
            <w:tcW w:type="dxa" w:w="4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w:t>
            </w:r>
          </w:p>
        </w:tc>
        <w:tc>
          <w:tcPr>
            <w:tcW w:type="dxa" w:w="20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Step</w:t>
            </w:r>
          </w:p>
        </w:tc>
        <w:tc>
          <w:tcPr>
            <w:tcW w:type="dxa" w:w="696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Description</w:t>
            </w:r>
          </w:p>
        </w:tc>
      </w:tr>
      <w:tr>
        <w:trPr>
          <w:tblHeader w:val="false"/>
        </w:trP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1</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Land on Repository</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User clicks the Repository tile from the User homepage and arrives at the Domain List (S01)</w:t>
            </w:r>
          </w:p>
        </w:tc>
      </w:tr>
      <w:tr>
        <w:trPr>
          <w:tblHeader w:val="false"/>
        </w:trPr>
        <w:tc>
          <w:tcPr>
            <w:tcW w:type="dxa" w:w="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2</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Navigate to Domain</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User selects a Domain card, drilling to the Modelling Technique List (S02)</w:t>
            </w:r>
          </w:p>
        </w:tc>
      </w:tr>
      <w:tr>
        <w:trPr>
          <w:tblHeader w:val="false"/>
        </w:trP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3</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Navigate to Technique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User selects a Modelling Technique card, drilling to the Model List (S03)</w:t>
            </w:r>
          </w:p>
        </w:tc>
      </w:tr>
      <w:tr>
        <w:trPr>
          <w:tblHeader w:val="false"/>
        </w:trPr>
        <w:tc>
          <w:tcPr>
            <w:tcW w:type="dxa" w:w="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4</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Select Model</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User clicks 'Open Repository' on a model row, landing on the Model Repository Dashboard (S04)</w:t>
            </w:r>
          </w:p>
        </w:tc>
      </w:tr>
      <w:tr>
        <w:trPr>
          <w:tblHeader w:val="false"/>
        </w:trP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5</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Browse Components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User sees all thirteen component slots in a grouped table — Core Artefacts, Validation Artefacts, Governance &amp; Support</w:t>
            </w:r>
          </w:p>
        </w:tc>
      </w:tr>
      <w:tr>
        <w:trPr>
          <w:tblHeader w:val="false"/>
        </w:trPr>
        <w:tc>
          <w:tcPr>
            <w:tcW w:type="dxa" w:w="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6</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View Component</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User clicks 'View' on any uploaded component, opening the component viewer (S05–S11) with version sidebar and document content</w:t>
            </w:r>
          </w:p>
        </w:tc>
      </w:tr>
      <w:tr>
        <w:trPr>
          <w:tblHeader w:val="false"/>
        </w:trP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7</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Upload New Version</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For User Upload components, User clicks 'Upload New Version', selects a file, and submits. Version is auto-incremented</w:t>
            </w:r>
          </w:p>
        </w:tc>
      </w:tr>
      <w:tr>
        <w:trPr>
          <w:tblHeader w:val="false"/>
        </w:trPr>
        <w:tc>
          <w:tcPr>
            <w:tcW w:type="dxa" w:w="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8</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Request Delete</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User clicks 'Request Delete' on a component version. Modal (S14) requires a mandatory reason. Request is routed to Admin</w:t>
            </w:r>
          </w:p>
        </w:tc>
      </w:tr>
      <w:tr>
        <w:trPr>
          <w:tblHeader w:val="false"/>
        </w:trP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9</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Admin Reviews Request</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Admin sees the pending request in the Repository or Access Control Center, reviews, and approves (soft delete) or rejects</w:t>
            </w:r>
          </w:p>
        </w:tc>
      </w:tr>
      <w:tr>
        <w:trPr>
          <w:tblHeader w:val="false"/>
        </w:trPr>
        <w:tc>
          <w:tcPr>
            <w:tcW w:type="dxa" w:w="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10</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View Audit Log</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User navigates to the Audit Log component (S12) to see a full timestamped history of all actions on the repository</w:t>
            </w:r>
          </w:p>
        </w:tc>
      </w:tr>
      <w:tr>
        <w:trPr>
          <w:tblHeader w:val="false"/>
        </w:trP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11</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Upload Additional Docs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User navigates to Additional Documents (S13) and uploads free-form supporting files</w:t>
            </w:r>
          </w:p>
        </w:tc>
      </w:tr>
    </w:tbl>
    <w:p>
      <w:pPr>
        <w:spacing w:after="160" w:before="0"/>
      </w:pPr>
      <w:r>
        <w:t xml:space="preserve"/>
      </w:r>
    </w:p>
    <w:p>
      <w:pPr>
        <w:pStyle w:val="Heading2"/>
        <w:spacing w:after="120" w:before="280"/>
      </w:pPr>
      <w:r>
        <w:rPr>
          <w:rFonts w:ascii="Arial" w:cs="Arial" w:eastAsia="Arial" w:hAnsi="Arial"/>
          <w:b/>
          <w:bCs/>
          <w:color w:val="1E3A8A"/>
          <w:sz w:val="26"/>
          <w:szCs w:val="26"/>
        </w:rPr>
        <w:t xml:space="preserve">3.2 Screens in Scope</w:t>
      </w:r>
    </w:p>
    <w:p>
      <w:pPr>
        <w:spacing w:after="120" w:before="0"/>
      </w:pPr>
      <w:r>
        <w:rPr>
          <w:rFonts w:ascii="Arial" w:cs="Arial" w:eastAsia="Arial" w:hAnsi="Arial"/>
          <w:color w:val="1E293B"/>
          <w:sz w:val="20"/>
          <w:szCs w:val="20"/>
        </w:rPr>
        <w:t xml:space="preserve">The workflow comprises the following fourteen screens, each detailed in Section 4:</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5960"/>
      </w:tblGrid>
      <w:tr>
        <w:trPr>
          <w:tblHeader/>
        </w:trPr>
        <w:tc>
          <w:tcPr>
            <w:tcW w:type="dxa" w:w="10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Screen ID</w:t>
            </w:r>
          </w:p>
        </w:tc>
        <w:tc>
          <w:tcPr>
            <w:tcW w:type="dxa" w:w="24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Screen Name</w:t>
            </w:r>
          </w:p>
        </w:tc>
        <w:tc>
          <w:tcPr>
            <w:tcW w:type="dxa" w:w="596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Description</w:t>
            </w:r>
          </w:p>
        </w:tc>
      </w:tr>
      <w:tr>
        <w:trPr>
          <w:tblHeader w:val="false"/>
        </w:trP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S01</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Domain List</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Entry point — tile grid of Domains accessible to the User</w:t>
            </w:r>
          </w:p>
        </w:tc>
      </w:tr>
      <w:tr>
        <w:trPr>
          <w:tblHeader w:val="false"/>
        </w:trPr>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S02</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Modelling Technique List</w:t>
            </w:r>
          </w:p>
        </w:tc>
        <w:tc>
          <w:tcPr>
            <w:tcW w:type="dxa" w:w="5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Domain expanded — cards listing all Modelling Techniques within the selected Domain</w:t>
            </w:r>
          </w:p>
        </w:tc>
      </w:tr>
      <w:tr>
        <w:trPr>
          <w:tblHeader w:val="false"/>
        </w:trP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S03</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Model List</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Technique expanded — table of all models with upload progress and Open Repository action</w:t>
            </w:r>
          </w:p>
        </w:tc>
      </w:tr>
      <w:tr>
        <w:trPr>
          <w:tblHeader w:val="false"/>
        </w:trPr>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S04</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Model Repository Dashboard</w:t>
            </w:r>
          </w:p>
        </w:tc>
        <w:tc>
          <w:tcPr>
            <w:tcW w:type="dxa" w:w="5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Per-model hub showing all 13 component slots in a grouped table layout</w:t>
            </w:r>
          </w:p>
        </w:tc>
      </w:tr>
      <w:tr>
        <w:trPr>
          <w:tblHeader w:val="false"/>
        </w:trP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S05</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Model Metadata</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Component 1 — key-value metadata viewer with version sidebar</w:t>
            </w:r>
          </w:p>
        </w:tc>
      </w:tr>
      <w:tr>
        <w:trPr>
          <w:tblHeader w:val="false"/>
        </w:trPr>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S06</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KPI Configuration</w:t>
            </w:r>
          </w:p>
        </w:tc>
        <w:tc>
          <w:tcPr>
            <w:tcW w:type="dxa" w:w="5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Component 2 — read-only KPI Pack snapshot viewer</w:t>
            </w:r>
          </w:p>
        </w:tc>
      </w:tr>
      <w:tr>
        <w:trPr>
          <w:tblHeader w:val="false"/>
        </w:trP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S07</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Reference — Data Insights Numbers</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Component 3 — reference statistics table / file viewer</w:t>
            </w:r>
          </w:p>
        </w:tc>
      </w:tr>
      <w:tr>
        <w:trPr>
          <w:tblHeader w:val="false"/>
        </w:trPr>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S08</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Validation — Sample Analysis</w:t>
            </w:r>
          </w:p>
        </w:tc>
        <w:tc>
          <w:tcPr>
            <w:tcW w:type="dxa" w:w="5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Component 4 — OOT/OOS sample analysis report viewer</w:t>
            </w:r>
          </w:p>
        </w:tc>
      </w:tr>
      <w:tr>
        <w:trPr>
          <w:tblHeader w:val="false"/>
        </w:trP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S09</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Validation — Drift Reports</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Components 5, 6, 7 — three independently versioned drift reports on a tabbed screen (Data Drift / Concept Drift / Performance Drift)</w:t>
            </w:r>
          </w:p>
        </w:tc>
      </w:tr>
      <w:tr>
        <w:trPr>
          <w:tblHeader w:val="false"/>
        </w:trPr>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S10</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Validation — RCA</w:t>
            </w:r>
          </w:p>
        </w:tc>
        <w:tc>
          <w:tcPr>
            <w:tcW w:type="dxa" w:w="5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Component 8 — structured RCA report viewer</w:t>
            </w:r>
          </w:p>
        </w:tc>
      </w:tr>
      <w:tr>
        <w:trPr>
          <w:tblHeader w:val="false"/>
        </w:trP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S11</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Validation — Final Report</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Component 9 — consolidated validation report viewer; shows empty state if agent has not yet run</w:t>
            </w:r>
          </w:p>
        </w:tc>
      </w:tr>
      <w:tr>
        <w:trPr>
          <w:tblHeader w:val="false"/>
        </w:trPr>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S12</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Audit Log</w:t>
            </w:r>
          </w:p>
        </w:tc>
        <w:tc>
          <w:tcPr>
            <w:tcW w:type="dxa" w:w="5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Component 10 — immutable, filterable action log; no delete controls</w:t>
            </w:r>
          </w:p>
        </w:tc>
      </w:tr>
      <w:tr>
        <w:trPr>
          <w:tblHeader w:val="false"/>
        </w:trP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S13</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Additional Documents</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Component 11 — free-upload document library with upload drawer</w:t>
            </w:r>
          </w:p>
        </w:tc>
      </w:tr>
      <w:tr>
        <w:trPr>
          <w:tblHeader w:val="false"/>
        </w:trPr>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S14</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Delete Request Modal</w:t>
            </w:r>
          </w:p>
        </w:tc>
        <w:tc>
          <w:tcPr>
            <w:tcW w:type="dxa" w:w="5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Reusable overlay with two states: User request submission and Admin review/approval</w:t>
            </w:r>
          </w:p>
        </w:tc>
      </w:tr>
    </w:tbl>
    <w:p>
      <w:pPr>
        <w:spacing w:after="0" w:before="0"/>
      </w:pPr>
      <w:r>
        <w:br w:type="page"/>
      </w:r>
    </w:p>
    <w:p>
      <w:pPr>
        <w:pStyle w:val="Heading1"/>
        <w:pBdr>
          <w:bottom w:val="single" w:color="1E3A8A" w:sz="6" w:space="4"/>
        </w:pBdr>
        <w:spacing w:after="160" w:before="360"/>
      </w:pPr>
      <w:r>
        <w:rPr>
          <w:rFonts w:ascii="Arial" w:cs="Arial" w:eastAsia="Arial" w:hAnsi="Arial"/>
          <w:b/>
          <w:bCs/>
          <w:color w:val="1E3A8A"/>
          <w:sz w:val="32"/>
          <w:szCs w:val="32"/>
        </w:rPr>
        <w:t xml:space="preserve">4. Functional Requirements</w:t>
      </w:r>
    </w:p>
    <w:p>
      <w:pPr>
        <w:pStyle w:val="Heading2"/>
        <w:spacing w:after="120" w:before="280"/>
      </w:pPr>
      <w:r>
        <w:rPr>
          <w:rFonts w:ascii="Arial" w:cs="Arial" w:eastAsia="Arial" w:hAnsi="Arial"/>
          <w:b/>
          <w:bCs/>
          <w:color w:val="1E3A8A"/>
          <w:sz w:val="26"/>
          <w:szCs w:val="26"/>
        </w:rPr>
        <w:t xml:space="preserve">4.1 Domain List View (S01)</w:t>
      </w:r>
    </w:p>
    <w:p>
      <w:pPr>
        <w:spacing w:after="120" w:before="0"/>
      </w:pPr>
      <w:r>
        <w:rPr>
          <w:rFonts w:ascii="Arial" w:cs="Arial" w:eastAsia="Arial" w:hAnsi="Arial"/>
          <w:color w:val="1E293B"/>
          <w:sz w:val="20"/>
          <w:szCs w:val="20"/>
        </w:rPr>
        <w:t xml:space="preserve">The Domain List is the entry point after clicking the Repository tile. It presents a card grid of all Domains for which the User has at least one accessible model.</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720"/>
        <w:gridCol w:w="1200"/>
      </w:tblGrid>
      <w:tr>
        <w:trPr>
          <w:tblHeader/>
        </w:trPr>
        <w:tc>
          <w:tcPr>
            <w:tcW w:type="dxa" w:w="144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Req ID</w:t>
            </w:r>
          </w:p>
        </w:tc>
        <w:tc>
          <w:tcPr>
            <w:tcW w:type="dxa" w:w="672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Requirement</w:t>
            </w:r>
          </w:p>
        </w:tc>
        <w:tc>
          <w:tcPr>
            <w:tcW w:type="dxa" w:w="12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18"/>
                <w:szCs w:val="18"/>
              </w:rPr>
              <w:t xml:space="preserve">Priority</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WF12-NAV-001</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Domain List shall display one card per distinct Domain derived from the model inventory, limited to Domains containing models within the User's access scope.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WF12-NAV-002</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Each Domain card shall display: Domain name, count of Modelling Techniques, count of accessible Models, and last updated timestamp.</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WF12-NAV-003</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Clicking a Domain card shall navigate to the Modelling Technique List (S02) filtered to that Domain.</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WF12-NAV-004</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Domain List shall provide a global search field filtering cards by Domain name, model name, or Model ID.</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WF12-NAV-005</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If the User has no accessible models, an empty state message shall be displayed explaining that no repositories are in scope and directing the User to raise an access request via Model Inventory.</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WF12-NAV-006</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Domain cards shall be auto-populated from the model inventory; no manual Domain management is available in this workflow.</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bl>
    <w:p>
      <w:pPr>
        <w:spacing w:after="160" w:before="0"/>
      </w:pPr>
      <w:r>
        <w:t xml:space="preserve"/>
      </w:r>
    </w:p>
    <w:p>
      <w:pPr>
        <w:pStyle w:val="Heading2"/>
        <w:spacing w:after="120" w:before="280"/>
      </w:pPr>
      <w:r>
        <w:rPr>
          <w:rFonts w:ascii="Arial" w:cs="Arial" w:eastAsia="Arial" w:hAnsi="Arial"/>
          <w:b/>
          <w:bCs/>
          <w:color w:val="1E3A8A"/>
          <w:sz w:val="26"/>
          <w:szCs w:val="26"/>
        </w:rPr>
        <w:t xml:space="preserve">4.2 Modelling Technique List (S02)</w:t>
      </w:r>
    </w:p>
    <w:p>
      <w:pPr>
        <w:spacing w:after="120" w:before="0"/>
      </w:pPr>
      <w:r>
        <w:rPr>
          <w:rFonts w:ascii="Arial" w:cs="Arial" w:eastAsia="Arial" w:hAnsi="Arial"/>
          <w:color w:val="1E293B"/>
          <w:sz w:val="20"/>
          <w:szCs w:val="20"/>
        </w:rPr>
        <w:t xml:space="preserve">Presents all Modelling Techniques under the selected Domain, with counts of models and last activity.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720"/>
        <w:gridCol w:w="1200"/>
      </w:tblGrid>
      <w:tr>
        <w:trPr>
          <w:tblHeader/>
        </w:trPr>
        <w:tc>
          <w:tcPr>
            <w:tcW w:type="dxa" w:w="144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Req ID</w:t>
            </w:r>
          </w:p>
        </w:tc>
        <w:tc>
          <w:tcPr>
            <w:tcW w:type="dxa" w:w="672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Requirement</w:t>
            </w:r>
          </w:p>
        </w:tc>
        <w:tc>
          <w:tcPr>
            <w:tcW w:type="dxa" w:w="12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18"/>
                <w:szCs w:val="18"/>
              </w:rPr>
              <w:t xml:space="preserve">Priority</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WF12-NAV-010</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Modelling Technique List shall display one card per distinct Modelling Technique within the selected Domain, scoped to the User's accessible models.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WF12-NAV-011</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Each Technique card shall display: Technique name, model count, last activity date, and the number of KPI Packs associated.</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WF12-NAV-012</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Clicking a Technique card shall navigate to the Model List (S03) filtered to that Domain and Technique.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WF12-NAV-013</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A breadcrumb trail (Repository › Domain) shall be rendered above the page title and shall be navigable.</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WF12-NAV-014</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A Back button shall return the User to the Domain List (S01) without losing the current Domain context.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475569"/>
                <w:sz w:val="18"/>
                <w:szCs w:val="18"/>
              </w:rPr>
              <w:t xml:space="preserve">Should</w:t>
            </w:r>
          </w:p>
        </w:tc>
      </w:tr>
    </w:tbl>
    <w:p>
      <w:pPr>
        <w:spacing w:after="160" w:before="0"/>
      </w:pPr>
      <w:r>
        <w:t xml:space="preserve"/>
      </w:r>
    </w:p>
    <w:p>
      <w:pPr>
        <w:pStyle w:val="Heading2"/>
        <w:spacing w:after="120" w:before="280"/>
      </w:pPr>
      <w:r>
        <w:rPr>
          <w:rFonts w:ascii="Arial" w:cs="Arial" w:eastAsia="Arial" w:hAnsi="Arial"/>
          <w:b/>
          <w:bCs/>
          <w:color w:val="1E3A8A"/>
          <w:sz w:val="26"/>
          <w:szCs w:val="26"/>
        </w:rPr>
        <w:t xml:space="preserve">4.3 Model List (S03)</w:t>
      </w:r>
    </w:p>
    <w:p>
      <w:pPr>
        <w:spacing w:after="120" w:before="0"/>
      </w:pPr>
      <w:r>
        <w:rPr>
          <w:rFonts w:ascii="Arial" w:cs="Arial" w:eastAsia="Arial" w:hAnsi="Arial"/>
          <w:color w:val="1E293B"/>
          <w:sz w:val="20"/>
          <w:szCs w:val="20"/>
        </w:rPr>
        <w:t xml:space="preserve">Lists all models within the selected Modelling Technique in a sortable, searchable table with a repository completeness indicator.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720"/>
        <w:gridCol w:w="1200"/>
      </w:tblGrid>
      <w:tr>
        <w:trPr>
          <w:tblHeader/>
        </w:trPr>
        <w:tc>
          <w:tcPr>
            <w:tcW w:type="dxa" w:w="144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Req ID</w:t>
            </w:r>
          </w:p>
        </w:tc>
        <w:tc>
          <w:tcPr>
            <w:tcW w:type="dxa" w:w="672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Requirement</w:t>
            </w:r>
          </w:p>
        </w:tc>
        <w:tc>
          <w:tcPr>
            <w:tcW w:type="dxa" w:w="12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18"/>
                <w:szCs w:val="18"/>
              </w:rPr>
              <w:t xml:space="preserve">Priority</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WF12-NAV-020</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Model List shall display the following columns: Model ID, Model Name, Owner, Registration Date, Last Updated, Status, Upload Progress, and Actions.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WF12-NAV-021</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The Upload Progress column shall display a progress bar and a fraction (e.g., 9/11) indicating how many of the thirteen component slots have at least one non-deleted version uploaded. Agent-generated slots that have not yet been populated by an agent run shall count as not uploaded.</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WF12-NAV-022</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Actions column shall contain an 'Open Repository' button navigating to the Model Repository Dashboard (S04) for that model.</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WF12-NAV-023</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list shall support: global text search (Model ID, Model Name), status filter (Active / Archived), owner filter, and sort by Name, Model ID, or Last Updated.</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WF12-NAV-024</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Pagination shall default to 25 rows per page with options for 10, 25, 50, and 100.</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WF12-NAV-025</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breadcrumb (Repository › Domain › Technique) shall be rendered and navigable.</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bl>
    <w:p>
      <w:pPr>
        <w:spacing w:after="160" w:before="0"/>
      </w:pPr>
      <w:r>
        <w:t xml:space="preserve"/>
      </w:r>
    </w:p>
    <w:p>
      <w:pPr>
        <w:pStyle w:val="Heading2"/>
        <w:spacing w:after="120" w:before="280"/>
      </w:pPr>
      <w:r>
        <w:rPr>
          <w:rFonts w:ascii="Arial" w:cs="Arial" w:eastAsia="Arial" w:hAnsi="Arial"/>
          <w:b/>
          <w:bCs/>
          <w:color w:val="1E3A8A"/>
          <w:sz w:val="26"/>
          <w:szCs w:val="26"/>
        </w:rPr>
        <w:t xml:space="preserve">4.4 Model Repository Dashboard (S04)</w:t>
      </w:r>
    </w:p>
    <w:p>
      <w:pPr>
        <w:spacing w:after="120" w:before="0"/>
      </w:pPr>
      <w:r>
        <w:rPr>
          <w:rFonts w:ascii="Arial" w:cs="Arial" w:eastAsia="Arial" w:hAnsi="Arial"/>
          <w:color w:val="1E293B"/>
          <w:sz w:val="20"/>
          <w:szCs w:val="20"/>
        </w:rPr>
        <w:t>The central hub for a single model's repository. Presents all thirteen component slots in a structured table layout grouped into three sections: Core Model Artefacts, Validation Artefacts, and Governance &amp; Support.</w:t>
      </w:r>
    </w:p>
    <w:p>
      <w:pPr>
        <w:pStyle w:val="Heading3"/>
        <w:spacing w:after="80" w:before="200"/>
      </w:pPr>
      <w:r>
        <w:rPr>
          <w:rFonts w:ascii="Arial" w:cs="Arial" w:eastAsia="Arial" w:hAnsi="Arial"/>
          <w:b/>
          <w:bCs/>
          <w:color w:val="1E293B"/>
          <w:sz w:val="22"/>
          <w:szCs w:val="22"/>
        </w:rPr>
        <w:t xml:space="preserve">4.4.1 Model Summary Banner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720"/>
        <w:gridCol w:w="1200"/>
      </w:tblGrid>
      <w:tr>
        <w:trPr>
          <w:tblHeader/>
        </w:trPr>
        <w:tc>
          <w:tcPr>
            <w:tcW w:type="dxa" w:w="144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Req ID</w:t>
            </w:r>
          </w:p>
        </w:tc>
        <w:tc>
          <w:tcPr>
            <w:tcW w:type="dxa" w:w="672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Requirement</w:t>
            </w:r>
          </w:p>
        </w:tc>
        <w:tc>
          <w:tcPr>
            <w:tcW w:type="dxa" w:w="12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18"/>
                <w:szCs w:val="18"/>
              </w:rPr>
              <w:t xml:space="preserve">Priority</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WF12-DASH-001</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A model summary banner shall be displayed at the top of the dashboard, showing: Model ID, Model Name, Domain, Modelling Technique, Owner, Registration Date, and Status pill.</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WF12-DASH-002</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An 'Export All' button shall be available in the summary banner, triggering a download of all currently-uploaded component files as a ZIP archive.</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475569"/>
                <w:sz w:val="18"/>
                <w:szCs w:val="18"/>
              </w:rPr>
              <w:t xml:space="preserve">Should</w:t>
            </w:r>
          </w:p>
        </w:tc>
      </w:tr>
    </w:tbl>
    <w:p>
      <w:pPr>
        <w:spacing w:after="120" w:before="0"/>
      </w:pPr>
      <w:r>
        <w:t xml:space="preserve"/>
      </w:r>
    </w:p>
    <w:p>
      <w:pPr>
        <w:pStyle w:val="Heading3"/>
        <w:spacing w:after="80" w:before="200"/>
      </w:pPr>
      <w:r>
        <w:rPr>
          <w:rFonts w:ascii="Arial" w:cs="Arial" w:eastAsia="Arial" w:hAnsi="Arial"/>
          <w:b/>
          <w:bCs/>
          <w:color w:val="1E293B"/>
          <w:sz w:val="22"/>
          <w:szCs w:val="22"/>
        </w:rPr>
        <w:t xml:space="preserve">4.4.2 Repository Completeness Indicator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720"/>
        <w:gridCol w:w="1200"/>
      </w:tblGrid>
      <w:tr>
        <w:trPr>
          <w:tblHeader/>
        </w:trPr>
        <w:tc>
          <w:tcPr>
            <w:tcW w:type="dxa" w:w="144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Req ID</w:t>
            </w:r>
          </w:p>
        </w:tc>
        <w:tc>
          <w:tcPr>
            <w:tcW w:type="dxa" w:w="672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Requirement</w:t>
            </w:r>
          </w:p>
        </w:tc>
        <w:tc>
          <w:tcPr>
            <w:tcW w:type="dxa" w:w="12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18"/>
                <w:szCs w:val="18"/>
              </w:rPr>
              <w:t xml:space="preserve">Priority</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WF12-DASH-010</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A completeness bar shall be displayed between the summary banner and the component table, showing: a labelled progress bar, the fraction of uploaded slots (e.g., 9 of 11), and a count of pending-upload slots.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WF12-DASH-011</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completeness fraction shall count only slots with at least one current (non-deleted) version. Agent-generated slots that have not yet received output from an agent run shall count as not uploaded.</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bl>
    <w:p>
      <w:pPr>
        <w:spacing w:after="120" w:before="0"/>
      </w:pPr>
      <w:r>
        <w:t xml:space="preserve"/>
      </w:r>
    </w:p>
    <w:p>
      <w:pPr>
        <w:pStyle w:val="Heading3"/>
        <w:spacing w:after="80" w:before="200"/>
      </w:pPr>
      <w:r>
        <w:rPr>
          <w:rFonts w:ascii="Arial" w:cs="Arial" w:eastAsia="Arial" w:hAnsi="Arial"/>
          <w:b/>
          <w:bCs/>
          <w:color w:val="1E293B"/>
          <w:sz w:val="22"/>
          <w:szCs w:val="22"/>
        </w:rPr>
        <w:t xml:space="preserve">4.4.3 Component Table Layout</w:t>
      </w:r>
    </w:p>
    <w:p>
      <w:pPr>
        <w:spacing w:after="120" w:before="0"/>
      </w:pPr>
      <w:r>
        <w:rPr>
          <w:rFonts w:ascii="Arial" w:cs="Arial" w:eastAsia="Arial" w:hAnsi="Arial"/>
          <w:color w:val="1E293B"/>
          <w:sz w:val="20"/>
          <w:szCs w:val="20"/>
        </w:rPr>
        <w:t>The component table replaces a card-grid design to prevent visual overwhelm at thirteen items. It uses a structured table with group header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720"/>
        <w:gridCol w:w="1200"/>
      </w:tblGrid>
      <w:tr>
        <w:trPr>
          <w:tblHeader/>
        </w:trPr>
        <w:tc>
          <w:tcPr>
            <w:tcW w:type="dxa" w:w="144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Req ID</w:t>
            </w:r>
          </w:p>
        </w:tc>
        <w:tc>
          <w:tcPr>
            <w:tcW w:type="dxa" w:w="672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Requirement</w:t>
            </w:r>
          </w:p>
        </w:tc>
        <w:tc>
          <w:tcPr>
            <w:tcW w:type="dxa" w:w="12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18"/>
                <w:szCs w:val="18"/>
              </w:rPr>
              <w:t xml:space="preserve">Priority</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WF12-DASH-020</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component table shall contain the following columns: Component (icon + name), Source, Status, Latest Version, and Actions.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WF12-DASH-021</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Components shall be grouped by three visual section rows: (1) Core Model Artefacts — components 1, 2, 3; (2) Validation Artefacts — components 4, 5, 6, 7, 8, 9; (3) Governance &amp; Support — components 10, 11.</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WF12-DASH-022</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Source column shall display a 'User Upload' pill (blue) for components uploaded by users and an 'Agent Generated' pill (indigo) for components deposited by monitoring agents. The Audit Log shall display a 'System' pill.</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WF12-DASH-023</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Status column shall display one of four pills: 'Uploaded' (green), 'Pending' (amber — delete request in flight), 'Not Uploaded' (grey), or 'Deleted' (red).</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WF12-DASH-024</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Latest Version column shall display the version number (e.g., v3) and the UTC timestamp of that version's upload.</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WF12-DASH-025</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Actions column shall display role-dependent buttons: 'View' (all roles when content exists), 'Upload New Version' (User/Admin on User Upload components only), 'Request Delete' (User), 'Soft Delete' (Admin only), 'Restore' (Admin only, on deleted versions).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WF12-DASH-026</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Agent-generated components shall not display an 'Upload New Version' button.</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WF12-DASH-027</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Audit Log component (slot 10) shall display only a 'View' button; no upload or delete controls shall be shown.</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WF12-DASH-028</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If a delete request is pending on a component, a 'Pending Delete' amber badge shall appear next to the status pill. The component remains accessible.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WF12-DASH-029</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A soft-deleted component version shall display a 'Deleted' red badge. The component content remains visible to Admin but is greyed out to Users.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bl>
    <w:p>
      <w:pPr>
        <w:spacing w:after="120" w:before="0"/>
      </w:pPr>
      <w:r>
        <w:t xml:space="preserve"/>
      </w:r>
    </w:p>
    <w:p>
      <w:pPr>
        <w:pStyle w:val="Heading3"/>
        <w:spacing w:after="80" w:before="200"/>
      </w:pPr>
      <w:r>
        <w:rPr>
          <w:rFonts w:ascii="Arial" w:cs="Arial" w:eastAsia="Arial" w:hAnsi="Arial"/>
          <w:b/>
          <w:bCs/>
          <w:color w:val="1E293B"/>
          <w:sz w:val="22"/>
          <w:szCs w:val="22"/>
        </w:rPr>
        <w:t xml:space="preserve">4.4.4 Left Navigation Sub-Tree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720"/>
        <w:gridCol w:w="1200"/>
      </w:tblGrid>
      <w:tr>
        <w:trPr>
          <w:tblHeader/>
        </w:trPr>
        <w:tc>
          <w:tcPr>
            <w:tcW w:type="dxa" w:w="144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Req ID</w:t>
            </w:r>
          </w:p>
        </w:tc>
        <w:tc>
          <w:tcPr>
            <w:tcW w:type="dxa" w:w="672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Requirement</w:t>
            </w:r>
          </w:p>
        </w:tc>
        <w:tc>
          <w:tcPr>
            <w:tcW w:type="dxa" w:w="12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18"/>
                <w:szCs w:val="18"/>
              </w:rPr>
              <w:t xml:space="preserve">Priority</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WF12-DASH-030</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Once a model is selected, the left navigation sidebar shall expand a sub-tree beneath the Repository tile showing the current folder path: Domain › Technique › Model ID, with all thirteen component links listed under the model.</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WF12-DASH-031</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active component shall be highlighted in the sub-tree. Clicking any component link in the sub-tree shall navigate directly to that component's screen.</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bl>
    <w:p>
      <w:pPr>
        <w:spacing w:after="160" w:before="0"/>
      </w:pPr>
      <w:r>
        <w:t xml:space="preserve"/>
      </w:r>
    </w:p>
    <w:p>
      <w:pPr>
        <w:pStyle w:val="Heading2"/>
        <w:spacing w:after="120" w:before="280"/>
      </w:pPr>
      <w:r>
        <w:rPr>
          <w:rFonts w:ascii="Arial" w:cs="Arial" w:eastAsia="Arial" w:hAnsi="Arial"/>
          <w:b/>
          <w:bCs/>
          <w:color w:val="1E3A8A"/>
          <w:sz w:val="26"/>
          <w:szCs w:val="26"/>
        </w:rPr>
        <w:t xml:space="preserve">4.5 Model Metadata (S05)</w:t>
      </w:r>
    </w:p>
    <w:p>
      <w:pPr>
        <w:spacing w:after="120" w:before="0"/>
      </w:pPr>
      <w:r>
        <w:rPr>
          <w:rFonts w:ascii="Arial" w:cs="Arial" w:eastAsia="Arial" w:hAnsi="Arial"/>
          <w:color w:val="1E293B"/>
          <w:sz w:val="20"/>
          <w:szCs w:val="20"/>
        </w:rPr>
        <w:t>Component 1 of 13 — Source: User Upload. Displays the model's registered metadata fields as a key-value table. Supports versioning, download, and delete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720"/>
        <w:gridCol w:w="1200"/>
      </w:tblGrid>
      <w:tr>
        <w:trPr>
          <w:tblHeader/>
        </w:trPr>
        <w:tc>
          <w:tcPr>
            <w:tcW w:type="dxa" w:w="144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Req ID</w:t>
            </w:r>
          </w:p>
        </w:tc>
        <w:tc>
          <w:tcPr>
            <w:tcW w:type="dxa" w:w="672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Requirement</w:t>
            </w:r>
          </w:p>
        </w:tc>
        <w:tc>
          <w:tcPr>
            <w:tcW w:type="dxa" w:w="12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18"/>
                <w:szCs w:val="18"/>
              </w:rPr>
              <w:t xml:space="preserve">Priority</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WF12-COMP-001</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Metadata screen shall display a version sidebar (left, ~230px) listing all versions with: version number, uploader name, upload timestamp, file size, and status (Current / Superseded / Delete Requested / Deleted).</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WF12-COMP-002</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currently selected version shall be highlighted in the version sidebar. Clicking another version loads that version's content in the main viewer.</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WF12-COMP-003</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main viewer shall display the metadata as a labelled key-value table including, at minimum: Model ID, Model Name, Domain, Modelling Technique, Data Type, Data Structure, Risk Tier, Owner, Developer, Monitoring Start Date, Monitoring Frequency, Upstream Models, Downstream Models.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WF12-COMP-004</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An 'Upload New Version' button shall be available at the top of the version sidebar for this User Upload component.</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WF12-COMP-005</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Download buttons (PDF and Excel formats) shall be available in the viewer actions bar.</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WF12-COMP-006</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If a delete request is pending on any version, an amber banner shall be displayed at the top of the screen showing the requester name, request date, and reason.</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bl>
    <w:p>
      <w:pPr>
        <w:spacing w:after="160" w:before="0"/>
      </w:pPr>
      <w:r>
        <w:t xml:space="preserve"/>
      </w:r>
    </w:p>
    <w:p>
      <w:pPr>
        <w:pStyle w:val="Heading2"/>
        <w:spacing w:after="120" w:before="280"/>
      </w:pPr>
      <w:r>
        <w:rPr>
          <w:rFonts w:ascii="Arial" w:cs="Arial" w:eastAsia="Arial" w:hAnsi="Arial"/>
          <w:b/>
          <w:bCs/>
          <w:color w:val="1E3A8A"/>
          <w:sz w:val="26"/>
          <w:szCs w:val="26"/>
        </w:rPr>
        <w:t xml:space="preserve">4.6 KPI Configuration View (S06)</w:t>
      </w:r>
    </w:p>
    <w:p>
      <w:pPr>
        <w:spacing w:after="120" w:before="0"/>
      </w:pPr>
      <w:r>
        <w:rPr>
          <w:rFonts w:ascii="Arial" w:cs="Arial" w:eastAsia="Arial" w:hAnsi="Arial"/>
          <w:color w:val="1E293B"/>
          <w:sz w:val="20"/>
          <w:szCs w:val="20"/>
        </w:rPr>
        <w:t>Component 2 of 13 — Source: User Upload. Displays a read-only snapshot of the KPI Pack configuration stored for this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720"/>
        <w:gridCol w:w="1200"/>
      </w:tblGrid>
      <w:tr>
        <w:trPr>
          <w:tblHeader/>
        </w:trPr>
        <w:tc>
          <w:tcPr>
            <w:tcW w:type="dxa" w:w="144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Req ID</w:t>
            </w:r>
          </w:p>
        </w:tc>
        <w:tc>
          <w:tcPr>
            <w:tcW w:type="dxa" w:w="672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Requirement</w:t>
            </w:r>
          </w:p>
        </w:tc>
        <w:tc>
          <w:tcPr>
            <w:tcW w:type="dxa" w:w="12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18"/>
                <w:szCs w:val="18"/>
              </w:rPr>
              <w:t xml:space="preserve">Priority</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WF12-COMP-010</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KPI Configuration screen shall use the same version sidebar + main viewer layout as S05.</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WF12-COMP-011</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main viewer shall display the KPI configuration as a read-only table with columns: KPI Type, Metric Name, Applicable, Warning Threshold, Breach Threshold, and Status.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WF12-COMP-012</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Concept Drift metrics shall show thresholds in the Breach Threshold column only; the Warning Threshold column shall display '—' for those rows, consistent with the Foundational BRD threshold model.</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WF12-COMP-013</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A Download button (XLSX) shall be available in the viewer actions bar.</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bl>
    <w:p>
      <w:pPr>
        <w:spacing w:after="160" w:before="0"/>
      </w:pPr>
      <w:r>
        <w:t xml:space="preserve"/>
      </w:r>
    </w:p>
    <w:p>
      <w:pPr>
        <w:pStyle w:val="Heading2"/>
        <w:spacing w:after="120" w:before="280"/>
      </w:pPr>
      <w:r>
        <w:rPr>
          <w:rFonts w:ascii="Arial" w:cs="Arial" w:eastAsia="Arial" w:hAnsi="Arial"/>
          <w:b/>
          <w:bCs/>
          <w:color w:val="1E3A8A"/>
          <w:sz w:val="26"/>
          <w:szCs w:val="26"/>
        </w:rPr>
        <w:t xml:space="preserve">4.7 Reference — Data Insights Numbers (S07)</w:t>
      </w:r>
    </w:p>
    <w:p>
      <w:pPr>
        <w:spacing w:after="120" w:before="0"/>
      </w:pPr>
      <w:r>
        <w:rPr>
          <w:rFonts w:ascii="Arial" w:cs="Arial" w:eastAsia="Arial" w:hAnsi="Arial"/>
          <w:color w:val="1E293B"/>
          <w:sz w:val="20"/>
          <w:szCs w:val="20"/>
        </w:rPr>
        <w:t>Component 3 of 13 — Source: User Upload. Stores reference statistics from the model's development or training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720"/>
        <w:gridCol w:w="1200"/>
      </w:tblGrid>
      <w:tr>
        <w:trPr>
          <w:tblHeader/>
        </w:trPr>
        <w:tc>
          <w:tcPr>
            <w:tcW w:type="dxa" w:w="144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Req ID</w:t>
            </w:r>
          </w:p>
        </w:tc>
        <w:tc>
          <w:tcPr>
            <w:tcW w:type="dxa" w:w="672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Requirement</w:t>
            </w:r>
          </w:p>
        </w:tc>
        <w:tc>
          <w:tcPr>
            <w:tcW w:type="dxa" w:w="12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18"/>
                <w:szCs w:val="18"/>
              </w:rPr>
              <w:t xml:space="preserve">Priority</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WF12-COMP-020</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Data Insights screen shall use the same version sidebar + main viewer layout.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WF12-COMP-021</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viewer shall display a metadata strip showing: Reference Period, Sample Size, Default Rate (if applicable), and File Type.</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WF12-COMP-022</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viewer shall render tabular content (CSV/Excel) as an in-screen preview table. PDF files shall be presented as an embedded preview placeholder.</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475569"/>
                <w:sz w:val="18"/>
                <w:szCs w:val="18"/>
              </w:rPr>
              <w:t xml:space="preserve">Should</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WF12-COMP-023</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A Download CSV/Excel button shall be available.</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c>
          <w:tcPr>
            <w:tcW w:type="dxa" w:w="1440"/>
          </w:tcPr>
          <w:p>
            <w:r>
              <w:t>WF12-COMP-035</w:t>
            </w:r>
          </w:p>
        </w:tc>
        <w:tc>
          <w:tcPr>
            <w:tcW w:type="dxa" w:w="6720"/>
          </w:tcPr>
          <w:p>
            <w:r>
              <w:t>The Baseline Data screen shall display a version sidebar listing all system-ingested baseline statistical profile versions. The viewer shall display key statistics (mean, standard deviation, min/max, distribution summary) in a read-only tabular format. No upload action shall be available as this component is exclusively populated by the Data Ingestion Agent.</w:t>
            </w:r>
          </w:p>
        </w:tc>
        <w:tc>
          <w:tcPr>
            <w:tcW w:type="dxa" w:w="1200"/>
          </w:tcPr>
          <w:p>
            <w:r>
              <w:t>Must</w:t>
            </w:r>
          </w:p>
        </w:tc>
      </w:tr>
      <w:tr>
        <w:tc>
          <w:tcPr>
            <w:tcW w:type="dxa" w:w="1440"/>
          </w:tcPr>
          <w:p>
            <w:r>
              <w:t>WF12-COMP-036</w:t>
            </w:r>
          </w:p>
        </w:tc>
        <w:tc>
          <w:tcPr>
            <w:tcW w:type="dxa" w:w="6720"/>
          </w:tcPr>
          <w:p>
            <w:r>
              <w:t>The Reference Data screen shall display a version sidebar listing all system-ingested reference sample versions. The viewer shall display a preview of the reference dataset structure (column names, row count, data types). No upload action shall be available; ingestion is triggered exclusively via the Reference Data Ingestion workflow (WF3).</w:t>
            </w:r>
          </w:p>
        </w:tc>
        <w:tc>
          <w:tcPr>
            <w:tcW w:type="dxa" w:w="1200"/>
          </w:tcPr>
          <w:p>
            <w:r>
              <w:t>Must</w:t>
            </w:r>
          </w:p>
        </w:tc>
      </w:tr>
    </w:tbl>
    <w:p>
      <w:pPr>
        <w:spacing w:after="160" w:before="0"/>
      </w:pPr>
      <w:r>
        <w:t xml:space="preserve"/>
      </w:r>
    </w:p>
    <w:p>
      <w:pPr>
        <w:pStyle w:val="Heading2"/>
        <w:spacing w:after="120" w:before="280"/>
      </w:pPr>
      <w:r>
        <w:rPr>
          <w:rFonts w:ascii="Arial" w:cs="Arial" w:eastAsia="Arial" w:hAnsi="Arial"/>
          <w:b/>
          <w:bCs/>
          <w:color w:val="1E3A8A"/>
          <w:sz w:val="26"/>
          <w:szCs w:val="26"/>
        </w:rPr>
        <w:t xml:space="preserve">4.8 Validation — Sample Analysis (S08)</w:t>
      </w:r>
    </w:p>
    <w:p>
      <w:r>
        <w:t xml:space="preserve">Component 5 of 13 — Source: System Ingested. Stores the reference sample dataset used for ongoing drift and performance comparisons. Ingested via the Reference Data Ingestion workflow (WF3). Read-only for Users; supports version history and download.</w:t>
      </w:r>
    </w:p>
    <w:p>
      <w:r>
        <w:t xml:space="preserve">Component 4 of 13 — Source: System Ingested. Stores the baseline statistical profile computed from the model’s development or training dataset. This component is populated automatically by the Data Ingestion Agent when reference data is ingested and is read-only for Users. Supports version history and download.</w:t>
      </w:r>
    </w:p>
    <w:p>
      <w:pPr>
        <w:spacing w:after="120" w:before="0"/>
      </w:pPr>
      <w:r>
        <w:rPr>
          <w:rFonts w:ascii="Arial" w:cs="Arial" w:eastAsia="Arial" w:hAnsi="Arial"/>
          <w:color w:val="1E293B"/>
          <w:sz w:val="20"/>
          <w:szCs w:val="20"/>
        </w:rPr>
        <w:t>Component 6 of 13 — Source: User Upload. Stores out-of-time or out-of-sample validation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720"/>
        <w:gridCol w:w="1200"/>
      </w:tblGrid>
      <w:tr>
        <w:trPr>
          <w:tblHeader/>
        </w:trPr>
        <w:tc>
          <w:tcPr>
            <w:tcW w:type="dxa" w:w="144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Req ID</w:t>
            </w:r>
          </w:p>
        </w:tc>
        <w:tc>
          <w:tcPr>
            <w:tcW w:type="dxa" w:w="672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Requirement</w:t>
            </w:r>
          </w:p>
        </w:tc>
        <w:tc>
          <w:tcPr>
            <w:tcW w:type="dxa" w:w="12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18"/>
                <w:szCs w:val="18"/>
              </w:rPr>
              <w:t xml:space="preserve">Priority</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WF12-COMP-030</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Sample Analysis screen shall use the same version sidebar + main viewer layout.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WF12-COMP-031</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A viewer metadata strip shall display: Run Date, Analyst, Sample Size, Validation Type, and Overall Status.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WF12-COMP-032</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viewer shall display a results table showing key metrics (e.g., Gini, AUROC, KS Statistic, Brier Score) with Development value, Validation value, Delta, and Status columns.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475569"/>
                <w:sz w:val="18"/>
                <w:szCs w:val="18"/>
              </w:rPr>
              <w:t xml:space="preserve">Should</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WF12-COMP-033</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A Download PDF button shall be available.</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bl>
    <w:p>
      <w:pPr>
        <w:spacing w:after="160" w:before="0"/>
      </w:pPr>
      <w:r>
        <w:t xml:space="preserve"/>
      </w:r>
    </w:p>
    <w:p>
      <w:pPr>
        <w:pStyle w:val="Heading2"/>
        <w:spacing w:after="120" w:before="280"/>
      </w:pPr>
      <w:r>
        <w:rPr>
          <w:rFonts w:ascii="Arial" w:cs="Arial" w:eastAsia="Arial" w:hAnsi="Arial"/>
          <w:b/>
          <w:bCs/>
          <w:color w:val="1E3A8A"/>
          <w:sz w:val="26"/>
          <w:szCs w:val="26"/>
        </w:rPr>
        <w:t xml:space="preserve">4.9 Validation — Drift Reports (S09)</w:t>
      </w:r>
    </w:p>
    <w:p>
      <w:pPr>
        <w:spacing w:after="120" w:before="0"/>
      </w:pPr>
      <w:r>
        <w:rPr>
          <w:rFonts w:ascii="Arial" w:cs="Arial" w:eastAsia="Arial" w:hAnsi="Arial"/>
          <w:color w:val="1E293B"/>
          <w:sz w:val="20"/>
          <w:szCs w:val="20"/>
        </w:rPr>
        <w:t>Components 7, 8, and 9 of 13 — Source: Agent Generated. Three independently versioned drift reports (Data Drift, Concept Drift, Performance Drift) are presented on a single tabbed screen. Each tab is a fully independent component with its own version history, status, and delete controls.</w:t>
      </w:r>
    </w:p>
    <w:p>
      <w:pPr>
        <w:pStyle w:val="Heading3"/>
        <w:spacing w:after="80" w:before="200"/>
      </w:pPr>
      <w:r>
        <w:rPr>
          <w:rFonts w:ascii="Arial" w:cs="Arial" w:eastAsia="Arial" w:hAnsi="Arial"/>
          <w:b/>
          <w:bCs/>
          <w:color w:val="1E293B"/>
          <w:sz w:val="22"/>
          <w:szCs w:val="22"/>
        </w:rPr>
        <w:t xml:space="preserve">4.9.1 Tab Independence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720"/>
        <w:gridCol w:w="1200"/>
      </w:tblGrid>
      <w:tr>
        <w:trPr>
          <w:tblHeader/>
        </w:trPr>
        <w:tc>
          <w:tcPr>
            <w:tcW w:type="dxa" w:w="144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Req ID</w:t>
            </w:r>
          </w:p>
        </w:tc>
        <w:tc>
          <w:tcPr>
            <w:tcW w:type="dxa" w:w="672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Requirement</w:t>
            </w:r>
          </w:p>
        </w:tc>
        <w:tc>
          <w:tcPr>
            <w:tcW w:type="dxa" w:w="12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18"/>
                <w:szCs w:val="18"/>
              </w:rPr>
              <w:t xml:space="preserve">Priority</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WF12-COMP-040</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Drift Reports screen shall present three tabs: 'Data Drift', 'Concept Drift', and 'Performance Drift'. Each tab shall be an independent component — it has its own version counter, version sidebar, status, and delete controls.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WF12-COMP-041</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Each tab's version counter shall increment independently. An agent run depositing a new Data Drift report shall increment only the Data Drift version counter. Concept Drift and Performance Drift version counters shall not change.</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WF12-COMP-042</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A delete request or soft delete on a version within one tab shall have no effect on versions in other tabs.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WF12-COMP-043</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S04 Model Repository Dashboard shall display each drift type as a separate row (components 5, 6, 7) with independent status pills and version timestamps.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WF12-COMP-044</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An information banner at the top of S09 shall state: 'Each tab represents an independent component with its own version history. Deleting a version in one tab does not affect the other drift types.'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bl>
    <w:p>
      <w:pPr>
        <w:spacing w:after="120" w:before="0"/>
      </w:pPr>
      <w:r>
        <w:t xml:space="preserve"/>
      </w:r>
    </w:p>
    <w:p>
      <w:pPr>
        <w:pStyle w:val="Heading3"/>
        <w:spacing w:after="80" w:before="200"/>
      </w:pPr>
      <w:r>
        <w:rPr>
          <w:rFonts w:ascii="Arial" w:cs="Arial" w:eastAsia="Arial" w:hAnsi="Arial"/>
          <w:b/>
          <w:bCs/>
          <w:color w:val="1E293B"/>
          <w:sz w:val="22"/>
          <w:szCs w:val="22"/>
        </w:rPr>
        <w:t xml:space="preserve">4.9.2 Viewer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720"/>
        <w:gridCol w:w="1200"/>
      </w:tblGrid>
      <w:tr>
        <w:trPr>
          <w:tblHeader/>
        </w:trPr>
        <w:tc>
          <w:tcPr>
            <w:tcW w:type="dxa" w:w="144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Req ID</w:t>
            </w:r>
          </w:p>
        </w:tc>
        <w:tc>
          <w:tcPr>
            <w:tcW w:type="dxa" w:w="672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Requirement</w:t>
            </w:r>
          </w:p>
        </w:tc>
        <w:tc>
          <w:tcPr>
            <w:tcW w:type="dxa" w:w="12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18"/>
                <w:szCs w:val="18"/>
              </w:rPr>
              <w:t xml:space="preserve">Priority</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WF12-COMP-050</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Each drift tab shall display: a version sidebar, a metadata strip (Run Date, Vintage, Overall Status, Triggered metric count), a chart placeholder area for drift trend visualisation, and a results table.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WF12-COMP-051</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Data Drift tab results table shall display: Feature, PSI Score, Warning Threshold, Breach Threshold, and Status.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WF12-COMP-052</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Concept Drift tab results table shall display: Metric, Reference Value, Current Value, Delta, Breach Threshold, and Status. Warning threshold columns shall be absent, consistent with the delta-only threshold model.</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WF12-COMP-053</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Performance Drift tab results table shall display: Metric, Development Baseline, Current Value, Delta, Warning Threshold, Breach Threshold, and Status.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WF12-COMP-054</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A Download button shall be available per tab.</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bl>
    <w:p>
      <w:pPr>
        <w:spacing w:after="160" w:before="0"/>
      </w:pPr>
      <w:r>
        <w:t xml:space="preserve"/>
      </w:r>
    </w:p>
    <w:p>
      <w:pPr>
        <w:pStyle w:val="Heading2"/>
        <w:spacing w:after="120" w:before="280"/>
      </w:pPr>
      <w:r>
        <w:rPr>
          <w:rFonts w:ascii="Arial" w:cs="Arial" w:eastAsia="Arial" w:hAnsi="Arial"/>
          <w:b/>
          <w:bCs/>
          <w:color w:val="1E3A8A"/>
          <w:sz w:val="26"/>
          <w:szCs w:val="26"/>
        </w:rPr>
        <w:t xml:space="preserve">4.10 Validation — RCA (S10)</w:t>
      </w:r>
    </w:p>
    <w:p>
      <w:pPr>
        <w:spacing w:after="120" w:before="0"/>
      </w:pPr>
      <w:r>
        <w:rPr>
          <w:rFonts w:ascii="Arial" w:cs="Arial" w:eastAsia="Arial" w:hAnsi="Arial"/>
          <w:color w:val="1E293B"/>
          <w:sz w:val="20"/>
          <w:szCs w:val="20"/>
        </w:rPr>
        <w:t>Component 10 of 13 — Source: Agent Generated. Stores RCA reports produced by the RCA Agent when a monitoring breach is detected.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720"/>
        <w:gridCol w:w="1200"/>
      </w:tblGrid>
      <w:tr>
        <w:trPr>
          <w:tblHeader/>
        </w:trPr>
        <w:tc>
          <w:tcPr>
            <w:tcW w:type="dxa" w:w="144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Req ID</w:t>
            </w:r>
          </w:p>
        </w:tc>
        <w:tc>
          <w:tcPr>
            <w:tcW w:type="dxa" w:w="672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Requirement</w:t>
            </w:r>
          </w:p>
        </w:tc>
        <w:tc>
          <w:tcPr>
            <w:tcW w:type="dxa" w:w="12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18"/>
                <w:szCs w:val="18"/>
              </w:rPr>
              <w:t xml:space="preserve">Priority</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WF12-COMP-060</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RCA screen shall use the version sidebar + main viewer layout.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WF12-COMP-061</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Each version entry in the sidebar shall record the triggering event (e.g., 'Triggered by: Concept Drift v3').</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475569"/>
                <w:sz w:val="18"/>
                <w:szCs w:val="18"/>
              </w:rPr>
              <w:t xml:space="preserve">Should</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WF12-COMP-062</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viewer shall display structured RCA sections: Root Cause Summary, Contributing Factors, and Recommended Actions.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WF12-COMP-063</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A status pill (Complete / In Progress / Pending Review) shall be displayed in the viewer header.</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WF12-COMP-064</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A Download PDF button shall be available.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bl>
    <w:p>
      <w:pPr>
        <w:spacing w:after="160" w:before="0"/>
      </w:pPr>
      <w:r>
        <w:t xml:space="preserve"/>
      </w:r>
    </w:p>
    <w:p>
      <w:pPr>
        <w:pStyle w:val="Heading2"/>
        <w:spacing w:after="120" w:before="280"/>
      </w:pPr>
      <w:r>
        <w:rPr>
          <w:rFonts w:ascii="Arial" w:cs="Arial" w:eastAsia="Arial" w:hAnsi="Arial"/>
          <w:b/>
          <w:bCs/>
          <w:color w:val="1E3A8A"/>
          <w:sz w:val="26"/>
          <w:szCs w:val="26"/>
        </w:rPr>
        <w:t xml:space="preserve">4.11 Validation — Final Report (S11)</w:t>
      </w:r>
    </w:p>
    <w:p>
      <w:pPr>
        <w:spacing w:after="120" w:before="0"/>
      </w:pPr>
      <w:r>
        <w:rPr>
          <w:rFonts w:ascii="Arial" w:cs="Arial" w:eastAsia="Arial" w:hAnsi="Arial"/>
          <w:color w:val="1E293B"/>
          <w:sz w:val="20"/>
          <w:szCs w:val="20"/>
        </w:rPr>
        <w:t>Component 11 of 13 — Source: Agent Generated. The consolidated validation report for the monitoring period, generated by the Validation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720"/>
        <w:gridCol w:w="1200"/>
      </w:tblGrid>
      <w:tr>
        <w:trPr>
          <w:tblHeader/>
        </w:trPr>
        <w:tc>
          <w:tcPr>
            <w:tcW w:type="dxa" w:w="144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Req ID</w:t>
            </w:r>
          </w:p>
        </w:tc>
        <w:tc>
          <w:tcPr>
            <w:tcW w:type="dxa" w:w="672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Requirement</w:t>
            </w:r>
          </w:p>
        </w:tc>
        <w:tc>
          <w:tcPr>
            <w:tcW w:type="dxa" w:w="12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18"/>
                <w:szCs w:val="18"/>
              </w:rPr>
              <w:t xml:space="preserve">Priority</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WF12-COMP-070</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Final Report screen shall use the version sidebar + main viewer layout.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WF12-COMP-071</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If no agent run has yet deposited a report, the screen shall display an informational empty state banner stating the component is pending the next scheduled agent run, with the scheduled run datetime shown. The version sidebar shall show 'No reports generated yet'.</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WF12-COMP-072</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empty state shall not display any upload or delete controls; the User shall not be able to manually upload a Validation Report.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WF12-COMP-073</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Once generated, the viewer shall display: Report Date, Prepared By (agent identity), Approval Status, and the report document.</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bl>
    <w:p>
      <w:pPr>
        <w:spacing w:after="160" w:before="0"/>
      </w:pPr>
      <w:r>
        <w:t xml:space="preserve"/>
      </w:r>
    </w:p>
    <w:p>
      <w:pPr>
        <w:pStyle w:val="Heading2"/>
        <w:spacing w:after="120" w:before="280"/>
      </w:pPr>
      <w:r>
        <w:rPr>
          <w:rFonts w:ascii="Arial" w:cs="Arial" w:eastAsia="Arial" w:hAnsi="Arial"/>
          <w:b/>
          <w:bCs/>
          <w:color w:val="1E3A8A"/>
          <w:sz w:val="26"/>
          <w:szCs w:val="26"/>
        </w:rPr>
        <w:t xml:space="preserve">4.12 Audit Log (S12)</w:t>
      </w:r>
    </w:p>
    <w:p>
      <w:pPr>
        <w:spacing w:after="120" w:before="0"/>
      </w:pPr>
      <w:r>
        <w:rPr>
          <w:rFonts w:ascii="Arial" w:cs="Arial" w:eastAsia="Arial" w:hAnsi="Arial"/>
          <w:color w:val="1E293B"/>
          <w:sz w:val="20"/>
          <w:szCs w:val="20"/>
        </w:rPr>
        <w:t>Component 12 of 13 — Source: System Maintained. An immutable, append-only log of all actions performed within this model's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720"/>
        <w:gridCol w:w="1200"/>
      </w:tblGrid>
      <w:tr>
        <w:trPr>
          <w:tblHeader/>
        </w:trPr>
        <w:tc>
          <w:tcPr>
            <w:tcW w:type="dxa" w:w="144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Req ID</w:t>
            </w:r>
          </w:p>
        </w:tc>
        <w:tc>
          <w:tcPr>
            <w:tcW w:type="dxa" w:w="672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Requirement</w:t>
            </w:r>
          </w:p>
        </w:tc>
        <w:tc>
          <w:tcPr>
            <w:tcW w:type="dxa" w:w="12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18"/>
                <w:szCs w:val="18"/>
              </w:rPr>
              <w:t xml:space="preserve">Priority</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WF12-AUD-001</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Audit Log screen shall not include version sidebar controls, upload buttons, or delete controls. The audit log is permanent and cannot be deleted by any role.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WF12-AUD-002</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Audit Log table shall display the following columns: Timestamp (UTC), User, Role, Action, Component, Version, and Details.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WF12-AUD-003</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Action column shall use colour coding: Uploaded (green), Deleted / Delete Requested (red/amber), Restored (blue), Viewed (grey), Agent Generated (indigo).</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475569"/>
                <w:sz w:val="18"/>
                <w:szCs w:val="18"/>
              </w:rPr>
              <w:t xml:space="preserve">Should</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WF12-AUD-004</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Audit Log shall be filterable by: date range, action type, user, and component.</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WF12-AUD-005</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An Export CSV button shall be available in the toolbar.</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WF12-AUD-006</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Pagination shall default to 50 rows per page.</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WF12-AUD-007</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following events shall be recorded in the audit log: file upload (any component), agent-generated deposit, delete request raised, delete request approved, delete request rejected, soft delete (admin direct), version restore, additional document upload, additional document delete, bulk export.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WF12-AUD-008</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Each audit entry shall capture, at minimum: timestamp (UTC), user ID and display name, role active at time of action, action type, affected component name, affected version number, and a detail string (e.g., file name, file size, deletion reason).</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bl>
    <w:p>
      <w:pPr>
        <w:spacing w:after="160" w:before="0"/>
      </w:pPr>
      <w:r>
        <w:t xml:space="preserve"/>
      </w:r>
    </w:p>
    <w:p>
      <w:pPr>
        <w:pStyle w:val="Heading2"/>
        <w:spacing w:after="120" w:before="280"/>
      </w:pPr>
      <w:r>
        <w:rPr>
          <w:rFonts w:ascii="Arial" w:cs="Arial" w:eastAsia="Arial" w:hAnsi="Arial"/>
          <w:b/>
          <w:bCs/>
          <w:color w:val="1E3A8A"/>
          <w:sz w:val="26"/>
          <w:szCs w:val="26"/>
        </w:rPr>
        <w:t xml:space="preserve">4.13 Additional Documents (S13)</w:t>
      </w:r>
    </w:p>
    <w:p>
      <w:pPr>
        <w:spacing w:after="120" w:before="0"/>
      </w:pPr>
      <w:r>
        <w:rPr>
          <w:rFonts w:ascii="Arial" w:cs="Arial" w:eastAsia="Arial" w:hAnsi="Arial"/>
          <w:color w:val="1E293B"/>
          <w:sz w:val="20"/>
          <w:szCs w:val="20"/>
        </w:rPr>
        <w:t>Component 13 of 13 — Source: User Upload. A free-form document library for any supporting files related to the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720"/>
        <w:gridCol w:w="1200"/>
      </w:tblGrid>
      <w:tr>
        <w:trPr>
          <w:tblHeader/>
        </w:trPr>
        <w:tc>
          <w:tcPr>
            <w:tcW w:type="dxa" w:w="144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Req ID</w:t>
            </w:r>
          </w:p>
        </w:tc>
        <w:tc>
          <w:tcPr>
            <w:tcW w:type="dxa" w:w="672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Requirement</w:t>
            </w:r>
          </w:p>
        </w:tc>
        <w:tc>
          <w:tcPr>
            <w:tcW w:type="dxa" w:w="12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18"/>
                <w:szCs w:val="18"/>
              </w:rPr>
              <w:t xml:space="preserve">Priority</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WF12-DOCS-001</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Additional Documents screen shall provide an upload drawer (visible by default on first visit, collapsible thereafter) containing a drag-and-drop zone, a mandatory Document Type picklist, an optional Tags field, and an optional Description field.</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WF12-DOCS-002</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Document Type picklist shall include at minimum: Governance / Policy, Model Documentation, Correspondence, Regulatory Filing, and Other.</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WF12-DOCS-003</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Accepted file types shall include: PDF, DOCX, XLSX, CSV, PNG, JPG. The maximum file size shall be configurable (default 50 MB).</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WF12-DOCS-004</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document table shall display: File Name, File Type, Document Type, Uploaded By, Upload Date, Size, Tags, and Actions.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WF12-DOCS-005</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Actions shall include: View, Download, Request Delete (User), Soft Delete (Admin).</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WF12-DOCS-006</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Soft-deleted documents shall remain visible in the table in a greyed-out row with a 'Deleted' red badge. Admins shall see a Restore button; Users shall not.</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WF12-DOCS-007</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table shall support search by file name or description, and filters by File Type and Document Type.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WF12-DOCS-008</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Each upload and deletion event in Additional Documents shall be recorded in the model's Audit Log (S12).</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bl>
    <w:p>
      <w:pPr>
        <w:spacing w:after="160" w:before="0"/>
      </w:pPr>
      <w:r>
        <w:t xml:space="preserve"/>
      </w:r>
    </w:p>
    <w:p>
      <w:pPr>
        <w:pStyle w:val="Heading2"/>
        <w:spacing w:after="120" w:before="280"/>
      </w:pPr>
      <w:r>
        <w:rPr>
          <w:rFonts w:ascii="Arial" w:cs="Arial" w:eastAsia="Arial" w:hAnsi="Arial"/>
          <w:b/>
          <w:bCs/>
          <w:color w:val="1E3A8A"/>
          <w:sz w:val="26"/>
          <w:szCs w:val="26"/>
        </w:rPr>
        <w:t xml:space="preserve">4.14 Delete Request &amp; Admin Approval Flow (S14)</w:t>
      </w:r>
    </w:p>
    <w:p>
      <w:pPr>
        <w:spacing w:after="120" w:before="0"/>
      </w:pPr>
      <w:r>
        <w:rPr>
          <w:rFonts w:ascii="Arial" w:cs="Arial" w:eastAsia="Arial" w:hAnsi="Arial"/>
          <w:color w:val="1E293B"/>
          <w:sz w:val="20"/>
          <w:szCs w:val="20"/>
        </w:rPr>
        <w:t xml:space="preserve">A reusable modal overlay used across all component screens. It has two states: User Request and Admin Review.</w:t>
      </w:r>
    </w:p>
    <w:p>
      <w:pPr>
        <w:pStyle w:val="Heading3"/>
        <w:spacing w:after="80" w:before="200"/>
      </w:pPr>
      <w:r>
        <w:rPr>
          <w:rFonts w:ascii="Arial" w:cs="Arial" w:eastAsia="Arial" w:hAnsi="Arial"/>
          <w:b/>
          <w:bCs/>
          <w:color w:val="1E293B"/>
          <w:sz w:val="22"/>
          <w:szCs w:val="22"/>
        </w:rPr>
        <w:t xml:space="preserve">4.14.1 User Request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720"/>
        <w:gridCol w:w="1200"/>
      </w:tblGrid>
      <w:tr>
        <w:trPr>
          <w:tblHeader/>
        </w:trPr>
        <w:tc>
          <w:tcPr>
            <w:tcW w:type="dxa" w:w="144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Req ID</w:t>
            </w:r>
          </w:p>
        </w:tc>
        <w:tc>
          <w:tcPr>
            <w:tcW w:type="dxa" w:w="672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Requirement</w:t>
            </w:r>
          </w:p>
        </w:tc>
        <w:tc>
          <w:tcPr>
            <w:tcW w:type="dxa" w:w="12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18"/>
                <w:szCs w:val="18"/>
              </w:rPr>
              <w:t xml:space="preserve">Priority</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WF12-DEL-001</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When a User clicks 'Request Delete' on any component version, the Delete Request modal shall open displaying: the component name, version number, and model identifier as read-only context.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WF12-DEL-002</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modal shall display a warning stating that the component will remain visible and accessible until the Admin approves the deletion.</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WF12-DEL-003</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A mandatory Reason field (free text, minimum 20 characters, maximum 500 characters) shall be provided. The Submit button shall be disabled until the minimum character threshold is met.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WF12-DEL-004</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On submission, the request shall be routed to the Admin queue (visible in both the Repository and the Access Control Center — Workflow 5). The component shall display a 'Pending Delete' amber badge. The requesting User shall receive an email confirmation.</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WF12-DEL-005</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A User shall not be able to raise more than one active delete request for the same component version simultaneously.</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bl>
    <w:p>
      <w:pPr>
        <w:spacing w:after="120" w:before="0"/>
      </w:pPr>
      <w:r>
        <w:t xml:space="preserve"/>
      </w:r>
    </w:p>
    <w:p>
      <w:pPr>
        <w:pStyle w:val="Heading3"/>
        <w:spacing w:after="80" w:before="200"/>
      </w:pPr>
      <w:r>
        <w:rPr>
          <w:rFonts w:ascii="Arial" w:cs="Arial" w:eastAsia="Arial" w:hAnsi="Arial"/>
          <w:b/>
          <w:bCs/>
          <w:color w:val="1E293B"/>
          <w:sz w:val="22"/>
          <w:szCs w:val="22"/>
        </w:rPr>
        <w:t xml:space="preserve">4.14.2 Admin Review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720"/>
        <w:gridCol w:w="1200"/>
      </w:tblGrid>
      <w:tr>
        <w:trPr>
          <w:tblHeader/>
        </w:trPr>
        <w:tc>
          <w:tcPr>
            <w:tcW w:type="dxa" w:w="144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Req ID</w:t>
            </w:r>
          </w:p>
        </w:tc>
        <w:tc>
          <w:tcPr>
            <w:tcW w:type="dxa" w:w="672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Requirement</w:t>
            </w:r>
          </w:p>
        </w:tc>
        <w:tc>
          <w:tcPr>
            <w:tcW w:type="dxa" w:w="12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18"/>
                <w:szCs w:val="18"/>
              </w:rPr>
              <w:t xml:space="preserve">Priority</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WF12-DEL-010</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Admin review state of the modal shall display: requester name and role, request date and time, reason provided, and component details.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WF12-DEL-011</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Admin shall have two actions: 'Approve &amp; Soft Delete' (red primary button) and 'Reject Request' (ghost button).</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WF12-DEL-012</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On approval, the component version shall be soft-deleted immediately. Its status shall change to 'Deleted' (red badge). The content shall remain accessible to Admin only. The requesting User shall be notified by email.</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WF12-DEL-013</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On rejection, the pending badge shall be removed from the component. The requesting User shall be notified by email with the rejection reason (if provided by Admin).</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WF12-DEL-014</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Soft-deleting a version does not delete other versions of the same component, nor does it affect any other component in the model repository.</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WF12-DEL-015</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An Admin may directly soft-delete any component version without a User request, using the 'Soft Delete' button on S04. A mandatory reason capture modal shall appear before the action is executed.</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WF12-DEL-016</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An Admin may restore any soft-deleted version using the 'Restore' button. Restoration requires no approval step and is audit-logged immediately.</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bl>
    <w:p>
      <w:pPr>
        <w:spacing w:after="160" w:before="0"/>
      </w:pPr>
      <w:r>
        <w:t xml:space="preserve"/>
      </w:r>
    </w:p>
    <w:p>
      <w:pPr>
        <w:pStyle w:val="Heading2"/>
        <w:spacing w:after="120" w:before="280"/>
      </w:pPr>
      <w:r>
        <w:rPr>
          <w:rFonts w:ascii="Arial" w:cs="Arial" w:eastAsia="Arial" w:hAnsi="Arial"/>
          <w:b/>
          <w:bCs/>
          <w:color w:val="1E3A8A"/>
          <w:sz w:val="26"/>
          <w:szCs w:val="26"/>
        </w:rPr>
        <w:t xml:space="preserve">4.15 Audit Logging — Events Summary</w:t>
      </w:r>
    </w:p>
    <w:p>
      <w:pPr>
        <w:spacing w:after="120" w:before="0"/>
      </w:pPr>
      <w:r>
        <w:rPr>
          <w:rFonts w:ascii="Arial" w:cs="Arial" w:eastAsia="Arial" w:hAnsi="Arial"/>
          <w:color w:val="1E293B"/>
          <w:sz w:val="20"/>
          <w:szCs w:val="20"/>
        </w:rPr>
        <w:t xml:space="preserve">All material actions performed in this workflow shall be captured in the platform audit log. The following table defines the complete event set and captured attributes.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Event</w:t>
            </w:r>
          </w:p>
        </w:tc>
        <w:tc>
          <w:tcPr>
            <w:tcW w:type="dxa" w:w="616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Captured Attributes</w:t>
            </w:r>
          </w:p>
        </w:tc>
      </w:tr>
      <w:tr>
        <w:trPr>
          <w:tblHeader w:val="false"/>
        </w:trP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File uploaded (any component)</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Model ID, Component name, Version number, User ID, Role, Timestamp, IP, File name, File size, File hash</w:t>
            </w:r>
          </w:p>
        </w:tc>
      </w:tr>
      <w:tr>
        <w:trPr>
          <w:tblHeader w:val="false"/>
        </w:trP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Agent-generated deposit</w:t>
            </w:r>
          </w:p>
        </w:tc>
        <w:tc>
          <w:tcPr>
            <w:tcW w:type="dxa" w:w="6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Model ID, Component name, Version number, Agent identity, Timestamp, Triggering run ID</w:t>
            </w:r>
          </w:p>
        </w:tc>
      </w:tr>
      <w:tr>
        <w:trPr>
          <w:tblHeader w:val="false"/>
        </w:trP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Delete request raised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Model ID, Component name, Version number, Requesting User ID, Timestamp, Reason text</w:t>
            </w:r>
          </w:p>
        </w:tc>
      </w:tr>
      <w:tr>
        <w:trPr>
          <w:tblHeader w:val="false"/>
        </w:trP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Delete request approved (soft delete)</w:t>
            </w:r>
          </w:p>
        </w:tc>
        <w:tc>
          <w:tcPr>
            <w:tcW w:type="dxa" w:w="6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Model ID, Component name, Version number, Approving Admin ID, Timestamp, Original request reference</w:t>
            </w:r>
          </w:p>
        </w:tc>
      </w:tr>
      <w:tr>
        <w:trPr>
          <w:tblHeader w:val="false"/>
        </w:trP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Delete request rejected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Model ID, Component name, Version number, Admin ID, Timestamp, Rejection reason</w:t>
            </w:r>
          </w:p>
        </w:tc>
      </w:tr>
      <w:tr>
        <w:trPr>
          <w:tblHeader w:val="false"/>
        </w:trP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Admin direct soft delete</w:t>
            </w:r>
          </w:p>
        </w:tc>
        <w:tc>
          <w:tcPr>
            <w:tcW w:type="dxa" w:w="6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Model ID, Component name, Version number, Admin ID, Timestamp, IP, Reason text</w:t>
            </w:r>
          </w:p>
        </w:tc>
      </w:tr>
      <w:tr>
        <w:trPr>
          <w:tblHeader w:val="false"/>
        </w:trP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Version restored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Model ID, Component name, Version number, Admin ID, Timestamp</w:t>
            </w:r>
          </w:p>
        </w:tc>
      </w:tr>
      <w:tr>
        <w:trPr>
          <w:tblHeader w:val="false"/>
        </w:trP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Additional document uploaded</w:t>
            </w:r>
          </w:p>
        </w:tc>
        <w:tc>
          <w:tcPr>
            <w:tcW w:type="dxa" w:w="6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Model ID, File name, Document Type, Tags, User ID, Timestamp, File size</w:t>
            </w:r>
          </w:p>
        </w:tc>
      </w:tr>
      <w:tr>
        <w:trPr>
          <w:tblHeader w:val="false"/>
        </w:trP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Additional document deleted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Model ID, File name, User/Admin ID, Timestamp, Reason</w:t>
            </w:r>
          </w:p>
        </w:tc>
      </w:tr>
      <w:tr>
        <w:trPr>
          <w:tblHeader w:val="false"/>
        </w:trP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Repository bulk export</w:t>
            </w:r>
          </w:p>
        </w:tc>
        <w:tc>
          <w:tcPr>
            <w:tcW w:type="dxa" w:w="6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Model ID, Admin/User ID, Timestamp, File count, Total size</w:t>
            </w:r>
          </w:p>
        </w:tc>
      </w:tr>
    </w:tbl>
    <w:p>
      <w:pPr>
        <w:spacing w:after="160" w:before="0"/>
      </w:pPr>
      <w:r>
        <w:t xml:space="preserve"/>
      </w:r>
    </w:p>
    <w:p>
      <w:pPr>
        <w:pStyle w:val="Heading2"/>
        <w:spacing w:after="120" w:before="280"/>
      </w:pPr>
      <w:r>
        <w:rPr>
          <w:rFonts w:ascii="Arial" w:cs="Arial" w:eastAsia="Arial" w:hAnsi="Arial"/>
          <w:b/>
          <w:bCs/>
          <w:color w:val="1E3A8A"/>
          <w:sz w:val="26"/>
          <w:szCs w:val="26"/>
        </w:rPr>
        <w:t xml:space="preserve">4.16 Permissions &amp;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720"/>
        <w:gridCol w:w="1200"/>
      </w:tblGrid>
      <w:tr>
        <w:trPr>
          <w:tblHeader/>
        </w:trPr>
        <w:tc>
          <w:tcPr>
            <w:tcW w:type="dxa" w:w="144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Req ID</w:t>
            </w:r>
          </w:p>
        </w:tc>
        <w:tc>
          <w:tcPr>
            <w:tcW w:type="dxa" w:w="672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Requirement</w:t>
            </w:r>
          </w:p>
        </w:tc>
        <w:tc>
          <w:tcPr>
            <w:tcW w:type="dxa" w:w="12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18"/>
                <w:szCs w:val="18"/>
              </w:rPr>
              <w:t xml:space="preserve">Priority</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WF12-PRM-001</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Users shall only see repositories for models within their defined access scope as provisioned in the Access Control Center (Workflow 5). Attempting to navigate directly to a repository URL outside scope shall return a 403 — Access Denied response.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WF12-PRM-002</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Upload New Version shall be available to Users and Admins only. Viewers shall see no upload controls.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WF12-PRM-003</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Request Delete shall be available to Users only. Admins shall use direct Soft Delete instead.</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WF12-PRM-004</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Soft Delete (direct), Approve/Reject delete requests, and Restore shall be Admin-only actions.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WF12-PRM-005</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Audit Log component shall be viewable by all roles within their access scope. No role can delete or modify audit log entries.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WF12-PRM-006</w:t>
            </w:r>
          </w:p>
        </w:tc>
        <w:tc>
          <w:tcPr>
            <w:tcW w:type="dxa" w:w="6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All write actions (upload, delete request, soft delete, restore) shall be audit-logged with the active role context at the time of action.</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1E3A8A"/>
                <w:sz w:val="18"/>
                <w:szCs w:val="18"/>
              </w:rPr>
              <w:t xml:space="preserve">WF12-PRM-007</w:t>
            </w:r>
          </w:p>
        </w:tc>
        <w:tc>
          <w:tcPr>
            <w:tcW w:type="dxa" w:w="6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Soft-deleted component content shall be displayed in a greyed-out read-only state to Users. Admins shall see full content and Restore controls.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center"/>
            </w:pPr>
            <w:r>
              <w:rPr>
                <w:rFonts w:ascii="Arial" w:cs="Arial" w:eastAsia="Arial" w:hAnsi="Arial"/>
                <w:b/>
                <w:bCs/>
                <w:color w:val="1E3A8A"/>
                <w:sz w:val="18"/>
                <w:szCs w:val="18"/>
              </w:rPr>
              <w:t xml:space="preserve">Must</w:t>
            </w:r>
          </w:p>
        </w:tc>
      </w:tr>
    </w:tbl>
    <w:p>
      <w:pPr>
        <w:spacing w:after="0" w:before="0"/>
      </w:pPr>
      <w:r>
        <w:br w:type="page"/>
      </w:r>
    </w:p>
    <w:p>
      <w:pPr>
        <w:pStyle w:val="Heading1"/>
        <w:pBdr>
          <w:bottom w:val="single" w:color="1E3A8A" w:sz="6" w:space="4"/>
        </w:pBdr>
        <w:spacing w:after="160" w:before="360"/>
      </w:pPr>
      <w:r>
        <w:rPr>
          <w:rFonts w:ascii="Arial" w:cs="Arial" w:eastAsia="Arial" w:hAnsi="Arial"/>
          <w:b/>
          <w:bCs/>
          <w:color w:val="1E3A8A"/>
          <w:sz w:val="32"/>
          <w:szCs w:val="32"/>
        </w:rPr>
        <w:t xml:space="preserve">5. Non-Functional Requirements</w:t>
      </w:r>
    </w:p>
    <w:p>
      <w:pPr>
        <w:pStyle w:val="Heading2"/>
        <w:spacing w:after="120" w:before="280"/>
      </w:pPr>
      <w:r>
        <w:rPr>
          <w:rFonts w:ascii="Arial" w:cs="Arial" w:eastAsia="Arial" w:hAnsi="Arial"/>
          <w:b/>
          <w:bCs/>
          <w:color w:val="1E3A8A"/>
          <w:sz w:val="26"/>
          <w:szCs w:val="26"/>
        </w:rPr>
        <w:t xml:space="preserve">5.1 Security</w:t>
      </w:r>
    </w:p>
    <w:p>
      <w:pPr>
        <w:pStyle w:val="ListParagraph"/>
        <w:numPr>
          <w:ilvl w:val="0"/>
          <w:numId w:val="2"/>
        </w:numPr>
        <w:spacing w:after="60" w:before="0"/>
      </w:pPr>
      <w:r>
        <w:rPr>
          <w:rFonts w:ascii="Arial" w:cs="Arial" w:eastAsia="Arial" w:hAnsi="Arial"/>
          <w:color w:val="1E293B"/>
          <w:sz w:val="20"/>
          <w:szCs w:val="20"/>
        </w:rPr>
        <w:t xml:space="preserve">All communication shall use TLS 1.2 or higher; HTTP shall be redirected to HTTPS</w:t>
      </w:r>
    </w:p>
    <w:p>
      <w:pPr>
        <w:pStyle w:val="ListParagraph"/>
        <w:numPr>
          <w:ilvl w:val="0"/>
          <w:numId w:val="2"/>
        </w:numPr>
        <w:spacing w:after="60" w:before="0"/>
      </w:pPr>
      <w:r>
        <w:rPr>
          <w:rFonts w:ascii="Arial" w:cs="Arial" w:eastAsia="Arial" w:hAnsi="Arial"/>
          <w:color w:val="1E293B"/>
          <w:sz w:val="20"/>
          <w:szCs w:val="20"/>
        </w:rPr>
        <w:t xml:space="preserve">Uploaded files shall be virus-scanned before processing; macro-enabled formats (.xlsm, .docm) shall be rejected unless explicitly allowed by security policy</w:t>
      </w:r>
    </w:p>
    <w:p>
      <w:pPr>
        <w:pStyle w:val="ListParagraph"/>
        <w:numPr>
          <w:ilvl w:val="0"/>
          <w:numId w:val="2"/>
        </w:numPr>
        <w:spacing w:after="60" w:before="0"/>
      </w:pPr>
      <w:r>
        <w:rPr>
          <w:rFonts w:ascii="Arial" w:cs="Arial" w:eastAsia="Arial" w:hAnsi="Arial"/>
          <w:color w:val="1E293B"/>
          <w:sz w:val="20"/>
          <w:szCs w:val="20"/>
        </w:rPr>
        <w:t xml:space="preserve">File uploads shall be processed in an isolated sandbox; temporary upload artefacts shall be deleted once ingestion is confirmed or cancelled</w:t>
      </w:r>
    </w:p>
    <w:p>
      <w:pPr>
        <w:pStyle w:val="ListParagraph"/>
        <w:numPr>
          <w:ilvl w:val="0"/>
          <w:numId w:val="2"/>
        </w:numPr>
        <w:spacing w:after="60" w:before="0"/>
      </w:pPr>
      <w:r>
        <w:rPr>
          <w:rFonts w:ascii="Arial" w:cs="Arial" w:eastAsia="Arial" w:hAnsi="Arial"/>
          <w:color w:val="1E293B"/>
          <w:sz w:val="20"/>
          <w:szCs w:val="20"/>
        </w:rPr>
        <w:t xml:space="preserve">Audit log entries shall be tamper-evident and immutable to all platform roles</w:t>
      </w:r>
    </w:p>
    <w:p>
      <w:pPr>
        <w:pStyle w:val="ListParagraph"/>
        <w:numPr>
          <w:ilvl w:val="0"/>
          <w:numId w:val="2"/>
        </w:numPr>
        <w:spacing w:after="60" w:before="0"/>
      </w:pPr>
      <w:r>
        <w:rPr>
          <w:rFonts w:ascii="Arial" w:cs="Arial" w:eastAsia="Arial" w:hAnsi="Arial"/>
          <w:color w:val="1E293B"/>
          <w:sz w:val="20"/>
          <w:szCs w:val="20"/>
        </w:rPr>
        <w:t xml:space="preserve">File integrity shall be verified at upload using a cryptographic hash (SHA-256); stored alongside version metadata</w:t>
      </w:r>
    </w:p>
    <w:p>
      <w:pPr>
        <w:pStyle w:val="ListParagraph"/>
        <w:numPr>
          <w:ilvl w:val="0"/>
          <w:numId w:val="2"/>
        </w:numPr>
        <w:spacing w:after="60" w:before="0"/>
      </w:pPr>
      <w:r>
        <w:rPr>
          <w:rFonts w:ascii="Arial" w:cs="Arial" w:eastAsia="Arial" w:hAnsi="Arial"/>
          <w:color w:val="1E293B"/>
          <w:sz w:val="20"/>
          <w:szCs w:val="20"/>
        </w:rPr>
        <w:t xml:space="preserve">Access to repository endpoints outside a User's scope shall return a 403 — Access Denied response and generate an audit log entry</w:t>
      </w:r>
    </w:p>
    <w:p>
      <w:pPr>
        <w:pStyle w:val="ListParagraph"/>
        <w:numPr>
          <w:ilvl w:val="0"/>
          <w:numId w:val="2"/>
        </w:numPr>
        <w:spacing w:after="60" w:before="0"/>
      </w:pPr>
      <w:r>
        <w:rPr>
          <w:rFonts w:ascii="Arial" w:cs="Arial" w:eastAsia="Arial" w:hAnsi="Arial"/>
          <w:color w:val="1E293B"/>
          <w:sz w:val="20"/>
          <w:szCs w:val="20"/>
        </w:rPr>
        <w:t xml:space="preserve">CSRF protection shall be applied to all write actions (upload, delete request submission, soft delete)</w:t>
      </w:r>
    </w:p>
    <w:p>
      <w:pPr>
        <w:pStyle w:val="Heading2"/>
        <w:spacing w:after="120" w:before="280"/>
      </w:pPr>
      <w:r>
        <w:rPr>
          <w:rFonts w:ascii="Arial" w:cs="Arial" w:eastAsia="Arial" w:hAnsi="Arial"/>
          <w:b/>
          <w:bCs/>
          <w:color w:val="1E3A8A"/>
          <w:sz w:val="26"/>
          <w:szCs w:val="26"/>
        </w:rPr>
        <w:t xml:space="preserve">5.2 Performance</w:t>
      </w:r>
    </w:p>
    <w:p>
      <w:pPr>
        <w:pStyle w:val="ListParagraph"/>
        <w:numPr>
          <w:ilvl w:val="0"/>
          <w:numId w:val="2"/>
        </w:numPr>
        <w:spacing w:after="60" w:before="0"/>
      </w:pPr>
      <w:r>
        <w:rPr>
          <w:rFonts w:ascii="Arial" w:cs="Arial" w:eastAsia="Arial" w:hAnsi="Arial"/>
          <w:color w:val="1E293B"/>
          <w:sz w:val="20"/>
          <w:szCs w:val="20"/>
        </w:rPr>
        <w:t xml:space="preserve">Domain List, Technique List, and Model List screens shall render within 2.0 seconds at the 95th percentile</w:t>
      </w:r>
    </w:p>
    <w:p>
      <w:pPr>
        <w:pStyle w:val="ListParagraph"/>
        <w:numPr>
          <w:ilvl w:val="0"/>
          <w:numId w:val="2"/>
        </w:numPr>
        <w:spacing w:after="60" w:before="0"/>
      </w:pPr>
      <w:r>
        <w:rPr>
          <w:rFonts w:ascii="Arial" w:cs="Arial" w:eastAsia="Arial" w:hAnsi="Arial"/>
          <w:color w:val="1E293B"/>
          <w:sz w:val="20"/>
          <w:szCs w:val="20"/>
        </w:rPr>
        <w:t>Model Repository Dashboard (S04) shall render all thirteen component rows within 1.5 seconds at the 95th percentile</w:t>
      </w:r>
    </w:p>
    <w:p>
      <w:pPr>
        <w:pStyle w:val="ListParagraph"/>
        <w:numPr>
          <w:ilvl w:val="0"/>
          <w:numId w:val="2"/>
        </w:numPr>
        <w:spacing w:after="60" w:before="0"/>
      </w:pPr>
      <w:r>
        <w:rPr>
          <w:rFonts w:ascii="Arial" w:cs="Arial" w:eastAsia="Arial" w:hAnsi="Arial"/>
          <w:color w:val="1E293B"/>
          <w:sz w:val="20"/>
          <w:szCs w:val="20"/>
        </w:rPr>
        <w:t xml:space="preserve">Component viewer screens (S05–S13) shall render the version sidebar and initial content within 2.0 seconds at the 95th percentile</w:t>
      </w:r>
    </w:p>
    <w:p>
      <w:pPr>
        <w:pStyle w:val="ListParagraph"/>
        <w:numPr>
          <w:ilvl w:val="0"/>
          <w:numId w:val="2"/>
        </w:numPr>
        <w:spacing w:after="60" w:before="0"/>
      </w:pPr>
      <w:r>
        <w:rPr>
          <w:rFonts w:ascii="Arial" w:cs="Arial" w:eastAsia="Arial" w:hAnsi="Arial"/>
          <w:color w:val="1E293B"/>
          <w:sz w:val="20"/>
          <w:szCs w:val="20"/>
        </w:rPr>
        <w:t xml:space="preserve">File upload confirmation (version committed to storage) shall complete within 5 seconds for files up to 10 MB and within 30 seconds for files up to 50 MB</w:t>
      </w:r>
    </w:p>
    <w:p>
      <w:pPr>
        <w:pStyle w:val="ListParagraph"/>
        <w:numPr>
          <w:ilvl w:val="0"/>
          <w:numId w:val="2"/>
        </w:numPr>
        <w:spacing w:after="60" w:before="0"/>
      </w:pPr>
      <w:r>
        <w:rPr>
          <w:rFonts w:ascii="Arial" w:cs="Arial" w:eastAsia="Arial" w:hAnsi="Arial"/>
          <w:color w:val="1E293B"/>
          <w:sz w:val="20"/>
          <w:szCs w:val="20"/>
        </w:rPr>
        <w:t xml:space="preserve">Audit Log table (S12) shall render up to 1,000 entries within 2.0 seconds with filters applied</w:t>
      </w:r>
    </w:p>
    <w:p>
      <w:pPr>
        <w:pStyle w:val="Heading2"/>
        <w:spacing w:after="120" w:before="280"/>
      </w:pPr>
      <w:r>
        <w:rPr>
          <w:rFonts w:ascii="Arial" w:cs="Arial" w:eastAsia="Arial" w:hAnsi="Arial"/>
          <w:b/>
          <w:bCs/>
          <w:color w:val="1E3A8A"/>
          <w:sz w:val="26"/>
          <w:szCs w:val="26"/>
        </w:rPr>
        <w:t xml:space="preserve">5.3 Availability</w:t>
      </w:r>
    </w:p>
    <w:p>
      <w:pPr>
        <w:pStyle w:val="ListParagraph"/>
        <w:numPr>
          <w:ilvl w:val="0"/>
          <w:numId w:val="2"/>
        </w:numPr>
        <w:spacing w:after="60" w:before="0"/>
      </w:pPr>
      <w:r>
        <w:rPr>
          <w:rFonts w:ascii="Arial" w:cs="Arial" w:eastAsia="Arial" w:hAnsi="Arial"/>
          <w:color w:val="1E293B"/>
          <w:sz w:val="20"/>
          <w:szCs w:val="20"/>
        </w:rPr>
        <w:t xml:space="preserve">The platform shall target an uptime of 99.5% or higher, excluding scheduled maintenance windows</w:t>
      </w:r>
    </w:p>
    <w:p>
      <w:pPr>
        <w:pStyle w:val="ListParagraph"/>
        <w:numPr>
          <w:ilvl w:val="0"/>
          <w:numId w:val="2"/>
        </w:numPr>
        <w:spacing w:after="60" w:before="0"/>
      </w:pPr>
      <w:r>
        <w:rPr>
          <w:rFonts w:ascii="Arial" w:cs="Arial" w:eastAsia="Arial" w:hAnsi="Arial"/>
          <w:color w:val="1E293B"/>
          <w:sz w:val="20"/>
          <w:szCs w:val="20"/>
        </w:rPr>
        <w:t xml:space="preserve">File storage backend outages shall surface a clear error message to the User; the upload shall be retryable without data loss</w:t>
      </w:r>
    </w:p>
    <w:p>
      <w:pPr>
        <w:pStyle w:val="Heading2"/>
        <w:spacing w:after="120" w:before="280"/>
      </w:pPr>
      <w:r>
        <w:rPr>
          <w:rFonts w:ascii="Arial" w:cs="Arial" w:eastAsia="Arial" w:hAnsi="Arial"/>
          <w:b/>
          <w:bCs/>
          <w:color w:val="1E3A8A"/>
          <w:sz w:val="26"/>
          <w:szCs w:val="26"/>
        </w:rPr>
        <w:t xml:space="preserve">5.4 Usability &amp; Accessibility</w:t>
      </w:r>
    </w:p>
    <w:p>
      <w:pPr>
        <w:pStyle w:val="ListParagraph"/>
        <w:numPr>
          <w:ilvl w:val="0"/>
          <w:numId w:val="2"/>
        </w:numPr>
        <w:spacing w:after="60" w:before="0"/>
      </w:pPr>
      <w:r>
        <w:rPr>
          <w:rFonts w:ascii="Arial" w:cs="Arial" w:eastAsia="Arial" w:hAnsi="Arial"/>
          <w:color w:val="1E293B"/>
          <w:sz w:val="20"/>
          <w:szCs w:val="20"/>
        </w:rPr>
        <w:t xml:space="preserve">The workflow shall meet WCAG 2.1 Level AA accessibility standards</w:t>
      </w:r>
    </w:p>
    <w:p>
      <w:pPr>
        <w:pStyle w:val="ListParagraph"/>
        <w:numPr>
          <w:ilvl w:val="0"/>
          <w:numId w:val="2"/>
        </w:numPr>
        <w:spacing w:after="60" w:before="0"/>
      </w:pPr>
      <w:r>
        <w:rPr>
          <w:rFonts w:ascii="Arial" w:cs="Arial" w:eastAsia="Arial" w:hAnsi="Arial"/>
          <w:color w:val="1E293B"/>
          <w:sz w:val="20"/>
          <w:szCs w:val="20"/>
        </w:rPr>
        <w:t xml:space="preserve">Status pills (Uploaded / Pending / Not Uploaded / Deleted) shall be reinforced by icon or text labels, not colour alone</w:t>
      </w:r>
    </w:p>
    <w:p>
      <w:pPr>
        <w:pStyle w:val="ListParagraph"/>
        <w:numPr>
          <w:ilvl w:val="0"/>
          <w:numId w:val="2"/>
        </w:numPr>
        <w:spacing w:after="60" w:before="0"/>
      </w:pPr>
      <w:r>
        <w:rPr>
          <w:rFonts w:ascii="Arial" w:cs="Arial" w:eastAsia="Arial" w:hAnsi="Arial"/>
          <w:color w:val="1E293B"/>
          <w:sz w:val="20"/>
          <w:szCs w:val="20"/>
        </w:rPr>
        <w:t xml:space="preserve">The version sidebar and left-navigation sub-tree shall be keyboard-navigable</w:t>
      </w:r>
    </w:p>
    <w:p>
      <w:pPr>
        <w:pStyle w:val="ListParagraph"/>
        <w:numPr>
          <w:ilvl w:val="0"/>
          <w:numId w:val="2"/>
        </w:numPr>
        <w:spacing w:after="60" w:before="0"/>
      </w:pPr>
      <w:r>
        <w:rPr>
          <w:rFonts w:ascii="Arial" w:cs="Arial" w:eastAsia="Arial" w:hAnsi="Arial"/>
          <w:color w:val="1E293B"/>
          <w:sz w:val="20"/>
          <w:szCs w:val="20"/>
        </w:rPr>
        <w:t xml:space="preserve">Upload drag-and-drop zones shall have accessible keyboard-trigger equivalents</w:t>
      </w:r>
    </w:p>
    <w:p>
      <w:pPr>
        <w:pStyle w:val="ListParagraph"/>
        <w:numPr>
          <w:ilvl w:val="0"/>
          <w:numId w:val="2"/>
        </w:numPr>
        <w:spacing w:after="60" w:before="0"/>
      </w:pPr>
      <w:r>
        <w:rPr>
          <w:rFonts w:ascii="Arial" w:cs="Arial" w:eastAsia="Arial" w:hAnsi="Arial"/>
          <w:color w:val="1E293B"/>
          <w:sz w:val="20"/>
          <w:szCs w:val="20"/>
        </w:rPr>
        <w:t xml:space="preserve">All modal dialogs shall be focus-trapped and closeable via Escape key</w:t>
      </w:r>
    </w:p>
    <w:p>
      <w:pPr>
        <w:pStyle w:val="Heading2"/>
        <w:spacing w:after="120" w:before="280"/>
      </w:pPr>
      <w:r>
        <w:rPr>
          <w:rFonts w:ascii="Arial" w:cs="Arial" w:eastAsia="Arial" w:hAnsi="Arial"/>
          <w:b/>
          <w:bCs/>
          <w:color w:val="1E3A8A"/>
          <w:sz w:val="26"/>
          <w:szCs w:val="26"/>
        </w:rPr>
        <w:t xml:space="preserve">5.5 Compliance</w:t>
      </w:r>
    </w:p>
    <w:p>
      <w:pPr>
        <w:pStyle w:val="ListParagraph"/>
        <w:numPr>
          <w:ilvl w:val="0"/>
          <w:numId w:val="2"/>
        </w:numPr>
        <w:spacing w:after="60" w:before="0"/>
      </w:pPr>
      <w:r>
        <w:rPr>
          <w:rFonts w:ascii="Arial" w:cs="Arial" w:eastAsia="Arial" w:hAnsi="Arial"/>
          <w:color w:val="1E293B"/>
          <w:sz w:val="20"/>
          <w:szCs w:val="20"/>
        </w:rPr>
        <w:t xml:space="preserve">Audit logging shall satisfy internal model risk management requirements and applicable regulatory requirements for model documentation</w:t>
      </w:r>
    </w:p>
    <w:p>
      <w:pPr>
        <w:pStyle w:val="ListParagraph"/>
        <w:numPr>
          <w:ilvl w:val="0"/>
          <w:numId w:val="2"/>
        </w:numPr>
        <w:spacing w:after="60" w:before="0"/>
      </w:pPr>
      <w:r>
        <w:rPr>
          <w:rFonts w:ascii="Arial" w:cs="Arial" w:eastAsia="Arial" w:hAnsi="Arial"/>
          <w:color w:val="1E293B"/>
          <w:sz w:val="20"/>
          <w:szCs w:val="20"/>
        </w:rPr>
        <w:t xml:space="preserve">Default file retention for repository components shall follow Category B (3 years) for monitoring outputs and Category C (7 years) for audit logs, per the Foundational BRD data retention policy</w:t>
      </w:r>
    </w:p>
    <w:p>
      <w:pPr>
        <w:pStyle w:val="ListParagraph"/>
        <w:numPr>
          <w:ilvl w:val="0"/>
          <w:numId w:val="2"/>
        </w:numPr>
        <w:spacing w:after="60" w:before="0"/>
      </w:pPr>
      <w:r>
        <w:rPr>
          <w:rFonts w:ascii="Arial" w:cs="Arial" w:eastAsia="Arial" w:hAnsi="Arial"/>
          <w:color w:val="1E293B"/>
          <w:sz w:val="20"/>
          <w:szCs w:val="20"/>
        </w:rPr>
        <w:t xml:space="preserve">Soft-deleted content shall remain retrievable by Admin for the full retention period; no hard deletion occurs within this workflow</w:t>
      </w:r>
    </w:p>
    <w:p>
      <w:pPr>
        <w:pStyle w:val="Heading2"/>
        <w:spacing w:after="120" w:before="280"/>
      </w:pPr>
      <w:r>
        <w:rPr>
          <w:rFonts w:ascii="Arial" w:cs="Arial" w:eastAsia="Arial" w:hAnsi="Arial"/>
          <w:b/>
          <w:bCs/>
          <w:color w:val="1E3A8A"/>
          <w:sz w:val="26"/>
          <w:szCs w:val="26"/>
        </w:rPr>
        <w:t xml:space="preserve">5.6 Maintainability</w:t>
      </w:r>
    </w:p>
    <w:p>
      <w:pPr>
        <w:pStyle w:val="ListParagraph"/>
        <w:numPr>
          <w:ilvl w:val="0"/>
          <w:numId w:val="2"/>
        </w:numPr>
        <w:spacing w:after="60" w:before="0"/>
      </w:pPr>
      <w:r>
        <w:rPr>
          <w:rFonts w:ascii="Arial" w:cs="Arial" w:eastAsia="Arial" w:hAnsi="Arial"/>
          <w:color w:val="1E293B"/>
          <w:sz w:val="20"/>
          <w:szCs w:val="20"/>
        </w:rPr>
        <w:t xml:space="preserve">Document Type picklist values for Additional Documents shall be externalised and modifiable without code changes</w:t>
      </w:r>
    </w:p>
    <w:p>
      <w:pPr>
        <w:pStyle w:val="ListParagraph"/>
        <w:numPr>
          <w:ilvl w:val="0"/>
          <w:numId w:val="2"/>
        </w:numPr>
        <w:spacing w:after="60" w:before="0"/>
      </w:pPr>
      <w:r>
        <w:rPr>
          <w:rFonts w:ascii="Arial" w:cs="Arial" w:eastAsia="Arial" w:hAnsi="Arial"/>
          <w:color w:val="1E293B"/>
          <w:sz w:val="20"/>
          <w:szCs w:val="20"/>
        </w:rPr>
        <w:t xml:space="preserve">Maximum file size, accepted file types, and minimum deletion reason length shall all be externalised configuration values</w:t>
      </w:r>
    </w:p>
    <w:p>
      <w:pPr>
        <w:pStyle w:val="ListParagraph"/>
        <w:numPr>
          <w:ilvl w:val="0"/>
          <w:numId w:val="2"/>
        </w:numPr>
        <w:spacing w:after="60" w:before="0"/>
      </w:pPr>
      <w:r>
        <w:rPr>
          <w:rFonts w:ascii="Arial" w:cs="Arial" w:eastAsia="Arial" w:hAnsi="Arial"/>
          <w:color w:val="1E293B"/>
          <w:sz w:val="20"/>
          <w:szCs w:val="20"/>
        </w:rPr>
        <w:t>The thirteen component slot definitions (name, source type, viewer template) shall be data-driven and extensible without schema changes to add future slots</w:t>
      </w:r>
    </w:p>
    <w:p>
      <w:pPr>
        <w:spacing w:after="0" w:before="0"/>
      </w:pPr>
      <w:r>
        <w:br w:type="page"/>
      </w:r>
    </w:p>
    <w:p>
      <w:pPr>
        <w:pStyle w:val="Heading1"/>
        <w:pBdr>
          <w:bottom w:val="single" w:color="1E3A8A" w:sz="6" w:space="4"/>
        </w:pBdr>
        <w:spacing w:after="160" w:before="360"/>
      </w:pPr>
      <w:r>
        <w:rPr>
          <w:rFonts w:ascii="Arial" w:cs="Arial" w:eastAsia="Arial" w:hAnsi="Arial"/>
          <w:b/>
          <w:bCs/>
          <w:color w:val="1E3A8A"/>
          <w:sz w:val="32"/>
          <w:szCs w:val="32"/>
        </w:rPr>
        <w:t xml:space="preserve">6. UI / UX References</w:t>
      </w:r>
    </w:p>
    <w:p>
      <w:pPr>
        <w:spacing w:after="120" w:before="0"/>
      </w:pPr>
      <w:r>
        <w:rPr>
          <w:rFonts w:ascii="Arial" w:cs="Arial" w:eastAsia="Arial" w:hAnsi="Arial"/>
          <w:color w:val="1E293B"/>
          <w:sz w:val="20"/>
          <w:szCs w:val="20"/>
        </w:rPr>
        <w:t xml:space="preserve">An interactive HTML wireframe covering all fourteen screens in this BRD has been delivered as a companion artefact (datacenter_repository_wireframe.html). The wireframe illustrates:</w:t>
      </w:r>
    </w:p>
    <w:p>
      <w:pPr>
        <w:pStyle w:val="ListParagraph"/>
        <w:numPr>
          <w:ilvl w:val="0"/>
          <w:numId w:val="2"/>
        </w:numPr>
        <w:spacing w:after="60" w:before="0"/>
      </w:pPr>
      <w:r>
        <w:rPr>
          <w:rFonts w:ascii="Arial" w:cs="Arial" w:eastAsia="Arial" w:hAnsi="Arial"/>
          <w:color w:val="1E293B"/>
          <w:sz w:val="20"/>
          <w:szCs w:val="20"/>
        </w:rPr>
        <w:t xml:space="preserve">The three-level folder navigation (S01 Domain cards → S02 Technique cards → S03 Model table)</w:t>
      </w:r>
    </w:p>
    <w:p>
      <w:pPr>
        <w:pStyle w:val="ListParagraph"/>
        <w:numPr>
          <w:ilvl w:val="0"/>
          <w:numId w:val="2"/>
        </w:numPr>
        <w:spacing w:after="60" w:before="0"/>
      </w:pPr>
      <w:r>
        <w:rPr>
          <w:rFonts w:ascii="Arial" w:cs="Arial" w:eastAsia="Arial" w:hAnsi="Arial"/>
          <w:color w:val="1E293B"/>
          <w:sz w:val="20"/>
          <w:szCs w:val="20"/>
        </w:rPr>
        <w:t>The grouped component table layout on S04, replacing a card-grid, to prevent visual overflow at thirteen items</w:t>
      </w:r>
    </w:p>
    <w:p>
      <w:pPr>
        <w:pStyle w:val="ListParagraph"/>
        <w:numPr>
          <w:ilvl w:val="0"/>
          <w:numId w:val="2"/>
        </w:numPr>
        <w:spacing w:after="60" w:before="0"/>
      </w:pPr>
      <w:r>
        <w:rPr>
          <w:rFonts w:ascii="Arial" w:cs="Arial" w:eastAsia="Arial" w:hAnsi="Arial"/>
          <w:color w:val="1E293B"/>
          <w:sz w:val="20"/>
          <w:szCs w:val="20"/>
        </w:rPr>
        <w:t xml:space="preserve">The version sidebar + document viewer pattern used consistently on S05 through S11</w:t>
      </w:r>
    </w:p>
    <w:p>
      <w:pPr>
        <w:pStyle w:val="ListParagraph"/>
        <w:numPr>
          <w:ilvl w:val="0"/>
          <w:numId w:val="2"/>
        </w:numPr>
        <w:spacing w:after="60" w:before="0"/>
      </w:pPr>
      <w:r>
        <w:rPr>
          <w:rFonts w:ascii="Arial" w:cs="Arial" w:eastAsia="Arial" w:hAnsi="Arial"/>
          <w:color w:val="1E293B"/>
          <w:sz w:val="20"/>
          <w:szCs w:val="20"/>
        </w:rPr>
        <w:t xml:space="preserve">The three independently versioned drift tabs on S09, with the independence info banner</w:t>
      </w:r>
    </w:p>
    <w:p>
      <w:pPr>
        <w:pStyle w:val="ListParagraph"/>
        <w:numPr>
          <w:ilvl w:val="0"/>
          <w:numId w:val="2"/>
        </w:numPr>
        <w:spacing w:after="60" w:before="0"/>
      </w:pPr>
      <w:r>
        <w:rPr>
          <w:rFonts w:ascii="Arial" w:cs="Arial" w:eastAsia="Arial" w:hAnsi="Arial"/>
          <w:color w:val="1E293B"/>
          <w:sz w:val="20"/>
          <w:szCs w:val="20"/>
        </w:rPr>
        <w:t xml:space="preserve">The empty state on S11 for agent-pending components</w:t>
      </w:r>
    </w:p>
    <w:p>
      <w:pPr>
        <w:pStyle w:val="ListParagraph"/>
        <w:numPr>
          <w:ilvl w:val="0"/>
          <w:numId w:val="2"/>
        </w:numPr>
        <w:spacing w:after="60" w:before="0"/>
      </w:pPr>
      <w:r>
        <w:rPr>
          <w:rFonts w:ascii="Arial" w:cs="Arial" w:eastAsia="Arial" w:hAnsi="Arial"/>
          <w:color w:val="1E293B"/>
          <w:sz w:val="20"/>
          <w:szCs w:val="20"/>
        </w:rPr>
        <w:t xml:space="preserve">The Audit Log table (S12) with filter toolbar and no delete controls</w:t>
      </w:r>
    </w:p>
    <w:p>
      <w:pPr>
        <w:pStyle w:val="ListParagraph"/>
        <w:numPr>
          <w:ilvl w:val="0"/>
          <w:numId w:val="2"/>
        </w:numPr>
        <w:spacing w:after="60" w:before="0"/>
      </w:pPr>
      <w:r>
        <w:rPr>
          <w:rFonts w:ascii="Arial" w:cs="Arial" w:eastAsia="Arial" w:hAnsi="Arial"/>
          <w:color w:val="1E293B"/>
          <w:sz w:val="20"/>
          <w:szCs w:val="20"/>
        </w:rPr>
        <w:t xml:space="preserve">The Additional Documents upload drawer (S13)</w:t>
      </w:r>
    </w:p>
    <w:p>
      <w:pPr>
        <w:pStyle w:val="ListParagraph"/>
        <w:numPr>
          <w:ilvl w:val="0"/>
          <w:numId w:val="2"/>
        </w:numPr>
        <w:spacing w:after="60" w:before="0"/>
      </w:pPr>
      <w:r>
        <w:rPr>
          <w:rFonts w:ascii="Arial" w:cs="Arial" w:eastAsia="Arial" w:hAnsi="Arial"/>
          <w:color w:val="1E293B"/>
          <w:sz w:val="20"/>
          <w:szCs w:val="20"/>
        </w:rPr>
        <w:t xml:space="preserve">The Delete Request modal (S14) in both User request and Admin review states, shown side-by-side</w:t>
      </w:r>
    </w:p>
    <w:p>
      <w:pPr>
        <w:pStyle w:val="ListParagraph"/>
        <w:numPr>
          <w:ilvl w:val="0"/>
          <w:numId w:val="2"/>
        </w:numPr>
        <w:spacing w:after="60" w:before="0"/>
      </w:pPr>
      <w:r>
        <w:rPr>
          <w:rFonts w:ascii="Arial" w:cs="Arial" w:eastAsia="Arial" w:hAnsi="Arial"/>
          <w:color w:val="1E293B"/>
          <w:sz w:val="20"/>
          <w:szCs w:val="20"/>
        </w:rPr>
        <w:t xml:space="preserve">The persistent left-navigation sub-tree with active component highlighting</w:t>
      </w:r>
    </w:p>
    <w:p>
      <w:pPr>
        <w:spacing w:after="120" w:before="0"/>
      </w:pPr>
      <w:r>
        <w:t xml:space="preserve"/>
      </w:r>
    </w:p>
    <w:p>
      <w:pPr>
        <w:spacing w:after="120" w:before="0"/>
      </w:pPr>
      <w:r>
        <w:rPr>
          <w:rFonts w:ascii="Arial" w:cs="Arial" w:eastAsia="Arial" w:hAnsi="Arial"/>
          <w:color w:val="1E293B"/>
          <w:sz w:val="20"/>
          <w:szCs w:val="20"/>
        </w:rPr>
        <w:t xml:space="preserve">The wireframe annotations reference BRD requirement IDs in the pattern [REPO-SXX-NNN] for traceability. In-line annotations are shown as amber badges on each screen.</w:t>
      </w:r>
    </w:p>
    <w:p>
      <w:pPr>
        <w:pStyle w:val="Heading2"/>
        <w:spacing w:after="120" w:before="280"/>
      </w:pPr>
      <w:r>
        <w:rPr>
          <w:rFonts w:ascii="Arial" w:cs="Arial" w:eastAsia="Arial" w:hAnsi="Arial"/>
          <w:b/>
          <w:bCs/>
          <w:color w:val="1E3A8A"/>
          <w:sz w:val="26"/>
          <w:szCs w:val="26"/>
        </w:rPr>
        <w:t xml:space="preserve">6.1 Branding and Design System</w:t>
      </w:r>
    </w:p>
    <w:p>
      <w:pPr>
        <w:pStyle w:val="ListParagraph"/>
        <w:numPr>
          <w:ilvl w:val="0"/>
          <w:numId w:val="2"/>
        </w:numPr>
        <w:spacing w:after="60" w:before="0"/>
      </w:pPr>
      <w:r>
        <w:rPr>
          <w:rFonts w:ascii="Arial" w:cs="Arial" w:eastAsia="Arial" w:hAnsi="Arial"/>
          <w:color w:val="1E293B"/>
          <w:sz w:val="20"/>
          <w:szCs w:val="20"/>
        </w:rPr>
        <w:t xml:space="preserve">All visual design shall conform strictly to the corporate design system</w:t>
      </w:r>
    </w:p>
    <w:p>
      <w:pPr>
        <w:pStyle w:val="ListParagraph"/>
        <w:numPr>
          <w:ilvl w:val="0"/>
          <w:numId w:val="2"/>
        </w:numPr>
        <w:spacing w:after="60" w:before="0"/>
      </w:pPr>
      <w:r>
        <w:rPr>
          <w:rFonts w:ascii="Arial" w:cs="Arial" w:eastAsia="Arial" w:hAnsi="Arial"/>
          <w:color w:val="1E293B"/>
          <w:sz w:val="20"/>
          <w:szCs w:val="20"/>
        </w:rPr>
        <w:t xml:space="preserve">Logos, colour palette, typography, and iconography shall be sourced from the official corporate design library</w:t>
      </w:r>
    </w:p>
    <w:p>
      <w:pPr>
        <w:pStyle w:val="ListParagraph"/>
        <w:numPr>
          <w:ilvl w:val="0"/>
          <w:numId w:val="2"/>
        </w:numPr>
        <w:spacing w:after="60" w:before="0"/>
      </w:pPr>
      <w:r>
        <w:rPr>
          <w:rFonts w:ascii="Arial" w:cs="Arial" w:eastAsia="Arial" w:hAnsi="Arial"/>
          <w:color w:val="1E293B"/>
          <w:sz w:val="20"/>
          <w:szCs w:val="20"/>
        </w:rPr>
        <w:t xml:space="preserve">Final visual designs shall be produced by the UX team and reviewed by the brand custodian prior to development</w:t>
      </w:r>
    </w:p>
    <w:p>
      <w:pPr>
        <w:pStyle w:val="Heading2"/>
        <w:spacing w:after="120" w:before="280"/>
      </w:pPr>
      <w:r>
        <w:rPr>
          <w:rFonts w:ascii="Arial" w:cs="Arial" w:eastAsia="Arial" w:hAnsi="Arial"/>
          <w:b/>
          <w:bCs/>
          <w:color w:val="1E3A8A"/>
          <w:sz w:val="26"/>
          <w:szCs w:val="26"/>
        </w:rPr>
        <w:t xml:space="preserve">6.2 Iconography</w:t>
      </w:r>
    </w:p>
    <w:p>
      <w:pPr>
        <w:spacing w:after="120" w:before="0"/>
      </w:pPr>
      <w:r>
        <w:rPr>
          <w:rFonts w:ascii="Arial" w:cs="Arial" w:eastAsia="Arial" w:hAnsi="Arial"/>
          <w:color w:val="1E293B"/>
          <w:sz w:val="20"/>
          <w:szCs w:val="20"/>
        </w:rPr>
        <w:t xml:space="preserve">Iconography in the wireframe is illustrative only. Final icon selection shall conform to the corporate icon set or, where unavailable, an approved third-party icon library.</w:t>
      </w:r>
    </w:p>
    <w:p>
      <w:pPr>
        <w:spacing w:after="0" w:before="0"/>
      </w:pPr>
      <w:r>
        <w:br w:type="page"/>
      </w:r>
    </w:p>
    <w:p>
      <w:pPr>
        <w:pStyle w:val="Heading1"/>
        <w:pBdr>
          <w:bottom w:val="single" w:color="1E3A8A" w:sz="6" w:space="4"/>
        </w:pBdr>
        <w:spacing w:after="160" w:before="360"/>
      </w:pPr>
      <w:r>
        <w:rPr>
          <w:rFonts w:ascii="Arial" w:cs="Arial" w:eastAsia="Arial" w:hAnsi="Arial"/>
          <w:b/>
          <w:bCs/>
          <w:color w:val="1E3A8A"/>
          <w:sz w:val="32"/>
          <w:szCs w:val="32"/>
        </w:rPr>
        <w:t xml:space="preserve">7. Open Items and Parked Gaps</w:t>
      </w:r>
    </w:p>
    <w:p>
      <w:pPr>
        <w:spacing w:after="120" w:before="0"/>
      </w:pPr>
      <w:r>
        <w:rPr>
          <w:rFonts w:ascii="Arial" w:cs="Arial" w:eastAsia="Arial" w:hAnsi="Arial"/>
          <w:color w:val="1E293B"/>
          <w:sz w:val="20"/>
          <w:szCs w:val="20"/>
        </w:rPr>
        <w:t xml:space="preserve">The following items have been identified during requirements elaboration and wireframe review. They do not block development of this workflow but require closure to ensure full implementation alignment.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200"/>
        <w:gridCol w:w="5720"/>
      </w:tblGrid>
      <w:tr>
        <w:trPr>
          <w:tblHeader/>
        </w:trPr>
        <w:tc>
          <w:tcPr>
            <w:tcW w:type="dxa" w:w="144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ID</w:t>
            </w:r>
          </w:p>
        </w:tc>
        <w:tc>
          <w:tcPr>
            <w:tcW w:type="dxa" w:w="22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Topic</w:t>
            </w:r>
          </w:p>
        </w:tc>
        <w:tc>
          <w:tcPr>
            <w:tcW w:type="dxa" w:w="572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Question / Decision Required</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OPN-W12-001</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Admin delete request inbox</w:t>
            </w:r>
          </w:p>
        </w:tc>
        <w:tc>
          <w:tcPr>
            <w:tcW w:type="dxa" w:w="5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Where exactly does the Admin see pending delete requests? Both the Repository (component-level badge) and the Access Control Center (Workflow 5 queue) have been identified as entry points. The primary inbox location needs to be confirmed and documented in Workflow 5.</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OPN-W12-002</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Agent vs User upload — completeness counter</w:t>
            </w:r>
          </w:p>
        </w:tc>
        <w:tc>
          <w:tcPr>
            <w:tcW w:type="dxa" w:w="5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Confirm that Agent-generated slots count as 'not uploaded' until the first agent run deposits a file, and that the progress fraction reflects this correctly. Coordinate with Workflow 4 (Data Ingestion) and the agent scheduler.</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OPN-W12-003</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Viewer access to drift reports</w:t>
            </w:r>
          </w:p>
        </w:tc>
        <w:tc>
          <w:tcPr>
            <w:tcW w:type="dxa" w:w="5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Can Viewers see the full drift report content including metric values and PSI scores, or only a summary? To be confirmed by the governance and compliance team before Access Control Center configuration.</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OPN-W12-004</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Document Type picklist management</w:t>
            </w:r>
          </w:p>
        </w:tc>
        <w:tc>
          <w:tcPr>
            <w:tcW w:type="dxa" w:w="5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Who manages the Document Type picklist for Additional Documents? Recommendation: Admin-configurable via Governance module (Workflow 7).</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OPN-W12-005</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Bulk export ZIP format</w:t>
            </w:r>
          </w:p>
        </w:tc>
        <w:tc>
          <w:tcPr>
            <w:tcW w:type="dxa" w:w="5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Confirm the ZIP structure for the 'Export All' action: flat (all files in root) or mirrored folder structure (component sub-folders). Recommend component sub-folders with a manifest JSON.</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OPN-W12-006</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Naming convention for Additional Documents</w:t>
            </w:r>
          </w:p>
        </w:tc>
        <w:tc>
          <w:tcPr>
            <w:tcW w:type="dxa" w:w="5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Should a file naming convention be enforced or recommended in the upload drawer? A configurable prompt is recommended but not mandatory.</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OPN-W12-007</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Version retention on hard delete</w:t>
            </w:r>
          </w:p>
        </w:tc>
        <w:tc>
          <w:tcPr>
            <w:tcW w:type="dxa" w:w="5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When a model is hard-deleted via the Governance module (Workflow 7), are all repository components and their version histories hard-deleted simultaneously? To be confirmed with the Governance workflow team.</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OPN-W12-008</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Agent deposit notification</w:t>
            </w:r>
          </w:p>
        </w:tc>
        <w:tc>
          <w:tcPr>
            <w:tcW w:type="dxa" w:w="5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Should the User (model owner) receive an email or in-platform notification when an agent deposits a new drift report or RCA to their model repository? Recommendation: configurable notification preference per User.</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OPN-W12-009</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Max versions per component slot</w:t>
            </w:r>
          </w:p>
        </w:tc>
        <w:tc>
          <w:tcPr>
            <w:tcW w:type="dxa" w:w="5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Is there a maximum number of versions that can be stored per component slot before older versions are auto-archived? Recommendation: no hard cap; configurable retention window via Governance module.</w:t>
            </w:r>
          </w:p>
        </w:tc>
      </w:tr>
      <w:tr>
        <w:trPr>
          <w:tblHeader w:val="false"/>
        </w:trP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OPN-W12-010</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Drift report tab default on S09</w:t>
            </w:r>
          </w:p>
        </w:tc>
        <w:tc>
          <w:tcPr>
            <w:tcW w:type="dxa" w:w="5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Should S09 open on a specific tab by default (e.g., the tab with the most recent activity or the tab with a warning/breach)? Recommendation: open on the tab with the most recent breach or warning; otherwise default to Data Drift.</w:t>
            </w:r>
          </w:p>
        </w:tc>
      </w:tr>
    </w:tbl>
    <w:p>
      <w:pPr>
        <w:spacing w:after="0" w:before="0"/>
      </w:pPr>
      <w:r>
        <w:br w:type="page"/>
      </w:r>
    </w:p>
    <w:p>
      <w:pPr>
        <w:pStyle w:val="Heading1"/>
        <w:pBdr>
          <w:bottom w:val="single" w:color="1E3A8A" w:sz="6" w:space="4"/>
        </w:pBdr>
        <w:spacing w:after="160" w:before="360"/>
      </w:pPr>
      <w:r>
        <w:rPr>
          <w:rFonts w:ascii="Arial" w:cs="Arial" w:eastAsia="Arial" w:hAnsi="Arial"/>
          <w:b/>
          <w:bCs/>
          <w:color w:val="1E3A8A"/>
          <w:sz w:val="32"/>
          <w:szCs w:val="32"/>
        </w:rPr>
        <w:t xml:space="preserve">8.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Term</w:t>
            </w:r>
          </w:p>
        </w:tc>
        <w:tc>
          <w:tcPr>
            <w:tcW w:type="dxa" w:w="6960"/>
            <w:tcBorders>
              <w:top w:val="single" w:color="CBD5E1" w:sz="1"/>
              <w:left w:val="single" w:color="CBD5E1" w:sz="1"/>
              <w:bottom w:val="single" w:color="CBD5E1" w:sz="1"/>
              <w:right w:val="single" w:color="CBD5E1" w:sz="1"/>
            </w:tcBorders>
            <w:shd w:fill="1E3A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18"/>
                <w:szCs w:val="18"/>
              </w:rPr>
              <w:t xml:space="preserve">Definition</w:t>
            </w:r>
          </w:p>
        </w:tc>
      </w:tr>
      <w:tr>
        <w:trPr>
          <w:tblHeader w:val="false"/>
        </w:trP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Additional Documents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free-form upload section (component 11) of the model repository, accepting any supported file type with an optional document type classification and tags.</w:t>
            </w:r>
          </w:p>
        </w:tc>
      </w:tr>
      <w:tr>
        <w:trPr>
          <w:tblHeader w:val="false"/>
        </w:trP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Agent Generated</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A component source classification indicating that the content was deposited to the repository by a monitoring agent (Data Drift, Concept Drift, Performance Drift, RCA, or Validation Report agents) rather than manually uploaded by a User.</w:t>
            </w:r>
          </w:p>
        </w:tc>
      </w:tr>
      <w:tr>
        <w:trPr>
          <w:tblHeader w:val="false"/>
        </w:trP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Audit Log</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immutable, append-only log of all actions performed within a model's repository (component 10). Feeds the Governance module and satisfies audit retention requirements.</w:t>
            </w:r>
          </w:p>
        </w:tc>
      </w:tr>
      <w:tr>
        <w:trPr>
          <w:tblHeader w:val="false"/>
        </w:trP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Component</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One of the thirteen standardised artefact slots within a model repository (e.g., Model Metadata, KPI Configuration, Data Drift, Audit Log). Each component stores one or more versioned files.</w:t>
            </w:r>
          </w:p>
        </w:tc>
      </w:tr>
      <w:tr>
        <w:trPr>
          <w:tblHeader w:val="false"/>
        </w:trP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Concept Drift</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A shift in the statistical relationship between model inputs and the target variable — i.e., the model's learned patterns become less valid over time. Stored in component 6; uses delta-only thresholds.</w:t>
            </w:r>
          </w:p>
        </w:tc>
      </w:tr>
      <w:tr>
        <w:trPr>
          <w:tblHeader w:val="false"/>
        </w:trP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Data Center</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branded name for the Repository workflow; the structured document store for model artefacts, organised by Domain → Modelling Technique → Model.</w:t>
            </w:r>
          </w:p>
        </w:tc>
      </w:tr>
      <w:tr>
        <w:trPr>
          <w:tblHeader w:val="false"/>
        </w:trP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Data Drift</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A change in the distribution of model input features compared to the training/reference baseline. Stored in component 5; measured by PSI and similar metrics.</w:t>
            </w:r>
          </w:p>
        </w:tc>
      </w:tr>
      <w:tr>
        <w:trPr>
          <w:tblHeader w:val="false"/>
        </w:trP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Hard Delete</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Permanent, irreversible removal of a record. Hard deletion of repository components is governed by the Governance module (Workflow 7) and does not occur within this workflow.</w:t>
            </w:r>
          </w:p>
        </w:tc>
      </w:tr>
      <w:tr>
        <w:trPr>
          <w:tblHeader w:val="false"/>
        </w:trP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Model Repository Dashboard</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Screen S04 — the per-model hub showing all thirteen component slots in a grouped table with status, version, and action controls.</w:t>
            </w:r>
          </w:p>
        </w:tc>
      </w:tr>
      <w:tr>
        <w:trPr>
          <w:tblHeader w:val="false"/>
        </w:trP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Performance Drift</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Deterioration in model predictive accuracy metrics (Gini, AUROC, KS, etc.) over time. Stored in component 7.</w:t>
            </w:r>
          </w:p>
        </w:tc>
      </w:tr>
      <w:tr>
        <w:trPr>
          <w:tblHeader w:val="false"/>
        </w:trP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RCA</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Root Cause Analysis — a structured investigation report produced by the RCA Agent when a monitoring breach is detected (component 8).</w:t>
            </w:r>
          </w:p>
        </w:tc>
      </w:tr>
      <w:tr>
        <w:trPr>
          <w:tblHeader w:val="false"/>
        </w:trP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Repository</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The Data Center — the governed document store providing structured access to all artefacts for a given model.</w:t>
            </w:r>
          </w:p>
        </w:tc>
      </w:tr>
      <w:tr>
        <w:trPr>
          <w:tblHeader w:val="false"/>
        </w:trP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Soft Delete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A reversible deletion action that marks a component version as deleted, hides it from Users, and retains it in storage. Reversible via Admin Restore. Contrast with Hard Delete.</w:t>
            </w:r>
          </w:p>
        </w:tc>
      </w:tr>
      <w:tr>
        <w:trPr>
          <w:tblHeader w:val="false"/>
        </w:trP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Upload Progress</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The fraction of the thirteen component slots that have at least one current (non-soft-deleted) version, displayed as a progress bar on the Model List (S03) and the Model Repository Dashboard (S04).</w:t>
            </w:r>
          </w:p>
        </w:tc>
      </w:tr>
      <w:tr>
        <w:trPr>
          <w:tblHeader w:val="false"/>
        </w:trP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User Upload</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A component source classification indicating that the content is uploaded manually by a User or Admin (e.g., Model Metadata, KPI Configuration, Sample Analysis, Additional Documents).</w:t>
            </w:r>
          </w:p>
        </w:tc>
      </w:tr>
      <w:tr>
        <w:trPr>
          <w:tblHeader w:val="false"/>
        </w:trP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Version Sidebar</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pPr>
              <w:spacing w:after="0" w:before="0"/>
              <w:jc w:val="left"/>
            </w:pPr>
            <w:r>
              <w:rPr>
                <w:rFonts w:ascii="Arial" w:cs="Arial" w:eastAsia="Arial" w:hAnsi="Arial"/>
                <w:color w:val="1E293B"/>
                <w:sz w:val="19"/>
                <w:szCs w:val="19"/>
              </w:rPr>
              <w:t xml:space="preserve">A ~230px left panel on component viewer screens listing all versions of that component with uploader, timestamp, file size, and status. Active version is highlighted; other versions are selectable.</w:t>
            </w:r>
          </w:p>
        </w:tc>
      </w:tr>
    </w:tbl>
    <w:p>
      <w:pPr>
        <w:spacing w:after="240" w:before="0"/>
      </w:pPr>
      <w:r>
        <w:t xml:space="preserve"/>
      </w:r>
    </w:p>
    <w:p>
      <w:pPr>
        <w:spacing w:after="120" w:before="240"/>
        <w:jc w:val="center"/>
      </w:pPr>
      <w:r>
        <w:rPr>
          <w:rFonts w:ascii="Arial" w:cs="Arial" w:eastAsia="Arial" w:hAnsi="Arial"/>
          <w:i/>
          <w:iCs/>
          <w:color w:val="64748B"/>
          <w:sz w:val="20"/>
          <w:szCs w:val="20"/>
        </w:rPr>
        <w:t xml:space="preserve">— End of Workflow 12 BRD —</w:t>
      </w:r>
    </w:p>
    <w:p>
      <w:pPr>
        <w:spacing w:after="0" w:before="0"/>
        <w:jc w:val="center"/>
      </w:pPr>
      <w:r>
        <w:rPr>
          <w:rFonts w:ascii="Arial" w:cs="Arial" w:eastAsia="Arial" w:hAnsi="Arial"/>
          <w:color w:val="64748B"/>
          <w:sz w:val="18"/>
          <w:szCs w:val="18"/>
        </w:rPr>
        <w:t xml:space="preserve">Confidential — Internal Use Only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spacing w:after="0" w:before="120"/>
    </w:pPr>
    <w:r>
      <w:rPr>
        <w:rFonts w:ascii="Arial" w:cs="Arial" w:eastAsia="Arial" w:hAnsi="Arial"/>
        <w:color w:val="64748B"/>
        <w:sz w:val="16"/>
        <w:szCs w:val="16"/>
      </w:rPr>
      <w:t xml:space="preserve">Workflow 12 — User: Repository (Data Center)</w:t>
    </w:r>
    <w:r>
      <w:rPr>
        <w:rFonts w:ascii="Arial" w:cs="Arial" w:eastAsia="Arial" w:hAnsi="Arial"/>
        <w:color w:val="64748B"/>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8A" w:sz="4" w:space="4"/>
      </w:pBdr>
      <w:spacing w:after="160" w:before="0"/>
    </w:pPr>
    <w:r>
      <w:rPr>
        <w:rFonts w:ascii="Arial" w:cs="Arial" w:eastAsia="Arial" w:hAnsi="Arial"/>
        <w:color w:val="64748B"/>
        <w:sz w:val="16"/>
        <w:szCs w:val="16"/>
      </w:rPr>
      <w:t xml:space="preserve">Model Monitoring Platform  —  BRD Workflow 12: User — Repository (Data Center)</w:t>
    </w:r>
    <w:r>
      <w:rPr>
        <w:rFonts w:ascii="Arial" w:cs="Arial" w:eastAsia="Arial" w:hAnsi="Arial"/>
        <w:color w:val="64748B"/>
        <w:sz w:val="16"/>
        <w:szCs w:val="16"/>
      </w:rPr>
      <w:t xml:space="preserve">    |    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8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E3A8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E293B"/>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2026-05-09T09:44:10.338Z</dcterms:created>
  <dcterms:modified xsi:type="dcterms:W3CDTF">2026-05-09T09:44:10.338Z</dcterms:modified>
</cp:coreProperties>
</file>

<file path=docProps/custom.xml><?xml version="1.0" encoding="utf-8"?>
<Properties xmlns="http://schemas.openxmlformats.org/officeDocument/2006/custom-properties" xmlns:vt="http://schemas.openxmlformats.org/officeDocument/2006/docPropsVTypes"/>
</file>